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050505"/>
        </w:rPr>
        <w:drawing>
          <wp:anchor simplePos="0" relativeHeight="251657728" behindDoc="1" locked="0" layoutInCell="0" allowOverlap="1">
            <wp:simplePos x="0" y="0"/>
            <wp:positionH relativeFrom="page">
              <wp:posOffset>615950</wp:posOffset>
            </wp:positionH>
            <wp:positionV relativeFrom="page">
              <wp:posOffset>517525</wp:posOffset>
            </wp:positionV>
            <wp:extent cx="654050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0500" cy="50800"/>
                    </a:xfrm>
                    <a:prstGeom prst="rect">
                      <a:avLst/>
                    </a:prstGeom>
                    <a:noFill/>
                  </pic:spPr>
                </pic:pic>
              </a:graphicData>
            </a:graphic>
          </wp:anchor>
        </w:drawing>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050505"/>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050505"/>
        </w:rPr>
        <w:t>Washington, D.C. 20549</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050505"/>
        </w:rPr>
        <w:t>_________________________________</w:t>
      </w:r>
    </w:p>
    <w:p>
      <w:pPr>
        <w:jc w:val="center"/>
        <w:ind w:right="20"/>
        <w:spacing w:after="0"/>
        <w:rPr>
          <w:sz w:val="20"/>
          <w:szCs w:val="20"/>
          <w:color w:val="auto"/>
        </w:rPr>
      </w:pPr>
      <w:r>
        <w:rPr>
          <w:rFonts w:ascii="Times New Roman" w:cs="Times New Roman" w:eastAsia="Times New Roman" w:hAnsi="Times New Roman"/>
          <w:sz w:val="32"/>
          <w:szCs w:val="32"/>
          <w:b w:val="1"/>
          <w:bCs w:val="1"/>
          <w:color w:val="050505"/>
        </w:rPr>
        <w:t>FORM 10-K</w:t>
      </w:r>
    </w:p>
    <w:p>
      <w:pPr>
        <w:spacing w:after="0" w:line="13"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050505"/>
        </w:rPr>
        <w:t>_________________________________</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50505"/>
        </w:rPr>
        <w:t>(Mark One)</w:t>
      </w:r>
    </w:p>
    <w:p>
      <w:pPr>
        <w:ind w:left="500" w:hanging="288"/>
        <w:spacing w:after="0"/>
        <w:tabs>
          <w:tab w:leader="none" w:pos="500" w:val="left"/>
        </w:tabs>
        <w:numPr>
          <w:ilvl w:val="0"/>
          <w:numId w:val="1"/>
        </w:numPr>
        <w:rPr>
          <w:rFonts w:ascii="MS PGothic" w:cs="MS PGothic" w:eastAsia="MS PGothic" w:hAnsi="MS PGothic"/>
          <w:sz w:val="21"/>
          <w:szCs w:val="21"/>
          <w:b w:val="1"/>
          <w:bCs w:val="1"/>
          <w:color w:val="050505"/>
        </w:rPr>
      </w:pPr>
      <w:r>
        <w:rPr>
          <w:rFonts w:ascii="Times New Roman" w:cs="Times New Roman" w:eastAsia="Times New Roman" w:hAnsi="Times New Roman"/>
          <w:sz w:val="21"/>
          <w:szCs w:val="21"/>
          <w:b w:val="1"/>
          <w:bCs w:val="1"/>
          <w:color w:val="050505"/>
        </w:rPr>
        <w:t>ANNUAL REPORT PURSUANT TO SECTION 13 OR 15(d) OF THE SECURITIES EXCHANGE ACT</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050505"/>
        </w:rPr>
        <w:t>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50505"/>
        </w:rPr>
        <w:t>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50505"/>
        </w:rPr>
        <w:t>OR</w:t>
      </w:r>
    </w:p>
    <w:p>
      <w:pPr>
        <w:ind w:left="520" w:hanging="275"/>
        <w:spacing w:after="0"/>
        <w:tabs>
          <w:tab w:leader="none" w:pos="520" w:val="left"/>
        </w:tabs>
        <w:numPr>
          <w:ilvl w:val="0"/>
          <w:numId w:val="2"/>
        </w:numPr>
        <w:rPr>
          <w:rFonts w:ascii="MS PGothic" w:cs="MS PGothic" w:eastAsia="MS PGothic" w:hAnsi="MS PGothic"/>
          <w:sz w:val="22"/>
          <w:szCs w:val="22"/>
          <w:b w:val="1"/>
          <w:bCs w:val="1"/>
          <w:color w:val="050505"/>
        </w:rPr>
      </w:pPr>
      <w:r>
        <w:rPr>
          <w:rFonts w:ascii="Times New Roman" w:cs="Times New Roman" w:eastAsia="Times New Roman" w:hAnsi="Times New Roman"/>
          <w:sz w:val="22"/>
          <w:szCs w:val="22"/>
          <w:b w:val="1"/>
          <w:bCs w:val="1"/>
          <w:color w:val="050505"/>
        </w:rPr>
        <w:t>TRANSITION REPORT PURSUANT TO SECTION 13 OR 15(d) OF THE SECURITIES EXCHANGE</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050505"/>
        </w:rPr>
        <w:t>ACT OF 1934</w:t>
      </w:r>
    </w:p>
    <w:p>
      <w:pPr>
        <w:sectPr>
          <w:pgSz w:w="12240" w:h="15840" w:orient="portrait"/>
          <w:cols w:equalWidth="0" w:num="1">
            <w:col w:w="10620"/>
          </w:cols>
          <w:pgMar w:left="820" w:top="919" w:right="800" w:bottom="497" w:gutter="0" w:footer="0" w:header="0"/>
        </w:sectPr>
      </w:pPr>
    </w:p>
    <w:p>
      <w:pPr>
        <w:spacing w:after="0" w:line="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050505"/>
        </w:rPr>
        <w:t>FOR THE TRANSITION PERIOD FROM</w:t>
      </w:r>
    </w:p>
    <w:p>
      <w:pPr>
        <w:spacing w:after="0" w:line="1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050505"/>
        </w:rPr>
        <w:t xml:space="preserve">Commission File Number </w:t>
      </w:r>
      <w:r>
        <w:rPr>
          <w:rFonts w:ascii="Times New Roman" w:cs="Times New Roman" w:eastAsia="Times New Roman" w:hAnsi="Times New Roman"/>
          <w:sz w:val="19"/>
          <w:szCs w:val="19"/>
          <w:b w:val="1"/>
          <w:bCs w:val="1"/>
          <w:color w:val="050505"/>
        </w:rPr>
        <w:t>001-38693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050505"/>
        </w:rPr>
        <w:t>TO</w:t>
      </w:r>
    </w:p>
    <w:p>
      <w:pPr>
        <w:spacing w:after="0" w:line="248" w:lineRule="exact"/>
        <w:rPr>
          <w:sz w:val="24"/>
          <w:szCs w:val="24"/>
          <w:color w:val="auto"/>
        </w:rPr>
      </w:pPr>
    </w:p>
    <w:p>
      <w:pPr>
        <w:sectPr>
          <w:pgSz w:w="12240" w:h="15840" w:orient="portrait"/>
          <w:cols w:equalWidth="0" w:num="2">
            <w:col w:w="6740" w:space="600"/>
            <w:col w:w="3280"/>
          </w:cols>
          <w:pgMar w:left="820" w:top="919" w:right="800" w:bottom="497" w:gutter="0" w:footer="0" w:header="0"/>
          <w:type w:val="continuous"/>
        </w:sectPr>
      </w:pPr>
    </w:p>
    <w:p>
      <w:pPr>
        <w:ind w:left="3480"/>
        <w:spacing w:after="0" w:line="219" w:lineRule="auto"/>
        <w:rPr>
          <w:sz w:val="20"/>
          <w:szCs w:val="20"/>
          <w:color w:val="auto"/>
        </w:rPr>
      </w:pPr>
      <w:r>
        <w:rPr>
          <w:rFonts w:ascii="Times New Roman" w:cs="Times New Roman" w:eastAsia="Times New Roman" w:hAnsi="Times New Roman"/>
          <w:sz w:val="22"/>
          <w:szCs w:val="22"/>
          <w:b w:val="1"/>
          <w:bCs w:val="1"/>
          <w:color w:val="050505"/>
        </w:rPr>
        <w:t>_________________________________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4"/>
          <w:szCs w:val="44"/>
          <w:b w:val="1"/>
          <w:bCs w:val="1"/>
          <w:color w:val="050505"/>
        </w:rPr>
        <w:t>Allogene Therapeutics,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50505"/>
        </w:rPr>
        <w:t>(Exact name of Registrant as specified in its Charter)</w:t>
      </w:r>
    </w:p>
    <w:p>
      <w:pPr>
        <w:spacing w:after="0" w:line="24"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050505"/>
        </w:rPr>
        <w:t>_________________________________</w:t>
      </w:r>
    </w:p>
    <w:p>
      <w:pPr>
        <w:spacing w:after="0" w:line="82"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4020" w:type="dxa"/>
            <w:vAlign w:val="bottom"/>
          </w:tcPr>
          <w:p>
            <w:pPr>
              <w:jc w:val="center"/>
              <w:ind w:right="1660"/>
              <w:spacing w:after="0"/>
              <w:rPr>
                <w:sz w:val="20"/>
                <w:szCs w:val="20"/>
                <w:color w:val="auto"/>
              </w:rPr>
            </w:pPr>
            <w:r>
              <w:rPr>
                <w:rFonts w:ascii="Times New Roman" w:cs="Times New Roman" w:eastAsia="Times New Roman" w:hAnsi="Times New Roman"/>
                <w:sz w:val="16"/>
                <w:szCs w:val="16"/>
                <w:b w:val="1"/>
                <w:bCs w:val="1"/>
                <w:color w:val="050505"/>
                <w:w w:val="98"/>
              </w:rPr>
              <w:t>Delaware</w:t>
            </w:r>
          </w:p>
        </w:tc>
        <w:tc>
          <w:tcPr>
            <w:tcW w:w="3020" w:type="dxa"/>
            <w:vAlign w:val="bottom"/>
          </w:tcPr>
          <w:p>
            <w:pPr>
              <w:jc w:val="center"/>
              <w:ind w:left="1680"/>
              <w:spacing w:after="0"/>
              <w:rPr>
                <w:sz w:val="20"/>
                <w:szCs w:val="20"/>
                <w:color w:val="auto"/>
              </w:rPr>
            </w:pPr>
            <w:r>
              <w:rPr>
                <w:rFonts w:ascii="Times New Roman" w:cs="Times New Roman" w:eastAsia="Times New Roman" w:hAnsi="Times New Roman"/>
                <w:sz w:val="16"/>
                <w:szCs w:val="16"/>
                <w:b w:val="1"/>
                <w:bCs w:val="1"/>
                <w:color w:val="050505"/>
              </w:rPr>
              <w:t>82-3562771</w:t>
            </w:r>
          </w:p>
        </w:tc>
      </w:tr>
      <w:tr>
        <w:trPr>
          <w:trHeight w:val="210"/>
        </w:trPr>
        <w:tc>
          <w:tcPr>
            <w:tcW w:w="4020" w:type="dxa"/>
            <w:vAlign w:val="bottom"/>
          </w:tcPr>
          <w:p>
            <w:pPr>
              <w:jc w:val="center"/>
              <w:ind w:right="1660"/>
              <w:spacing w:after="0"/>
              <w:rPr>
                <w:sz w:val="20"/>
                <w:szCs w:val="20"/>
                <w:color w:val="auto"/>
              </w:rPr>
            </w:pPr>
            <w:r>
              <w:rPr>
                <w:rFonts w:ascii="Times New Roman" w:cs="Times New Roman" w:eastAsia="Times New Roman" w:hAnsi="Times New Roman"/>
                <w:sz w:val="16"/>
                <w:szCs w:val="16"/>
                <w:b w:val="1"/>
                <w:bCs w:val="1"/>
                <w:color w:val="050505"/>
              </w:rPr>
              <w:t>(State or other jurisdiction</w:t>
            </w:r>
          </w:p>
        </w:tc>
        <w:tc>
          <w:tcPr>
            <w:tcW w:w="3020" w:type="dxa"/>
            <w:vAlign w:val="bottom"/>
          </w:tcPr>
          <w:p>
            <w:pPr>
              <w:jc w:val="center"/>
              <w:ind w:left="1700"/>
              <w:spacing w:after="0"/>
              <w:rPr>
                <w:sz w:val="20"/>
                <w:szCs w:val="20"/>
                <w:color w:val="auto"/>
              </w:rPr>
            </w:pPr>
            <w:r>
              <w:rPr>
                <w:rFonts w:ascii="Times New Roman" w:cs="Times New Roman" w:eastAsia="Times New Roman" w:hAnsi="Times New Roman"/>
                <w:sz w:val="16"/>
                <w:szCs w:val="16"/>
                <w:b w:val="1"/>
                <w:bCs w:val="1"/>
                <w:color w:val="050505"/>
              </w:rPr>
              <w:t>(I.R.S. Employer</w:t>
            </w:r>
          </w:p>
        </w:tc>
      </w:tr>
      <w:tr>
        <w:trPr>
          <w:trHeight w:val="211"/>
        </w:trPr>
        <w:tc>
          <w:tcPr>
            <w:tcW w:w="4020" w:type="dxa"/>
            <w:vAlign w:val="bottom"/>
          </w:tcPr>
          <w:p>
            <w:pPr>
              <w:jc w:val="center"/>
              <w:ind w:right="1660"/>
              <w:spacing w:after="0"/>
              <w:rPr>
                <w:sz w:val="20"/>
                <w:szCs w:val="20"/>
                <w:color w:val="auto"/>
              </w:rPr>
            </w:pPr>
            <w:r>
              <w:rPr>
                <w:rFonts w:ascii="Times New Roman" w:cs="Times New Roman" w:eastAsia="Times New Roman" w:hAnsi="Times New Roman"/>
                <w:sz w:val="16"/>
                <w:szCs w:val="16"/>
                <w:b w:val="1"/>
                <w:bCs w:val="1"/>
                <w:color w:val="050505"/>
              </w:rPr>
              <w:t>of incorporation or organization)</w:t>
            </w:r>
          </w:p>
        </w:tc>
        <w:tc>
          <w:tcPr>
            <w:tcW w:w="3020" w:type="dxa"/>
            <w:vAlign w:val="bottom"/>
          </w:tcPr>
          <w:p>
            <w:pPr>
              <w:jc w:val="center"/>
              <w:ind w:left="1680"/>
              <w:spacing w:after="0"/>
              <w:rPr>
                <w:sz w:val="20"/>
                <w:szCs w:val="20"/>
                <w:color w:val="auto"/>
              </w:rPr>
            </w:pPr>
            <w:r>
              <w:rPr>
                <w:rFonts w:ascii="Times New Roman" w:cs="Times New Roman" w:eastAsia="Times New Roman" w:hAnsi="Times New Roman"/>
                <w:sz w:val="16"/>
                <w:szCs w:val="16"/>
                <w:b w:val="1"/>
                <w:bCs w:val="1"/>
                <w:color w:val="050505"/>
              </w:rPr>
              <w:t>Identification No.)</w:t>
            </w:r>
          </w:p>
        </w:tc>
      </w:tr>
    </w:tbl>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50505"/>
        </w:rPr>
        <w:t>210 East Grand Avenue, South San Francisco, California 94080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50505"/>
        </w:rPr>
        <w:t>(Address of principal executive offices including zip code)</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050505"/>
        </w:rPr>
        <w:t>Registrant’s telephone number, including area code: (650) 457-2700</w:t>
      </w:r>
    </w:p>
    <w:p>
      <w:pPr>
        <w:spacing w:after="0" w:line="6"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050505"/>
        </w:rPr>
        <w:t>_________________________________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050505"/>
        </w:rPr>
        <w:t>Securities registered pursuant to Section 12(b) of the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Borders>
              <w:bottom w:val="single" w:sz="8" w:color="050505"/>
            </w:tcBorders>
          </w:tcPr>
          <w:p>
            <w:pPr>
              <w:ind w:left="1400"/>
              <w:spacing w:after="0"/>
              <w:rPr>
                <w:sz w:val="20"/>
                <w:szCs w:val="20"/>
                <w:color w:val="auto"/>
              </w:rPr>
            </w:pPr>
            <w:r>
              <w:rPr>
                <w:rFonts w:ascii="Times New Roman" w:cs="Times New Roman" w:eastAsia="Times New Roman" w:hAnsi="Times New Roman"/>
                <w:sz w:val="16"/>
                <w:szCs w:val="16"/>
                <w:b w:val="1"/>
                <w:bCs w:val="1"/>
                <w:color w:val="050505"/>
              </w:rPr>
              <w:t>Title of each class</w:t>
            </w:r>
          </w:p>
        </w:tc>
        <w:tc>
          <w:tcPr>
            <w:tcW w:w="1260" w:type="dxa"/>
            <w:vAlign w:val="bottom"/>
            <w:tcBorders>
              <w:bottom w:val="single" w:sz="8" w:color="050505"/>
            </w:tcBorders>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Borders>
              <w:bottom w:val="single" w:sz="8" w:color="050505"/>
            </w:tcBorders>
          </w:tcPr>
          <w:p>
            <w:pPr>
              <w:jc w:val="center"/>
              <w:ind w:left="70"/>
              <w:spacing w:after="0"/>
              <w:rPr>
                <w:sz w:val="20"/>
                <w:szCs w:val="20"/>
                <w:color w:val="auto"/>
              </w:rPr>
            </w:pPr>
            <w:r>
              <w:rPr>
                <w:rFonts w:ascii="Times New Roman" w:cs="Times New Roman" w:eastAsia="Times New Roman" w:hAnsi="Times New Roman"/>
                <w:sz w:val="16"/>
                <w:szCs w:val="16"/>
                <w:b w:val="1"/>
                <w:bCs w:val="1"/>
                <w:color w:val="050505"/>
                <w:w w:val="98"/>
              </w:rPr>
              <w:t>Trading symbol(s)</w:t>
            </w:r>
          </w:p>
        </w:tc>
        <w:tc>
          <w:tcPr>
            <w:tcW w:w="180" w:type="dxa"/>
            <w:vAlign w:val="bottom"/>
            <w:tcBorders>
              <w:bottom w:val="single" w:sz="8" w:color="050505"/>
            </w:tcBorders>
          </w:tcPr>
          <w:p>
            <w:pPr>
              <w:spacing w:after="0"/>
              <w:rPr>
                <w:sz w:val="19"/>
                <w:szCs w:val="19"/>
                <w:color w:val="auto"/>
              </w:rPr>
            </w:pPr>
          </w:p>
        </w:tc>
        <w:tc>
          <w:tcPr>
            <w:tcW w:w="60" w:type="dxa"/>
            <w:vAlign w:val="bottom"/>
          </w:tcPr>
          <w:p>
            <w:pPr>
              <w:spacing w:after="0"/>
              <w:rPr>
                <w:sz w:val="19"/>
                <w:szCs w:val="19"/>
                <w:color w:val="auto"/>
              </w:rPr>
            </w:pPr>
          </w:p>
        </w:tc>
        <w:tc>
          <w:tcPr>
            <w:tcW w:w="3760" w:type="dxa"/>
            <w:vAlign w:val="bottom"/>
            <w:tcBorders>
              <w:bottom w:val="single" w:sz="8" w:color="050505"/>
            </w:tcBorders>
            <w:gridSpan w:val="2"/>
          </w:tcPr>
          <w:p>
            <w:pPr>
              <w:jc w:val="center"/>
              <w:ind w:left="170"/>
              <w:spacing w:after="0"/>
              <w:rPr>
                <w:sz w:val="20"/>
                <w:szCs w:val="20"/>
                <w:color w:val="auto"/>
              </w:rPr>
            </w:pPr>
            <w:r>
              <w:rPr>
                <w:rFonts w:ascii="Times New Roman" w:cs="Times New Roman" w:eastAsia="Times New Roman" w:hAnsi="Times New Roman"/>
                <w:sz w:val="16"/>
                <w:szCs w:val="16"/>
                <w:b w:val="1"/>
                <w:bCs w:val="1"/>
                <w:color w:val="050505"/>
              </w:rPr>
              <w:t>Name of each exchange on which registered</w:t>
            </w:r>
          </w:p>
        </w:tc>
        <w:tc>
          <w:tcPr>
            <w:tcW w:w="260" w:type="dxa"/>
            <w:vAlign w:val="bottom"/>
            <w:tcBorders>
              <w:bottom w:val="single" w:sz="8" w:color="050505"/>
            </w:tcBorders>
          </w:tcPr>
          <w:p>
            <w:pPr>
              <w:spacing w:after="0"/>
              <w:rPr>
                <w:sz w:val="19"/>
                <w:szCs w:val="19"/>
                <w:color w:val="auto"/>
              </w:rPr>
            </w:pPr>
          </w:p>
        </w:tc>
      </w:tr>
      <w:tr>
        <w:trPr>
          <w:trHeight w:val="263"/>
        </w:trPr>
        <w:tc>
          <w:tcPr>
            <w:tcW w:w="40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50505"/>
              </w:rPr>
              <w:t>Common Stock, Par Value $0.001 Per Share</w:t>
            </w:r>
          </w:p>
        </w:tc>
        <w:tc>
          <w:tcPr>
            <w:tcW w:w="80" w:type="dxa"/>
            <w:vAlign w:val="bottom"/>
          </w:tcPr>
          <w:p>
            <w:pPr>
              <w:spacing w:after="0"/>
              <w:rPr>
                <w:sz w:val="22"/>
                <w:szCs w:val="22"/>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20"/>
                <w:szCs w:val="20"/>
                <w:color w:val="050505"/>
                <w:w w:val="97"/>
              </w:rPr>
              <w:t>ALLO</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760" w:type="dxa"/>
            <w:vAlign w:val="bottom"/>
            <w:gridSpan w:val="2"/>
          </w:tcPr>
          <w:p>
            <w:pPr>
              <w:jc w:val="center"/>
              <w:ind w:left="150"/>
              <w:spacing w:after="0"/>
              <w:rPr>
                <w:sz w:val="20"/>
                <w:szCs w:val="20"/>
                <w:color w:val="auto"/>
              </w:rPr>
            </w:pPr>
            <w:r>
              <w:rPr>
                <w:rFonts w:ascii="Times New Roman" w:cs="Times New Roman" w:eastAsia="Times New Roman" w:hAnsi="Times New Roman"/>
                <w:sz w:val="20"/>
                <w:szCs w:val="20"/>
                <w:color w:val="050505"/>
                <w:w w:val="99"/>
              </w:rPr>
              <w:t>The Nasdaq Stock Market LLC</w:t>
            </w:r>
          </w:p>
        </w:tc>
        <w:tc>
          <w:tcPr>
            <w:tcW w:w="260" w:type="dxa"/>
            <w:vAlign w:val="bottom"/>
          </w:tcPr>
          <w:p>
            <w:pPr>
              <w:spacing w:after="0"/>
              <w:rPr>
                <w:sz w:val="22"/>
                <w:szCs w:val="22"/>
                <w:color w:val="auto"/>
              </w:rPr>
            </w:pPr>
          </w:p>
        </w:tc>
      </w:tr>
      <w:tr>
        <w:trPr>
          <w:trHeight w:val="259"/>
        </w:trPr>
        <w:tc>
          <w:tcPr>
            <w:tcW w:w="2740" w:type="dxa"/>
            <w:vAlign w:val="bottom"/>
          </w:tcPr>
          <w:p>
            <w:pPr>
              <w:spacing w:after="0"/>
              <w:rPr>
                <w:sz w:val="22"/>
                <w:szCs w:val="22"/>
                <w:color w:val="auto"/>
              </w:rPr>
            </w:pPr>
          </w:p>
        </w:tc>
        <w:tc>
          <w:tcPr>
            <w:tcW w:w="6840" w:type="dxa"/>
            <w:vAlign w:val="bottom"/>
            <w:gridSpan w:val="6"/>
          </w:tcPr>
          <w:p>
            <w:pPr>
              <w:jc w:val="center"/>
              <w:ind w:right="1630"/>
              <w:spacing w:after="0"/>
              <w:rPr>
                <w:sz w:val="20"/>
                <w:szCs w:val="20"/>
                <w:color w:val="auto"/>
              </w:rPr>
            </w:pPr>
            <w:r>
              <w:rPr>
                <w:rFonts w:ascii="Times New Roman" w:cs="Times New Roman" w:eastAsia="Times New Roman" w:hAnsi="Times New Roman"/>
                <w:sz w:val="18"/>
                <w:szCs w:val="18"/>
                <w:color w:val="050505"/>
              </w:rPr>
              <w:t>Securities registered pursuant to Section 12(g) of the Act: None</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16"/>
        </w:trPr>
        <w:tc>
          <w:tcPr>
            <w:tcW w:w="9580" w:type="dxa"/>
            <w:vAlign w:val="bottom"/>
            <w:gridSpan w:val="7"/>
          </w:tcPr>
          <w:p>
            <w:pPr>
              <w:ind w:left="440"/>
              <w:spacing w:after="0" w:line="207" w:lineRule="exact"/>
              <w:rPr>
                <w:sz w:val="20"/>
                <w:szCs w:val="20"/>
                <w:color w:val="auto"/>
              </w:rPr>
            </w:pPr>
            <w:r>
              <w:rPr>
                <w:rFonts w:ascii="Times New Roman" w:cs="Times New Roman" w:eastAsia="Times New Roman" w:hAnsi="Times New Roman"/>
                <w:sz w:val="18"/>
                <w:szCs w:val="18"/>
                <w:color w:val="050505"/>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050505"/>
              </w:rPr>
              <w:t>☐</w:t>
            </w:r>
          </w:p>
        </w:tc>
        <w:tc>
          <w:tcPr>
            <w:tcW w:w="7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050505"/>
              </w:rPr>
              <w:t xml:space="preserve">No </w:t>
            </w:r>
            <w:r>
              <w:rPr>
                <w:rFonts w:ascii="MS PGothic" w:cs="MS PGothic" w:eastAsia="MS PGothic" w:hAnsi="MS PGothic"/>
                <w:sz w:val="18"/>
                <w:szCs w:val="18"/>
                <w:b w:val="1"/>
                <w:bCs w:val="1"/>
                <w:color w:val="050505"/>
              </w:rPr>
              <w:t>☒</w:t>
            </w:r>
          </w:p>
        </w:tc>
        <w:tc>
          <w:tcPr>
            <w:tcW w:w="260" w:type="dxa"/>
            <w:vAlign w:val="bottom"/>
          </w:tcPr>
          <w:p>
            <w:pPr>
              <w:spacing w:after="0"/>
              <w:rPr>
                <w:sz w:val="18"/>
                <w:szCs w:val="18"/>
                <w:color w:val="auto"/>
              </w:rPr>
            </w:pPr>
          </w:p>
        </w:tc>
      </w:tr>
      <w:tr>
        <w:trPr>
          <w:trHeight w:val="229"/>
        </w:trPr>
        <w:tc>
          <w:tcPr>
            <w:tcW w:w="9580" w:type="dxa"/>
            <w:vAlign w:val="bottom"/>
            <w:gridSpan w:val="7"/>
          </w:tcPr>
          <w:p>
            <w:pPr>
              <w:ind w:left="440"/>
              <w:spacing w:after="0" w:line="207" w:lineRule="exact"/>
              <w:rPr>
                <w:sz w:val="20"/>
                <w:szCs w:val="20"/>
                <w:color w:val="auto"/>
              </w:rPr>
            </w:pPr>
            <w:r>
              <w:rPr>
                <w:rFonts w:ascii="Times New Roman" w:cs="Times New Roman" w:eastAsia="Times New Roman" w:hAnsi="Times New Roman"/>
                <w:sz w:val="18"/>
                <w:szCs w:val="18"/>
                <w:color w:val="050505"/>
              </w:rPr>
              <w:t xml:space="preserve">Indicate by check mark if the Registrant is not required to file reports pursuant to Section 13 or 15(d) of the Act. Yes </w:t>
            </w:r>
            <w:r>
              <w:rPr>
                <w:rFonts w:ascii="MS PGothic" w:cs="MS PGothic" w:eastAsia="MS PGothic" w:hAnsi="MS PGothic"/>
                <w:sz w:val="18"/>
                <w:szCs w:val="18"/>
                <w:b w:val="1"/>
                <w:bCs w:val="1"/>
                <w:color w:val="050505"/>
              </w:rPr>
              <w:t>☐</w:t>
            </w:r>
            <w:r>
              <w:rPr>
                <w:rFonts w:ascii="Times New Roman" w:cs="Times New Roman" w:eastAsia="Times New Roman" w:hAnsi="Times New Roman"/>
                <w:sz w:val="18"/>
                <w:szCs w:val="18"/>
                <w:color w:val="050505"/>
              </w:rPr>
              <w:t xml:space="preserve">  No</w:t>
            </w:r>
          </w:p>
        </w:tc>
        <w:tc>
          <w:tcPr>
            <w:tcW w:w="780" w:type="dxa"/>
            <w:vAlign w:val="bottom"/>
          </w:tcPr>
          <w:p>
            <w:pPr>
              <w:ind w:left="40"/>
              <w:spacing w:after="0" w:line="181" w:lineRule="exact"/>
              <w:rPr>
                <w:sz w:val="20"/>
                <w:szCs w:val="20"/>
                <w:color w:val="auto"/>
              </w:rPr>
            </w:pPr>
            <w:r>
              <w:rPr>
                <w:rFonts w:ascii="MS PGothic" w:cs="MS PGothic" w:eastAsia="MS PGothic" w:hAnsi="MS PGothic"/>
                <w:sz w:val="18"/>
                <w:szCs w:val="18"/>
                <w:b w:val="1"/>
                <w:bCs w:val="1"/>
                <w:color w:val="050505"/>
              </w:rPr>
              <w:t>☒</w:t>
            </w:r>
          </w:p>
        </w:tc>
        <w:tc>
          <w:tcPr>
            <w:tcW w:w="260" w:type="dxa"/>
            <w:vAlign w:val="bottom"/>
          </w:tcPr>
          <w:p>
            <w:pPr>
              <w:spacing w:after="0"/>
              <w:rPr>
                <w:sz w:val="19"/>
                <w:szCs w:val="19"/>
                <w:color w:val="auto"/>
              </w:rPr>
            </w:pPr>
          </w:p>
        </w:tc>
      </w:tr>
      <w:tr>
        <w:trPr>
          <w:trHeight w:val="216"/>
        </w:trPr>
        <w:tc>
          <w:tcPr>
            <w:tcW w:w="103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050505"/>
              </w:rPr>
              <w:t>Indicate by check mark whether the Registrant: (1) has filed all reports required to be filed by Section 13 or 15(d) of the Securities</w:t>
            </w:r>
          </w:p>
        </w:tc>
        <w:tc>
          <w:tcPr>
            <w:tcW w:w="260" w:type="dxa"/>
            <w:vAlign w:val="bottom"/>
          </w:tcPr>
          <w:p>
            <w:pPr>
              <w:spacing w:after="0"/>
              <w:rPr>
                <w:sz w:val="18"/>
                <w:szCs w:val="18"/>
                <w:color w:val="auto"/>
              </w:rPr>
            </w:pPr>
          </w:p>
        </w:tc>
      </w:tr>
      <w:tr>
        <w:trPr>
          <w:trHeight w:val="203"/>
        </w:trPr>
        <w:tc>
          <w:tcPr>
            <w:tcW w:w="10360" w:type="dxa"/>
            <w:vAlign w:val="bottom"/>
            <w:gridSpan w:val="8"/>
          </w:tcPr>
          <w:p>
            <w:pPr>
              <w:ind w:left="440"/>
              <w:spacing w:after="0" w:line="202" w:lineRule="exact"/>
              <w:rPr>
                <w:sz w:val="20"/>
                <w:szCs w:val="20"/>
                <w:color w:val="auto"/>
              </w:rPr>
            </w:pPr>
            <w:r>
              <w:rPr>
                <w:rFonts w:ascii="Times New Roman" w:cs="Times New Roman" w:eastAsia="Times New Roman" w:hAnsi="Times New Roman"/>
                <w:sz w:val="18"/>
                <w:szCs w:val="18"/>
                <w:color w:val="050505"/>
              </w:rPr>
              <w:t>Exchange Act of 1934 during the preceding 12 months (or for such shorter period that the Registrant was required to file such reports),</w:t>
            </w:r>
          </w:p>
        </w:tc>
        <w:tc>
          <w:tcPr>
            <w:tcW w:w="260" w:type="dxa"/>
            <w:vAlign w:val="bottom"/>
          </w:tcPr>
          <w:p>
            <w:pPr>
              <w:spacing w:after="0"/>
              <w:rPr>
                <w:sz w:val="17"/>
                <w:szCs w:val="17"/>
                <w:color w:val="auto"/>
              </w:rPr>
            </w:pPr>
          </w:p>
        </w:tc>
      </w:tr>
      <w:tr>
        <w:trPr>
          <w:trHeight w:val="229"/>
        </w:trPr>
        <w:tc>
          <w:tcPr>
            <w:tcW w:w="6360" w:type="dxa"/>
            <w:vAlign w:val="bottom"/>
            <w:gridSpan w:val="4"/>
          </w:tcPr>
          <w:p>
            <w:pPr>
              <w:ind w:left="440"/>
              <w:spacing w:after="0" w:line="207" w:lineRule="exact"/>
              <w:rPr>
                <w:sz w:val="20"/>
                <w:szCs w:val="20"/>
                <w:color w:val="auto"/>
              </w:rPr>
            </w:pPr>
            <w:r>
              <w:rPr>
                <w:rFonts w:ascii="Times New Roman" w:cs="Times New Roman" w:eastAsia="Times New Roman" w:hAnsi="Times New Roman"/>
                <w:sz w:val="18"/>
                <w:szCs w:val="18"/>
                <w:color w:val="050505"/>
              </w:rPr>
              <w:t xml:space="preserve">and (2) has been subject to such filing requirements for the past 90 days. Yes </w:t>
            </w:r>
            <w:r>
              <w:rPr>
                <w:rFonts w:ascii="MS PGothic" w:cs="MS PGothic" w:eastAsia="MS PGothic" w:hAnsi="MS PGothic"/>
                <w:sz w:val="18"/>
                <w:szCs w:val="18"/>
                <w:b w:val="1"/>
                <w:bCs w:val="1"/>
                <w:color w:val="050505"/>
              </w:rPr>
              <w:t>☒</w:t>
            </w:r>
          </w:p>
        </w:tc>
        <w:tc>
          <w:tcPr>
            <w:tcW w:w="32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8"/>
                <w:szCs w:val="18"/>
                <w:color w:val="050505"/>
              </w:rPr>
              <w:t xml:space="preserve">No </w:t>
            </w:r>
            <w:r>
              <w:rPr>
                <w:rFonts w:ascii="MS PGothic" w:cs="MS PGothic" w:eastAsia="MS PGothic" w:hAnsi="MS PGothic"/>
                <w:sz w:val="18"/>
                <w:szCs w:val="18"/>
                <w:b w:val="1"/>
                <w:bCs w:val="1"/>
                <w:color w:val="050505"/>
              </w:rPr>
              <w: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103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050505"/>
              </w:rPr>
              <w:t>Indicate by check mark whether the Registrant has submitted electronically every Interactive Data File required to be submitted pursuant</w:t>
            </w:r>
          </w:p>
        </w:tc>
        <w:tc>
          <w:tcPr>
            <w:tcW w:w="260" w:type="dxa"/>
            <w:vAlign w:val="bottom"/>
          </w:tcPr>
          <w:p>
            <w:pPr>
              <w:spacing w:after="0"/>
              <w:rPr>
                <w:sz w:val="18"/>
                <w:szCs w:val="18"/>
                <w:color w:val="auto"/>
              </w:rPr>
            </w:pPr>
          </w:p>
        </w:tc>
      </w:tr>
      <w:tr>
        <w:trPr>
          <w:trHeight w:val="203"/>
        </w:trPr>
        <w:tc>
          <w:tcPr>
            <w:tcW w:w="10360" w:type="dxa"/>
            <w:vAlign w:val="bottom"/>
            <w:gridSpan w:val="8"/>
          </w:tcPr>
          <w:p>
            <w:pPr>
              <w:ind w:left="440"/>
              <w:spacing w:after="0" w:line="202" w:lineRule="exact"/>
              <w:rPr>
                <w:sz w:val="20"/>
                <w:szCs w:val="20"/>
                <w:color w:val="auto"/>
              </w:rPr>
            </w:pPr>
            <w:r>
              <w:rPr>
                <w:rFonts w:ascii="Times New Roman" w:cs="Times New Roman" w:eastAsia="Times New Roman" w:hAnsi="Times New Roman"/>
                <w:sz w:val="18"/>
                <w:szCs w:val="18"/>
                <w:color w:val="050505"/>
              </w:rPr>
              <w:t>to Rule 405 of Regulation S-T (§232.405 of this chapter) during the preceding 12 months (or for such shorter period that the Registrant</w:t>
            </w:r>
          </w:p>
        </w:tc>
        <w:tc>
          <w:tcPr>
            <w:tcW w:w="260" w:type="dxa"/>
            <w:vAlign w:val="bottom"/>
          </w:tcPr>
          <w:p>
            <w:pPr>
              <w:spacing w:after="0"/>
              <w:rPr>
                <w:sz w:val="17"/>
                <w:szCs w:val="17"/>
                <w:color w:val="auto"/>
              </w:rPr>
            </w:pPr>
          </w:p>
        </w:tc>
      </w:tr>
      <w:tr>
        <w:trPr>
          <w:trHeight w:val="229"/>
        </w:trPr>
        <w:tc>
          <w:tcPr>
            <w:tcW w:w="4000" w:type="dxa"/>
            <w:vAlign w:val="bottom"/>
            <w:gridSpan w:val="2"/>
          </w:tcPr>
          <w:p>
            <w:pPr>
              <w:ind w:left="440"/>
              <w:spacing w:after="0" w:line="207" w:lineRule="exact"/>
              <w:rPr>
                <w:sz w:val="20"/>
                <w:szCs w:val="20"/>
                <w:color w:val="auto"/>
              </w:rPr>
            </w:pPr>
            <w:r>
              <w:rPr>
                <w:rFonts w:ascii="Times New Roman" w:cs="Times New Roman" w:eastAsia="Times New Roman" w:hAnsi="Times New Roman"/>
                <w:sz w:val="18"/>
                <w:szCs w:val="18"/>
                <w:color w:val="050505"/>
              </w:rPr>
              <w:t xml:space="preserve">was required to submit such files). Yes </w:t>
            </w:r>
            <w:r>
              <w:rPr>
                <w:rFonts w:ascii="MS PGothic" w:cs="MS PGothic" w:eastAsia="MS PGothic" w:hAnsi="MS PGothic"/>
                <w:sz w:val="18"/>
                <w:szCs w:val="18"/>
                <w:b w:val="1"/>
                <w:bCs w:val="1"/>
                <w:color w:val="050505"/>
              </w:rPr>
              <w:t>☒</w:t>
            </w:r>
            <w:r>
              <w:rPr>
                <w:rFonts w:ascii="Times New Roman" w:cs="Times New Roman" w:eastAsia="Times New Roman" w:hAnsi="Times New Roman"/>
                <w:sz w:val="18"/>
                <w:szCs w:val="18"/>
                <w:color w:val="050505"/>
              </w:rPr>
              <w:t xml:space="preserve">  No</w:t>
            </w:r>
          </w:p>
        </w:tc>
        <w:tc>
          <w:tcPr>
            <w:tcW w:w="2360" w:type="dxa"/>
            <w:vAlign w:val="bottom"/>
            <w:gridSpan w:val="2"/>
          </w:tcPr>
          <w:p>
            <w:pPr>
              <w:spacing w:after="0" w:line="181" w:lineRule="exact"/>
              <w:rPr>
                <w:sz w:val="20"/>
                <w:szCs w:val="20"/>
                <w:color w:val="auto"/>
              </w:rPr>
            </w:pPr>
            <w:r>
              <w:rPr>
                <w:rFonts w:ascii="MS PGothic" w:cs="MS PGothic" w:eastAsia="MS PGothic" w:hAnsi="MS PGothic"/>
                <w:sz w:val="18"/>
                <w:szCs w:val="18"/>
                <w:b w:val="1"/>
                <w:bCs w:val="1"/>
                <w:color w:val="050505"/>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103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050505"/>
              </w:rPr>
              <w:t>Indicate by check mark whether the Registrant is a large accelerated filer, an accelerated filer, a non-accelerated filer, a smaller reporting</w:t>
            </w:r>
          </w:p>
        </w:tc>
        <w:tc>
          <w:tcPr>
            <w:tcW w:w="260" w:type="dxa"/>
            <w:vAlign w:val="bottom"/>
          </w:tcPr>
          <w:p>
            <w:pPr>
              <w:spacing w:after="0"/>
              <w:rPr>
                <w:sz w:val="18"/>
                <w:szCs w:val="18"/>
                <w:color w:val="auto"/>
              </w:rPr>
            </w:pPr>
          </w:p>
        </w:tc>
      </w:tr>
      <w:tr>
        <w:trPr>
          <w:trHeight w:val="216"/>
        </w:trPr>
        <w:tc>
          <w:tcPr>
            <w:tcW w:w="103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050505"/>
              </w:rPr>
              <w:t>company, or an emerging growth company. See the definitions of “large accelerated filer”, “accelerated filer”, “smaller reporting</w:t>
            </w:r>
          </w:p>
        </w:tc>
        <w:tc>
          <w:tcPr>
            <w:tcW w:w="260" w:type="dxa"/>
            <w:vAlign w:val="bottom"/>
          </w:tcPr>
          <w:p>
            <w:pPr>
              <w:spacing w:after="0"/>
              <w:rPr>
                <w:sz w:val="18"/>
                <w:szCs w:val="18"/>
                <w:color w:val="auto"/>
              </w:rPr>
            </w:pPr>
          </w:p>
        </w:tc>
      </w:tr>
      <w:tr>
        <w:trPr>
          <w:trHeight w:val="234"/>
        </w:trPr>
        <w:tc>
          <w:tcPr>
            <w:tcW w:w="63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050505"/>
              </w:rPr>
              <w:t>company,” and “emerging growth company” in Rule 12b-2 of the Exchange Act.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19"/>
        </w:trPr>
        <w:tc>
          <w:tcPr>
            <w:tcW w:w="2740" w:type="dxa"/>
            <w:vAlign w:val="bottom"/>
          </w:tcPr>
          <w:p>
            <w:pPr>
              <w:ind w:left="500"/>
              <w:spacing w:after="0"/>
              <w:rPr>
                <w:sz w:val="20"/>
                <w:szCs w:val="20"/>
                <w:color w:val="auto"/>
              </w:rPr>
            </w:pPr>
            <w:r>
              <w:rPr>
                <w:rFonts w:ascii="Times New Roman" w:cs="Times New Roman" w:eastAsia="Times New Roman" w:hAnsi="Times New Roman"/>
                <w:sz w:val="18"/>
                <w:szCs w:val="18"/>
                <w:color w:val="050505"/>
              </w:rPr>
              <w:t>Large accelerated filer</w:t>
            </w:r>
          </w:p>
        </w:tc>
        <w:tc>
          <w:tcPr>
            <w:tcW w:w="1260" w:type="dxa"/>
            <w:vAlign w:val="bottom"/>
          </w:tcPr>
          <w:p>
            <w:pPr>
              <w:ind w:left="140"/>
              <w:spacing w:after="0" w:line="201" w:lineRule="exact"/>
              <w:rPr>
                <w:sz w:val="20"/>
                <w:szCs w:val="20"/>
                <w:color w:val="auto"/>
              </w:rPr>
            </w:pPr>
            <w:r>
              <w:rPr>
                <w:rFonts w:ascii="MS PGothic" w:cs="MS PGothic" w:eastAsia="MS PGothic" w:hAnsi="MS PGothic"/>
                <w:sz w:val="20"/>
                <w:szCs w:val="20"/>
                <w:b w:val="1"/>
                <w:bCs w:val="1"/>
                <w:color w:val="050505"/>
              </w:rPr>
              <w:t>☐</w:t>
            </w: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Pr>
          <w:p>
            <w:pPr>
              <w:ind w:left="1580"/>
              <w:spacing w:after="0"/>
              <w:rPr>
                <w:sz w:val="20"/>
                <w:szCs w:val="20"/>
                <w:color w:val="auto"/>
              </w:rPr>
            </w:pPr>
            <w:r>
              <w:rPr>
                <w:rFonts w:ascii="Times New Roman" w:cs="Times New Roman" w:eastAsia="Times New Roman" w:hAnsi="Times New Roman"/>
                <w:sz w:val="18"/>
                <w:szCs w:val="18"/>
                <w:color w:val="050505"/>
              </w:rPr>
              <w:t>Accelerated filer</w:t>
            </w:r>
          </w:p>
        </w:tc>
        <w:tc>
          <w:tcPr>
            <w:tcW w:w="780" w:type="dxa"/>
            <w:vAlign w:val="bottom"/>
          </w:tcPr>
          <w:p>
            <w:pPr>
              <w:spacing w:after="0"/>
              <w:rPr>
                <w:sz w:val="24"/>
                <w:szCs w:val="24"/>
                <w:color w:val="auto"/>
              </w:rPr>
            </w:pPr>
          </w:p>
        </w:tc>
        <w:tc>
          <w:tcPr>
            <w:tcW w:w="260" w:type="dxa"/>
            <w:vAlign w:val="bottom"/>
          </w:tcPr>
          <w:p>
            <w:pPr>
              <w:ind w:left="40"/>
              <w:spacing w:after="0" w:line="201" w:lineRule="exact"/>
              <w:rPr>
                <w:sz w:val="20"/>
                <w:szCs w:val="20"/>
                <w:color w:val="auto"/>
              </w:rPr>
            </w:pPr>
            <w:r>
              <w:rPr>
                <w:rFonts w:ascii="MS PGothic" w:cs="MS PGothic" w:eastAsia="MS PGothic" w:hAnsi="MS PGothic"/>
                <w:sz w:val="20"/>
                <w:szCs w:val="20"/>
                <w:b w:val="1"/>
                <w:bCs w:val="1"/>
                <w:color w:val="050505"/>
                <w:w w:val="99"/>
              </w:rPr>
              <w:t>☐</w:t>
            </w:r>
          </w:p>
        </w:tc>
      </w:tr>
      <w:tr>
        <w:trPr>
          <w:trHeight w:val="287"/>
        </w:trPr>
        <w:tc>
          <w:tcPr>
            <w:tcW w:w="2740" w:type="dxa"/>
            <w:vAlign w:val="bottom"/>
          </w:tcPr>
          <w:p>
            <w:pPr>
              <w:ind w:left="500"/>
              <w:spacing w:after="0"/>
              <w:rPr>
                <w:sz w:val="20"/>
                <w:szCs w:val="20"/>
                <w:color w:val="auto"/>
              </w:rPr>
            </w:pPr>
            <w:r>
              <w:rPr>
                <w:rFonts w:ascii="Times New Roman" w:cs="Times New Roman" w:eastAsia="Times New Roman" w:hAnsi="Times New Roman"/>
                <w:sz w:val="18"/>
                <w:szCs w:val="18"/>
                <w:color w:val="050505"/>
              </w:rPr>
              <w:t>Non-accelerated filer</w:t>
            </w:r>
          </w:p>
        </w:tc>
        <w:tc>
          <w:tcPr>
            <w:tcW w:w="1260" w:type="dxa"/>
            <w:vAlign w:val="bottom"/>
          </w:tcPr>
          <w:p>
            <w:pPr>
              <w:ind w:left="140"/>
              <w:spacing w:after="0" w:line="201" w:lineRule="exact"/>
              <w:rPr>
                <w:sz w:val="20"/>
                <w:szCs w:val="20"/>
                <w:color w:val="auto"/>
              </w:rPr>
            </w:pPr>
            <w:r>
              <w:rPr>
                <w:rFonts w:ascii="MS PGothic" w:cs="MS PGothic" w:eastAsia="MS PGothic" w:hAnsi="MS PGothic"/>
                <w:sz w:val="20"/>
                <w:szCs w:val="20"/>
                <w:b w:val="1"/>
                <w:bCs w:val="1"/>
                <w:color w:val="050505"/>
              </w:rPr>
              <w:t>☒</w:t>
            </w: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050505"/>
              </w:rPr>
              <w:t>Small reporting company</w:t>
            </w:r>
          </w:p>
        </w:tc>
        <w:tc>
          <w:tcPr>
            <w:tcW w:w="260" w:type="dxa"/>
            <w:vAlign w:val="bottom"/>
          </w:tcPr>
          <w:p>
            <w:pPr>
              <w:ind w:left="40"/>
              <w:spacing w:after="0" w:line="201" w:lineRule="exact"/>
              <w:rPr>
                <w:sz w:val="20"/>
                <w:szCs w:val="20"/>
                <w:color w:val="auto"/>
              </w:rPr>
            </w:pPr>
            <w:r>
              <w:rPr>
                <w:rFonts w:ascii="MS PGothic" w:cs="MS PGothic" w:eastAsia="MS PGothic" w:hAnsi="MS PGothic"/>
                <w:sz w:val="20"/>
                <w:szCs w:val="20"/>
                <w:b w:val="1"/>
                <w:bCs w:val="1"/>
                <w:color w:val="050505"/>
                <w:w w:val="99"/>
              </w:rPr>
              <w:t>☒</w:t>
            </w:r>
          </w:p>
        </w:tc>
      </w:tr>
      <w:tr>
        <w:trPr>
          <w:trHeight w:val="291"/>
        </w:trPr>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050505"/>
              </w:rPr>
              <w:t>Emerging growth company</w:t>
            </w:r>
          </w:p>
        </w:tc>
        <w:tc>
          <w:tcPr>
            <w:tcW w:w="260" w:type="dxa"/>
            <w:vAlign w:val="bottom"/>
          </w:tcPr>
          <w:p>
            <w:pPr>
              <w:ind w:left="40"/>
              <w:spacing w:after="0" w:line="201" w:lineRule="exact"/>
              <w:rPr>
                <w:sz w:val="20"/>
                <w:szCs w:val="20"/>
                <w:color w:val="auto"/>
              </w:rPr>
            </w:pPr>
            <w:r>
              <w:rPr>
                <w:rFonts w:ascii="MS PGothic" w:cs="MS PGothic" w:eastAsia="MS PGothic" w:hAnsi="MS PGothic"/>
                <w:sz w:val="20"/>
                <w:szCs w:val="20"/>
                <w:b w:val="1"/>
                <w:bCs w:val="1"/>
                <w:color w:val="050505"/>
                <w:w w:val="99"/>
              </w:rPr>
              <w:t>☐</w:t>
            </w:r>
          </w:p>
        </w:tc>
      </w:tr>
    </w:tbl>
    <w:p>
      <w:pPr>
        <w:spacing w:after="0" w:line="4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050505"/>
        </w:rPr>
        <w:t>If an emerging growth company, indicate by check mark if the registrant has elected not to use the extended transition period for</w:t>
      </w:r>
    </w:p>
    <w:p>
      <w:pPr>
        <w:spacing w:after="0" w:line="27"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050505"/>
        </w:rPr>
        <w:t xml:space="preserve">complying with any new or revised financial accounting standards provided pursuant to Section 13(a) of the Exchange Act. </w:t>
      </w:r>
      <w:r>
        <w:rPr>
          <w:rFonts w:ascii="MS PGothic" w:cs="MS PGothic" w:eastAsia="MS PGothic" w:hAnsi="MS PGothic"/>
          <w:sz w:val="18"/>
          <w:szCs w:val="18"/>
          <w:b w:val="1"/>
          <w:bCs w:val="1"/>
          <w:color w:val="050505"/>
        </w:rPr>
        <w:t>☐</w:t>
      </w:r>
    </w:p>
    <w:p>
      <w:pPr>
        <w:spacing w:after="0" w:line="1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050505"/>
        </w:rPr>
        <w:t>Indicate by check mark whether the registrant has filed a report on and attestation to its management’s assessment of the effectiveness of</w:t>
      </w:r>
    </w:p>
    <w:p>
      <w:pPr>
        <w:spacing w:after="0" w:line="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050505"/>
        </w:rPr>
        <w:t>its internal control over financial reporting under Section 404(b) of the Sarbanes-Oxley Act (15 U.S.C. 7262(b)) by the registered public</w:t>
      </w:r>
    </w:p>
    <w:p>
      <w:pPr>
        <w:spacing w:after="0" w:line="9"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050505"/>
        </w:rPr>
        <w:t xml:space="preserve">accounting firm that prepared or issued its audit report. </w:t>
      </w:r>
      <w:r>
        <w:rPr>
          <w:rFonts w:ascii="MS PGothic" w:cs="MS PGothic" w:eastAsia="MS PGothic" w:hAnsi="MS PGothic"/>
          <w:sz w:val="18"/>
          <w:szCs w:val="18"/>
          <w:b w:val="1"/>
          <w:bCs w:val="1"/>
          <w:color w:val="050505"/>
        </w:rPr>
        <w:t>☐</w:t>
      </w:r>
    </w:p>
    <w:p>
      <w:pPr>
        <w:spacing w:after="0" w:line="11" w:lineRule="exact"/>
        <w:rPr>
          <w:sz w:val="24"/>
          <w:szCs w:val="24"/>
          <w:color w:val="auto"/>
        </w:rPr>
      </w:pPr>
    </w:p>
    <w:p>
      <w:pPr>
        <w:ind w:left="440" w:right="360"/>
        <w:spacing w:after="0" w:line="228" w:lineRule="exact"/>
        <w:rPr>
          <w:sz w:val="20"/>
          <w:szCs w:val="20"/>
          <w:color w:val="auto"/>
        </w:rPr>
      </w:pPr>
      <w:r>
        <w:rPr>
          <w:rFonts w:ascii="Times New Roman" w:cs="Times New Roman" w:eastAsia="Times New Roman" w:hAnsi="Times New Roman"/>
          <w:sz w:val="18"/>
          <w:szCs w:val="18"/>
          <w:color w:val="05050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b w:val="1"/>
          <w:bCs w:val="1"/>
          <w:color w:val="050505"/>
        </w:rPr>
        <w:t>☐</w:t>
      </w:r>
    </w:p>
    <w:p>
      <w:pPr>
        <w:spacing w:after="0" w:line="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050505"/>
        </w:rPr>
        <w:t>Indicate by check mark whether any of those error corrections are restatements that required a recovery analysis of incentive-based</w:t>
      </w:r>
    </w:p>
    <w:p>
      <w:pPr>
        <w:spacing w:after="0" w:line="14" w:lineRule="exact"/>
        <w:rPr>
          <w:sz w:val="24"/>
          <w:szCs w:val="24"/>
          <w:color w:val="auto"/>
        </w:rPr>
      </w:pPr>
    </w:p>
    <w:p>
      <w:pPr>
        <w:ind w:left="440" w:right="460"/>
        <w:spacing w:after="0" w:line="257" w:lineRule="exact"/>
        <w:rPr>
          <w:sz w:val="20"/>
          <w:szCs w:val="20"/>
          <w:color w:val="auto"/>
        </w:rPr>
      </w:pPr>
      <w:r>
        <w:rPr>
          <w:rFonts w:ascii="Times New Roman" w:cs="Times New Roman" w:eastAsia="Times New Roman" w:hAnsi="Times New Roman"/>
          <w:sz w:val="18"/>
          <w:szCs w:val="18"/>
          <w:color w:val="050505"/>
        </w:rPr>
        <w:t xml:space="preserve">compensation received by any of the registrant’s executive officers during the relevant recovery period pursuant to § 240.10D-1(b). </w:t>
      </w:r>
      <w:r>
        <w:rPr>
          <w:rFonts w:ascii="Wingdings" w:cs="Wingdings" w:eastAsia="Wingdings" w:hAnsi="Wingdings"/>
          <w:sz w:val="24"/>
          <w:szCs w:val="24"/>
          <w:b w:val="1"/>
          <w:bCs w:val="1"/>
          <w:color w:val="050505"/>
        </w:rPr>
        <w:t>¨</w:t>
      </w:r>
      <w:r>
        <w:rPr>
          <w:rFonts w:ascii="Times New Roman" w:cs="Times New Roman" w:eastAsia="Times New Roman" w:hAnsi="Times New Roman"/>
          <w:sz w:val="18"/>
          <w:szCs w:val="18"/>
          <w:color w:val="050505"/>
        </w:rPr>
        <w:t xml:space="preserve"> Indicate by check mark whether the Registrant is a shell company (as defined in Rule 12b-2 of the Exchange Act). Yes </w:t>
      </w:r>
      <w:r>
        <w:rPr>
          <w:rFonts w:ascii="MS PGothic" w:cs="MS PGothic" w:eastAsia="MS PGothic" w:hAnsi="MS PGothic"/>
          <w:sz w:val="18"/>
          <w:szCs w:val="18"/>
          <w:b w:val="1"/>
          <w:bCs w:val="1"/>
          <w:color w:val="050505"/>
        </w:rPr>
        <w:t>☐</w:t>
      </w:r>
      <w:r>
        <w:rPr>
          <w:rFonts w:ascii="Times New Roman" w:cs="Times New Roman" w:eastAsia="Times New Roman" w:hAnsi="Times New Roman"/>
          <w:sz w:val="18"/>
          <w:szCs w:val="18"/>
          <w:color w:val="050505"/>
        </w:rPr>
        <w:t xml:space="preserve"> No </w:t>
      </w:r>
      <w:r>
        <w:rPr>
          <w:rFonts w:ascii="MS PGothic" w:cs="MS PGothic" w:eastAsia="MS PGothic" w:hAnsi="MS PGothic"/>
          <w:sz w:val="18"/>
          <w:szCs w:val="18"/>
          <w:b w:val="1"/>
          <w:bCs w:val="1"/>
          <w:color w:val="050505"/>
        </w:rPr>
        <w:t>☒</w:t>
      </w:r>
    </w:p>
    <w:p>
      <w:pPr>
        <w:sectPr>
          <w:pgSz w:w="12240" w:h="15840" w:orient="portrait"/>
          <w:cols w:equalWidth="0" w:num="1">
            <w:col w:w="10620"/>
          </w:cols>
          <w:pgMar w:left="820" w:top="919" w:right="800" w:bottom="497" w:gutter="0" w:footer="0" w:header="0"/>
          <w:type w:val="continuous"/>
        </w:sectPr>
      </w:pPr>
    </w:p>
    <w:bookmarkStart w:id="1" w:name="page2"/>
    <w:bookmarkEnd w:id="1"/>
    <w:p>
      <w:pPr>
        <w:ind w:left="260"/>
        <w:spacing w:after="0" w:line="250" w:lineRule="auto"/>
        <w:rPr>
          <w:sz w:val="20"/>
          <w:szCs w:val="20"/>
          <w:color w:val="auto"/>
        </w:rPr>
      </w:pPr>
      <w:r>
        <w:rPr>
          <w:rFonts w:ascii="Times New Roman" w:cs="Times New Roman" w:eastAsia="Times New Roman" w:hAnsi="Times New Roman"/>
          <w:sz w:val="18"/>
          <w:szCs w:val="18"/>
          <w:color w:val="050505"/>
        </w:rPr>
        <w:t>The aggregate market value of the voting and non-voting common equity held by non-affiliates of the registrant as of June 30, 2025 (the last business day of the registrant’s most recently completed second fiscal quarter) was approximately $184 million based on the closing price of the registrant’s common stock on June 30, 2025 of $1.13 per share, as reported by The Nasdaq Global Select Market</w:t>
      </w:r>
      <w:r>
        <w:rPr>
          <w:rFonts w:ascii="Times New Roman" w:cs="Times New Roman" w:eastAsia="Times New Roman" w:hAnsi="Times New Roman"/>
          <w:sz w:val="16"/>
          <w:szCs w:val="16"/>
          <w:color w:val="050505"/>
        </w:rPr>
        <w:t>.</w:t>
      </w:r>
      <w:r>
        <w:rPr>
          <w:rFonts w:ascii="Times New Roman" w:cs="Times New Roman" w:eastAsia="Times New Roman" w:hAnsi="Times New Roman"/>
          <w:sz w:val="18"/>
          <w:szCs w:val="18"/>
          <w:color w:val="050505"/>
        </w:rPr>
        <w:t xml:space="preserve"> The number of shares of Registrant’s Common Stock outstanding as of March 10, 2026 was 243,777,920.</w:t>
      </w:r>
    </w:p>
    <w:p>
      <w:pPr>
        <w:spacing w:after="0" w:line="8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050505"/>
        </w:rPr>
        <w:t>DOCUMENTS INCORPORATED BY REFERENCE</w:t>
      </w:r>
    </w:p>
    <w:p>
      <w:pPr>
        <w:spacing w:after="0" w:line="3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050505"/>
        </w:rPr>
        <w:t>Portions of the Registrant’s Definitive Proxy Statement relating to the 2026 Annual Meeting of Stockholders, which will be filed with the Securities and Exchange Commission on or before April 30, 2026,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6540500"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0500" cy="50800"/>
                    </a:xfrm>
                    <a:prstGeom prst="rect">
                      <a:avLst/>
                    </a:prstGeom>
                    <a:noFill/>
                  </pic:spPr>
                </pic:pic>
              </a:graphicData>
            </a:graphic>
          </wp:anchor>
        </w:drawing>
      </w:r>
    </w:p>
    <w:p>
      <w:pPr>
        <w:sectPr>
          <w:pgSz w:w="12240" w:h="15840" w:orient="portrait"/>
          <w:cols w:equalWidth="0" w:num="1">
            <w:col w:w="10080"/>
          </w:cols>
          <w:pgMar w:left="1000" w:top="799" w:right="116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900" w:type="dxa"/>
            <w:vAlign w:val="bottom"/>
          </w:tcPr>
          <w:p>
            <w:pPr>
              <w:spacing w:after="0"/>
              <w:rPr>
                <w:sz w:val="22"/>
                <w:szCs w:val="22"/>
                <w:color w:val="auto"/>
              </w:rPr>
            </w:pPr>
          </w:p>
        </w:tc>
        <w:tc>
          <w:tcPr>
            <w:tcW w:w="8780" w:type="dxa"/>
            <w:vAlign w:val="bottom"/>
          </w:tcPr>
          <w:p>
            <w:pPr>
              <w:ind w:left="3400"/>
              <w:spacing w:after="0"/>
              <w:rPr>
                <w:sz w:val="20"/>
                <w:szCs w:val="20"/>
                <w:color w:val="auto"/>
              </w:rPr>
            </w:pPr>
            <w:r>
              <w:rPr>
                <w:rFonts w:ascii="Times New Roman" w:cs="Times New Roman" w:eastAsia="Times New Roman" w:hAnsi="Times New Roman"/>
                <w:sz w:val="20"/>
                <w:szCs w:val="20"/>
                <w:b w:val="1"/>
                <w:bCs w:val="1"/>
                <w:color w:val="050505"/>
              </w:rPr>
              <w:t>Table of Contents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90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5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16"/>
                <w:szCs w:val="16"/>
                <w:b w:val="1"/>
                <w:bCs w:val="1"/>
                <w:color w:val="050505"/>
              </w:rPr>
              <w:t>Page</w:t>
            </w:r>
          </w:p>
        </w:tc>
        <w:tc>
          <w:tcPr>
            <w:tcW w:w="0" w:type="dxa"/>
            <w:vAlign w:val="bottom"/>
          </w:tcPr>
          <w:p>
            <w:pPr>
              <w:spacing w:after="0"/>
              <w:rPr>
                <w:sz w:val="1"/>
                <w:szCs w:val="1"/>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PART I</w:t>
            </w:r>
          </w:p>
        </w:tc>
        <w:tc>
          <w:tcPr>
            <w:tcW w:w="8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Business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1A.</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39</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1B.</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Unresolved Staff Comments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87</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1C.</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Cybersecurity</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87</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2.</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Properties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88</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3.</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88</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4.</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88</w:t>
            </w:r>
          </w:p>
        </w:tc>
        <w:tc>
          <w:tcPr>
            <w:tcW w:w="0" w:type="dxa"/>
            <w:vAlign w:val="bottom"/>
          </w:tcPr>
          <w:p>
            <w:pPr>
              <w:spacing w:after="0"/>
              <w:rPr>
                <w:sz w:val="1"/>
                <w:szCs w:val="1"/>
                <w:color w:val="auto"/>
              </w:rPr>
            </w:pPr>
          </w:p>
        </w:tc>
      </w:tr>
      <w:tr>
        <w:trPr>
          <w:trHeight w:val="600"/>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PART II</w:t>
            </w:r>
          </w:p>
        </w:tc>
        <w:tc>
          <w:tcPr>
            <w:tcW w:w="8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00" w:type="dxa"/>
            <w:vAlign w:val="bottom"/>
          </w:tcPr>
          <w:p>
            <w:pPr>
              <w:ind w:left="140"/>
              <w:spacing w:after="0" w:line="227" w:lineRule="exact"/>
              <w:rPr>
                <w:sz w:val="20"/>
                <w:szCs w:val="20"/>
                <w:color w:val="auto"/>
              </w:rPr>
            </w:pPr>
            <w:r>
              <w:rPr>
                <w:rFonts w:ascii="Times New Roman" w:cs="Times New Roman" w:eastAsia="Times New Roman" w:hAnsi="Times New Roman"/>
                <w:sz w:val="20"/>
                <w:szCs w:val="20"/>
                <w:color w:val="050505"/>
              </w:rPr>
              <w:t>Item 5.</w:t>
            </w:r>
          </w:p>
        </w:tc>
        <w:tc>
          <w:tcPr>
            <w:tcW w:w="8780" w:type="dxa"/>
            <w:vAlign w:val="bottom"/>
          </w:tcPr>
          <w:p>
            <w:pPr>
              <w:ind w:left="60"/>
              <w:spacing w:after="0" w:line="227" w:lineRule="exact"/>
              <w:rPr>
                <w:sz w:val="20"/>
                <w:szCs w:val="20"/>
                <w:color w:val="auto"/>
              </w:rPr>
            </w:pPr>
            <w:r>
              <w:rPr>
                <w:rFonts w:ascii="Times New Roman" w:cs="Times New Roman" w:eastAsia="Times New Roman" w:hAnsi="Times New Roman"/>
                <w:sz w:val="20"/>
                <w:szCs w:val="20"/>
                <w:color w:val="050505"/>
              </w:rPr>
              <w:t>Market for Registrant’s Common Equity, Related Stockholder Matters and Issuer Purchases of Equity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900" w:type="dxa"/>
            <w:vAlign w:val="bottom"/>
          </w:tcPr>
          <w:p>
            <w:pPr>
              <w:spacing w:after="0"/>
              <w:rPr>
                <w:sz w:val="22"/>
                <w:szCs w:val="22"/>
                <w:color w:val="auto"/>
              </w:rPr>
            </w:pP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Securities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90</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8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6.</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[Reserved]</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91</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7.</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91</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7A.</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102</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8.</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Financial Statements and Supplementary Data</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104</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9.</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Changes in and Disagreements With Accountants on Accounting and Financial Disclosure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138</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9A.</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138</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9B.</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138</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9C.</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Disclosure Regarding Foreign Jurisdictions that Prevent Inspections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138</w:t>
            </w:r>
          </w:p>
        </w:tc>
        <w:tc>
          <w:tcPr>
            <w:tcW w:w="0" w:type="dxa"/>
            <w:vAlign w:val="bottom"/>
          </w:tcPr>
          <w:p>
            <w:pPr>
              <w:spacing w:after="0"/>
              <w:rPr>
                <w:sz w:val="1"/>
                <w:szCs w:val="1"/>
                <w:color w:val="auto"/>
              </w:rPr>
            </w:pPr>
          </w:p>
        </w:tc>
      </w:tr>
      <w:tr>
        <w:trPr>
          <w:trHeight w:val="600"/>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PART III</w:t>
            </w:r>
          </w:p>
        </w:tc>
        <w:tc>
          <w:tcPr>
            <w:tcW w:w="8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10.</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Directors, Executive Officers and Corporate Governance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139</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11.</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Executive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139</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12.</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Security Ownership of Certain Beneficial Owners and Management and Related Stockholder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139</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13.</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Certain Relationships and Related Transactions, and Director Independence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139</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14.</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Principal Accounting Fees and Services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139</w:t>
            </w:r>
          </w:p>
        </w:tc>
        <w:tc>
          <w:tcPr>
            <w:tcW w:w="0" w:type="dxa"/>
            <w:vAlign w:val="bottom"/>
          </w:tcPr>
          <w:p>
            <w:pPr>
              <w:spacing w:after="0"/>
              <w:rPr>
                <w:sz w:val="1"/>
                <w:szCs w:val="1"/>
                <w:color w:val="auto"/>
              </w:rPr>
            </w:pPr>
          </w:p>
        </w:tc>
      </w:tr>
      <w:tr>
        <w:trPr>
          <w:trHeight w:val="600"/>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PART IV</w:t>
            </w:r>
          </w:p>
        </w:tc>
        <w:tc>
          <w:tcPr>
            <w:tcW w:w="8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15.</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Exhibits, Financial Statement Schedules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140</w:t>
            </w:r>
          </w:p>
        </w:tc>
        <w:tc>
          <w:tcPr>
            <w:tcW w:w="0" w:type="dxa"/>
            <w:vAlign w:val="bottom"/>
          </w:tcPr>
          <w:p>
            <w:pPr>
              <w:spacing w:after="0"/>
              <w:rPr>
                <w:sz w:val="1"/>
                <w:szCs w:val="1"/>
                <w:color w:val="auto"/>
              </w:rPr>
            </w:pPr>
          </w:p>
        </w:tc>
      </w:tr>
      <w:tr>
        <w:trPr>
          <w:trHeight w:val="30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Item 16.</w:t>
            </w:r>
          </w:p>
        </w:tc>
        <w:tc>
          <w:tcPr>
            <w:tcW w:w="878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Form 10-K Summary</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050505"/>
        </w:rPr>
        <w:t>i</w:t>
      </w:r>
    </w:p>
    <w:p>
      <w:pPr>
        <w:sectPr>
          <w:pgSz w:w="12240" w:h="15840" w:orient="portrait"/>
          <w:cols w:equalWidth="0" w:num="1">
            <w:col w:w="10180"/>
          </w:cols>
          <w:pgMar w:left="1060" w:top="786" w:right="100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ind w:right="60" w:firstLine="900"/>
        <w:spacing w:after="0" w:line="271" w:lineRule="auto"/>
        <w:rPr>
          <w:sz w:val="20"/>
          <w:szCs w:val="20"/>
          <w:color w:val="auto"/>
        </w:rPr>
      </w:pPr>
      <w:r>
        <w:rPr>
          <w:rFonts w:ascii="Times New Roman" w:cs="Times New Roman" w:eastAsia="Times New Roman" w:hAnsi="Times New Roman"/>
          <w:sz w:val="20"/>
          <w:szCs w:val="20"/>
          <w:color w:val="050505"/>
        </w:rPr>
        <w:t>Unless the context requires otherwise, references in this report to “Allogene,” the “Company,” “we,” “us” and “our” refer to Allogene Therapeutics,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50505"/>
        </w:rPr>
        <w:t>SPECIAL NOTE REGARDING FORWARD-LOOKING STATEMENTS</w:t>
      </w:r>
    </w:p>
    <w:p>
      <w:pPr>
        <w:spacing w:after="0" w:line="231" w:lineRule="exact"/>
        <w:rPr>
          <w:sz w:val="20"/>
          <w:szCs w:val="20"/>
          <w:color w:val="auto"/>
        </w:rPr>
      </w:pPr>
    </w:p>
    <w:p>
      <w:pPr>
        <w:ind w:right="100" w:firstLine="900"/>
        <w:spacing w:after="0"/>
        <w:rPr>
          <w:sz w:val="20"/>
          <w:szCs w:val="20"/>
          <w:color w:val="auto"/>
        </w:rPr>
      </w:pPr>
      <w:r>
        <w:rPr>
          <w:rFonts w:ascii="Times New Roman" w:cs="Times New Roman" w:eastAsia="Times New Roman" w:hAnsi="Times New Roman"/>
          <w:sz w:val="20"/>
          <w:szCs w:val="20"/>
          <w:color w:val="050505"/>
        </w:rPr>
        <w:t>This Annual Report contains forward-looking statements. The forward-looking statements are contained principally in the sections entitled “Business,” “Risk Factors,” and “Management’s Discussion and Analysis of Financial Condition and Results of Operations”.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88" w:lineRule="exact"/>
        <w:rPr>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success, cost, timing and potential indications of our product development activities and clinical trials;</w:t>
      </w:r>
    </w:p>
    <w:p>
      <w:pPr>
        <w:spacing w:after="0" w:line="218" w:lineRule="exact"/>
        <w:rPr>
          <w:rFonts w:ascii="Times New Roman" w:cs="Times New Roman" w:eastAsia="Times New Roman" w:hAnsi="Times New Roman"/>
          <w:sz w:val="20"/>
          <w:szCs w:val="20"/>
          <w:color w:val="050505"/>
        </w:rPr>
      </w:pPr>
    </w:p>
    <w:p>
      <w:pPr>
        <w:ind w:left="720" w:right="600" w:hanging="370"/>
        <w:spacing w:after="0" w:line="265" w:lineRule="auto"/>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timing of the initiation, enrollment and completion of planned clinical trials in the United States and foreign countries;</w:t>
      </w:r>
    </w:p>
    <w:p>
      <w:pPr>
        <w:spacing w:after="0" w:line="164" w:lineRule="exact"/>
        <w:rPr>
          <w:rFonts w:ascii="Times New Roman" w:cs="Times New Roman" w:eastAsia="Times New Roman" w:hAnsi="Times New Roman"/>
          <w:sz w:val="20"/>
          <w:szCs w:val="20"/>
          <w:color w:val="050505"/>
        </w:rPr>
      </w:pPr>
    </w:p>
    <w:p>
      <w:pPr>
        <w:ind w:left="720" w:right="60" w:hanging="370"/>
        <w:spacing w:after="0" w:line="249" w:lineRule="auto"/>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obtain and maintain regulatory approval of our product candidates in any of the indications for which we plan to develop them, and any related restrictions, limitations, and/or warnings in the label of an approved product candidate;</w:t>
      </w:r>
    </w:p>
    <w:p>
      <w:pPr>
        <w:spacing w:after="0" w:line="180" w:lineRule="exact"/>
        <w:rPr>
          <w:rFonts w:ascii="Times New Roman" w:cs="Times New Roman" w:eastAsia="Times New Roman" w:hAnsi="Times New Roman"/>
          <w:sz w:val="20"/>
          <w:szCs w:val="20"/>
          <w:color w:val="050505"/>
        </w:rPr>
      </w:pPr>
    </w:p>
    <w:p>
      <w:pPr>
        <w:ind w:left="720" w:right="300" w:hanging="370"/>
        <w:spacing w:after="0" w:line="265" w:lineRule="auto"/>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obtain funding for our operations, including funding necessary to complete the clinical trials of any of our product candidates;</w:t>
      </w:r>
    </w:p>
    <w:p>
      <w:pPr>
        <w:spacing w:after="0" w:line="164"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and plans to research, develop, manufacture and commercialize our product candidates;</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attract and retain collaborators with development, regulatory and commercialization expertise;</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size of the markets for our product candidates, and our ability to serve those markets;</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successfully commercialize our product candidates;</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rate and degree of market acceptance of our product candidates;</w:t>
      </w:r>
    </w:p>
    <w:p>
      <w:pPr>
        <w:spacing w:after="0" w:line="218" w:lineRule="exact"/>
        <w:rPr>
          <w:rFonts w:ascii="Times New Roman" w:cs="Times New Roman" w:eastAsia="Times New Roman" w:hAnsi="Times New Roman"/>
          <w:sz w:val="20"/>
          <w:szCs w:val="20"/>
          <w:color w:val="050505"/>
        </w:rPr>
      </w:pPr>
    </w:p>
    <w:p>
      <w:pPr>
        <w:ind w:left="720" w:right="1000" w:hanging="370"/>
        <w:spacing w:after="0" w:line="265" w:lineRule="auto"/>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develop and maintain sales and marketing capabilities, whether alone or with potential future collaborators;</w:t>
      </w:r>
    </w:p>
    <w:p>
      <w:pPr>
        <w:spacing w:after="0" w:line="164"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regulatory developments in the United States and foreign countries;</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contract with and the performance of our and our collaborators’ third-party suppliers and manufacturers;</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develop and successfully operate our own manufacturing facility;</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success of competing therapies that are or become available;</w:t>
      </w:r>
    </w:p>
    <w:p>
      <w:pPr>
        <w:spacing w:after="0" w:line="218"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ability to attract and retain key scientific or management personnel;</w:t>
      </w:r>
    </w:p>
    <w:p>
      <w:pPr>
        <w:spacing w:after="0" w:line="218" w:lineRule="exact"/>
        <w:rPr>
          <w:rFonts w:ascii="Times New Roman" w:cs="Times New Roman" w:eastAsia="Times New Roman" w:hAnsi="Times New Roman"/>
          <w:sz w:val="20"/>
          <w:szCs w:val="20"/>
          <w:color w:val="050505"/>
        </w:rPr>
      </w:pPr>
    </w:p>
    <w:p>
      <w:pPr>
        <w:ind w:left="720" w:right="580" w:hanging="370"/>
        <w:spacing w:after="0" w:line="265" w:lineRule="auto"/>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accuracy of our estimates regarding expenses, future revenues, capital requirements and needs for additional financing;</w:t>
      </w:r>
    </w:p>
    <w:p>
      <w:pPr>
        <w:spacing w:after="0" w:line="164"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use of cash and other resources; and</w:t>
      </w:r>
    </w:p>
    <w:p>
      <w:pPr>
        <w:spacing w:after="0" w:line="218" w:lineRule="exact"/>
        <w:rPr>
          <w:rFonts w:ascii="Times New Roman" w:cs="Times New Roman" w:eastAsia="Times New Roman" w:hAnsi="Times New Roman"/>
          <w:sz w:val="20"/>
          <w:szCs w:val="20"/>
          <w:color w:val="050505"/>
        </w:rPr>
      </w:pPr>
    </w:p>
    <w:p>
      <w:pPr>
        <w:ind w:left="720" w:hanging="370"/>
        <w:spacing w:after="0" w:line="265" w:lineRule="auto"/>
        <w:tabs>
          <w:tab w:leader="none" w:pos="720" w:val="left"/>
        </w:tabs>
        <w:numPr>
          <w:ilvl w:val="0"/>
          <w:numId w:val="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expectations regarding our ability to obtain and maintain intellectual property protection for our product candidates and our ability to operate our business without infringing on the intellectual property rights of others.</w:t>
      </w:r>
    </w:p>
    <w:p>
      <w:pPr>
        <w:spacing w:after="0" w:line="164" w:lineRule="exact"/>
        <w:rPr>
          <w:sz w:val="20"/>
          <w:szCs w:val="20"/>
          <w:color w:val="auto"/>
        </w:rPr>
      </w:pPr>
    </w:p>
    <w:p>
      <w:pPr>
        <w:ind w:right="120" w:firstLine="900"/>
        <w:spacing w:after="0" w:line="253" w:lineRule="auto"/>
        <w:rPr>
          <w:sz w:val="20"/>
          <w:szCs w:val="20"/>
          <w:color w:val="auto"/>
        </w:rPr>
      </w:pPr>
      <w:r>
        <w:rPr>
          <w:rFonts w:ascii="Times New Roman" w:cs="Times New Roman" w:eastAsia="Times New Roman" w:hAnsi="Times New Roman"/>
          <w:sz w:val="19"/>
          <w:szCs w:val="19"/>
          <w:color w:val="050505"/>
        </w:rPr>
        <w:t>In some cases, you can identify these statements by terms such as “anticipate,” “believe,” “could,” “estimate,” “expects,”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report and are subject to risks and uncertainties. 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w:t>
      </w:r>
    </w:p>
    <w:p>
      <w:pPr>
        <w:sectPr>
          <w:pgSz w:w="12240" w:h="15840" w:orient="portrait"/>
          <w:cols w:equalWidth="0" w:num="1">
            <w:col w:w="10240"/>
          </w:cols>
          <w:pgMar w:left="1000" w:top="793" w:right="1000" w:bottom="0" w:gutter="0" w:footer="0" w:header="0"/>
          <w:type w:val="continuous"/>
        </w:sectPr>
      </w:pPr>
    </w:p>
    <w:bookmarkStart w:id="5" w:name="page6"/>
    <w:bookmarkEnd w:id="5"/>
    <w:p>
      <w:pPr>
        <w:spacing w:after="0" w:line="238" w:lineRule="auto"/>
        <w:rPr>
          <w:sz w:val="20"/>
          <w:szCs w:val="20"/>
          <w:color w:val="auto"/>
        </w:rPr>
      </w:pPr>
      <w:r>
        <w:rPr>
          <w:rFonts w:ascii="Times New Roman" w:cs="Times New Roman" w:eastAsia="Times New Roman" w:hAnsi="Times New Roman"/>
          <w:sz w:val="20"/>
          <w:szCs w:val="20"/>
          <w:color w:val="050505"/>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Annual Report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92" w:lineRule="exact"/>
        <w:rPr>
          <w:sz w:val="20"/>
          <w:szCs w:val="20"/>
          <w:color w:val="auto"/>
        </w:rPr>
      </w:pPr>
    </w:p>
    <w:p>
      <w:pPr>
        <w:ind w:right="180" w:firstLine="900"/>
        <w:spacing w:after="0" w:line="244" w:lineRule="auto"/>
        <w:rPr>
          <w:sz w:val="20"/>
          <w:szCs w:val="20"/>
          <w:color w:val="auto"/>
        </w:rPr>
      </w:pPr>
      <w:r>
        <w:rPr>
          <w:rFonts w:ascii="Times New Roman" w:cs="Times New Roman" w:eastAsia="Times New Roman" w:hAnsi="Times New Roman"/>
          <w:sz w:val="20"/>
          <w:szCs w:val="20"/>
          <w:color w:val="050505"/>
        </w:rPr>
        <w:t>You should carefully read this Annual Report and the documents that we reference in this Annual Report and have filed as exhibits to this Annual Report completely and with the understanding that our actual future results may be materially different from what we expect. We qualify all of the forward-looking statements in this Annual Report by these cautionary statements.</w:t>
      </w:r>
    </w:p>
    <w:p>
      <w:pPr>
        <w:spacing w:after="0" w:line="185" w:lineRule="exact"/>
        <w:rPr>
          <w:sz w:val="20"/>
          <w:szCs w:val="20"/>
          <w:color w:val="auto"/>
        </w:rPr>
      </w:pPr>
    </w:p>
    <w:p>
      <w:pPr>
        <w:ind w:right="100" w:firstLine="900"/>
        <w:spacing w:after="0" w:line="249" w:lineRule="auto"/>
        <w:rPr>
          <w:sz w:val="20"/>
          <w:szCs w:val="20"/>
          <w:color w:val="auto"/>
        </w:rPr>
      </w:pPr>
      <w:r>
        <w:rPr>
          <w:rFonts w:ascii="Times New Roman" w:cs="Times New Roman" w:eastAsia="Times New Roman" w:hAnsi="Times New Roman"/>
          <w:sz w:val="20"/>
          <w:szCs w:val="20"/>
          <w:color w:val="050505"/>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3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u w:val="single" w:color="auto"/>
          <w:color w:val="050505"/>
        </w:rPr>
        <w:t>Trademarks and Trade names</w:t>
      </w:r>
    </w:p>
    <w:p>
      <w:pPr>
        <w:spacing w:after="0" w:line="241" w:lineRule="exact"/>
        <w:rPr>
          <w:sz w:val="20"/>
          <w:szCs w:val="20"/>
          <w:color w:val="auto"/>
        </w:rPr>
      </w:pPr>
    </w:p>
    <w:p>
      <w:pPr>
        <w:ind w:right="120" w:firstLine="900"/>
        <w:spacing w:after="0"/>
        <w:rPr>
          <w:sz w:val="20"/>
          <w:szCs w:val="20"/>
          <w:color w:val="auto"/>
        </w:rPr>
      </w:pPr>
      <w:r>
        <w:rPr>
          <w:rFonts w:ascii="Times New Roman" w:cs="Times New Roman" w:eastAsia="Times New Roman" w:hAnsi="Times New Roman"/>
          <w:sz w:val="20"/>
          <w:szCs w:val="20"/>
          <w:color w:val="050505"/>
        </w:rPr>
        <w:t xml:space="preserve">This Annual Report contains references to our trademarks and to trademarks belonging to other entities. Solely for convenience, trademarks and trade names referred to in this Annual Report, including logos, artwork and other visual displays, may appear without the </w:t>
      </w:r>
      <w:r>
        <w:rPr>
          <w:rFonts w:ascii="Times New Roman" w:cs="Times New Roman" w:eastAsia="Times New Roman" w:hAnsi="Times New Roman"/>
          <w:sz w:val="18"/>
          <w:szCs w:val="18"/>
          <w:color w:val="050505"/>
        </w:rPr>
        <w:t>®</w:t>
      </w:r>
      <w:r>
        <w:rPr>
          <w:rFonts w:ascii="Times New Roman" w:cs="Times New Roman" w:eastAsia="Times New Roman" w:hAnsi="Times New Roman"/>
          <w:sz w:val="20"/>
          <w:szCs w:val="20"/>
          <w:color w:val="050505"/>
        </w:rPr>
        <w:t xml:space="preserve">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2</w:t>
      </w:r>
    </w:p>
    <w:p>
      <w:pPr>
        <w:sectPr>
          <w:pgSz w:w="12240" w:h="15840" w:orient="portrait"/>
          <w:cols w:equalWidth="0" w:num="1">
            <w:col w:w="10240"/>
          </w:cols>
          <w:pgMar w:left="1000" w:top="793" w:right="100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050505"/>
        </w:rPr>
        <w:t>RISK FACTOR SUMMARY</w:t>
      </w:r>
    </w:p>
    <w:p>
      <w:pPr>
        <w:spacing w:after="0" w:line="185"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b w:val="1"/>
          <w:bCs w:val="1"/>
          <w:i w:val="1"/>
          <w:iCs w:val="1"/>
          <w:color w:val="050505"/>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under Item 1A of Part I of this Annual Report, and should be carefully considered, together with other information in this Annual Report before making investment decisions regarding our common stock.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Financial Position and Capital Needs</w:t>
      </w:r>
    </w:p>
    <w:p>
      <w:pPr>
        <w:spacing w:after="0" w:line="97" w:lineRule="exact"/>
        <w:rPr>
          <w:sz w:val="20"/>
          <w:szCs w:val="20"/>
          <w:color w:val="auto"/>
        </w:rPr>
      </w:pPr>
    </w:p>
    <w:p>
      <w:pPr>
        <w:ind w:left="1260" w:right="100" w:hanging="550"/>
        <w:spacing w:after="0" w:line="265" w:lineRule="auto"/>
        <w:tabs>
          <w:tab w:leader="none" w:pos="1260" w:val="left"/>
        </w:tabs>
        <w:numPr>
          <w:ilvl w:val="0"/>
          <w:numId w:val="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have incurred net losses in every period since our inception and anticipate that we will incur substantial net losses in the future.</w:t>
      </w:r>
    </w:p>
    <w:p>
      <w:pPr>
        <w:spacing w:after="0" w:line="20" w:lineRule="exact"/>
        <w:rPr>
          <w:rFonts w:ascii="Times New Roman" w:cs="Times New Roman" w:eastAsia="Times New Roman" w:hAnsi="Times New Roman"/>
          <w:sz w:val="20"/>
          <w:szCs w:val="20"/>
          <w:color w:val="050505"/>
        </w:rPr>
      </w:pPr>
    </w:p>
    <w:p>
      <w:pPr>
        <w:ind w:left="1260" w:hanging="550"/>
        <w:spacing w:after="0" w:line="249" w:lineRule="auto"/>
        <w:tabs>
          <w:tab w:leader="none" w:pos="1260" w:val="left"/>
        </w:tabs>
        <w:numPr>
          <w:ilvl w:val="0"/>
          <w:numId w:val="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will need substantial additional financing to develop our products and implement our operating plans. If we fail to obtain additional financing, we may be unable to complete the development and commercialization of our product candidates.</w:t>
      </w:r>
    </w:p>
    <w:p>
      <w:pPr>
        <w:spacing w:after="0" w:line="36" w:lineRule="exact"/>
        <w:rPr>
          <w:rFonts w:ascii="Times New Roman" w:cs="Times New Roman" w:eastAsia="Times New Roman" w:hAnsi="Times New Roman"/>
          <w:sz w:val="20"/>
          <w:szCs w:val="20"/>
          <w:color w:val="050505"/>
        </w:rPr>
      </w:pPr>
    </w:p>
    <w:p>
      <w:pPr>
        <w:ind w:left="1260" w:right="240" w:hanging="550"/>
        <w:spacing w:after="0" w:line="265" w:lineRule="auto"/>
        <w:tabs>
          <w:tab w:leader="none" w:pos="1260" w:val="left"/>
        </w:tabs>
        <w:numPr>
          <w:ilvl w:val="0"/>
          <w:numId w:val="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may fail to meet our publicly announced guidance or other expectations about our business, which would cause our stock price to decline.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Business and Industry</w:t>
      </w:r>
    </w:p>
    <w:p>
      <w:pPr>
        <w:spacing w:after="0" w:line="97" w:lineRule="exact"/>
        <w:rPr>
          <w:sz w:val="20"/>
          <w:szCs w:val="20"/>
          <w:color w:val="auto"/>
        </w:rPr>
      </w:pPr>
    </w:p>
    <w:p>
      <w:pPr>
        <w:ind w:left="1260" w:right="80" w:hanging="550"/>
        <w:spacing w:after="0" w:line="281"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product candidates are based on novel technologies, which makes it difficult to predict the time and cost of product candidate development and the likelihood of obtaining regulatory approval.</w:t>
      </w:r>
    </w:p>
    <w:p>
      <w:pPr>
        <w:spacing w:after="0" w:line="21" w:lineRule="exact"/>
        <w:rPr>
          <w:rFonts w:ascii="Times New Roman" w:cs="Times New Roman" w:eastAsia="Times New Roman" w:hAnsi="Times New Roman"/>
          <w:sz w:val="20"/>
          <w:szCs w:val="20"/>
          <w:color w:val="050505"/>
        </w:rPr>
      </w:pPr>
    </w:p>
    <w:p>
      <w:pPr>
        <w:jc w:val="both"/>
        <w:ind w:left="1260" w:right="340" w:hanging="550"/>
        <w:spacing w:after="0" w:line="266"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spacing w:after="0" w:line="35" w:lineRule="exact"/>
        <w:rPr>
          <w:rFonts w:ascii="Times New Roman" w:cs="Times New Roman" w:eastAsia="Times New Roman" w:hAnsi="Times New Roman"/>
          <w:sz w:val="20"/>
          <w:szCs w:val="20"/>
          <w:color w:val="050505"/>
        </w:rPr>
      </w:pPr>
    </w:p>
    <w:p>
      <w:pPr>
        <w:ind w:left="1260" w:hanging="550"/>
        <w:spacing w:after="0" w:line="266"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spacing w:after="0" w:line="35" w:lineRule="exact"/>
        <w:rPr>
          <w:rFonts w:ascii="Times New Roman" w:cs="Times New Roman" w:eastAsia="Times New Roman" w:hAnsi="Times New Roman"/>
          <w:sz w:val="20"/>
          <w:szCs w:val="20"/>
          <w:color w:val="050505"/>
        </w:rPr>
      </w:pPr>
    </w:p>
    <w:p>
      <w:pPr>
        <w:ind w:left="1260" w:right="20" w:hanging="550"/>
        <w:spacing w:after="0" w:line="281"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clinical trials may fail to demonstrate the safety and efficacy of any of our product candidates, which would prevent or delay regulatory approval and commercialization.</w:t>
      </w:r>
    </w:p>
    <w:p>
      <w:pPr>
        <w:spacing w:after="0" w:line="21" w:lineRule="exact"/>
        <w:rPr>
          <w:rFonts w:ascii="Times New Roman" w:cs="Times New Roman" w:eastAsia="Times New Roman" w:hAnsi="Times New Roman"/>
          <w:sz w:val="20"/>
          <w:szCs w:val="20"/>
          <w:color w:val="050505"/>
        </w:rPr>
      </w:pPr>
    </w:p>
    <w:p>
      <w:pPr>
        <w:ind w:left="1260" w:right="500" w:hanging="550"/>
        <w:spacing w:after="0" w:line="266"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Risks related to serious adverse events (SAEs) in the discontinued fludarabine, cyclophosphamide, and ALLO-647 (FCA) arm of our ALPHA3 trial, including the Grade 5 SAE, could lead to regulatory actions, negative perceptions, and potential product liability claims.</w:t>
      </w:r>
    </w:p>
    <w:p>
      <w:pPr>
        <w:spacing w:after="0" w:line="35" w:lineRule="exact"/>
        <w:rPr>
          <w:rFonts w:ascii="Times New Roman" w:cs="Times New Roman" w:eastAsia="Times New Roman" w:hAnsi="Times New Roman"/>
          <w:sz w:val="20"/>
          <w:szCs w:val="20"/>
          <w:color w:val="050505"/>
        </w:rPr>
      </w:pPr>
    </w:p>
    <w:p>
      <w:pPr>
        <w:jc w:val="both"/>
        <w:ind w:left="1260" w:right="160" w:hanging="550"/>
        <w:spacing w:after="0" w:line="266"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No CAR T therapy has been approved as a part of first-line consolidation strategy for the treatment of large B-cell lymphoma (LBCL) patients, which presents significant regulatory, commercial, and operational risks, and there is no assurance of success in this unproven setting.</w:t>
      </w:r>
    </w:p>
    <w:p>
      <w:pPr>
        <w:spacing w:after="0" w:line="35" w:lineRule="exact"/>
        <w:rPr>
          <w:rFonts w:ascii="Times New Roman" w:cs="Times New Roman" w:eastAsia="Times New Roman" w:hAnsi="Times New Roman"/>
          <w:sz w:val="20"/>
          <w:szCs w:val="20"/>
          <w:color w:val="050505"/>
        </w:rPr>
      </w:pPr>
    </w:p>
    <w:p>
      <w:pPr>
        <w:ind w:left="1260" w:right="620" w:hanging="550"/>
        <w:spacing w:after="0" w:line="281"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may encounter substantial delays in our clinical trials, or may not be able to conduct our trials on the timelines we expect.</w:t>
      </w:r>
    </w:p>
    <w:p>
      <w:pPr>
        <w:spacing w:after="0" w:line="21" w:lineRule="exact"/>
        <w:rPr>
          <w:rFonts w:ascii="Times New Roman" w:cs="Times New Roman" w:eastAsia="Times New Roman" w:hAnsi="Times New Roman"/>
          <w:sz w:val="20"/>
          <w:szCs w:val="20"/>
          <w:color w:val="050505"/>
        </w:rPr>
      </w:pPr>
    </w:p>
    <w:p>
      <w:pPr>
        <w:ind w:left="1260" w:right="180" w:hanging="550"/>
        <w:spacing w:after="0" w:line="281"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If we encounter difficulties enrolling patients in our clinical trials, our clinical development activities could be delayed or otherwise adversely affected.</w:t>
      </w:r>
    </w:p>
    <w:p>
      <w:pPr>
        <w:spacing w:after="0" w:line="21" w:lineRule="exact"/>
        <w:rPr>
          <w:rFonts w:ascii="Times New Roman" w:cs="Times New Roman" w:eastAsia="Times New Roman" w:hAnsi="Times New Roman"/>
          <w:sz w:val="20"/>
          <w:szCs w:val="20"/>
          <w:color w:val="050505"/>
        </w:rPr>
      </w:pPr>
    </w:p>
    <w:p>
      <w:pPr>
        <w:jc w:val="both"/>
        <w:ind w:left="1260" w:right="300" w:hanging="550"/>
        <w:spacing w:after="0" w:line="266"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spacing w:after="0" w:line="35" w:lineRule="exact"/>
        <w:rPr>
          <w:rFonts w:ascii="Times New Roman" w:cs="Times New Roman" w:eastAsia="Times New Roman" w:hAnsi="Times New Roman"/>
          <w:sz w:val="20"/>
          <w:szCs w:val="20"/>
          <w:color w:val="050505"/>
        </w:rPr>
      </w:pPr>
    </w:p>
    <w:p>
      <w:pPr>
        <w:ind w:left="1260" w:hanging="550"/>
        <w:spacing w:after="0"/>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Reduced manufacturing operations may limit our ability to timely support our development programs.</w:t>
      </w:r>
    </w:p>
    <w:p>
      <w:pPr>
        <w:spacing w:after="0" w:line="90" w:lineRule="exact"/>
        <w:rPr>
          <w:rFonts w:ascii="Times New Roman" w:cs="Times New Roman" w:eastAsia="Times New Roman" w:hAnsi="Times New Roman"/>
          <w:sz w:val="20"/>
          <w:szCs w:val="20"/>
          <w:color w:val="050505"/>
        </w:rPr>
      </w:pPr>
    </w:p>
    <w:p>
      <w:pPr>
        <w:ind w:left="1260" w:right="320" w:hanging="550"/>
        <w:spacing w:after="0" w:line="281"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face significant competition from other biotechnology and pharmaceutical companies, and our operating results will suffer if we fail to compete effectively.</w:t>
      </w:r>
    </w:p>
    <w:p>
      <w:pPr>
        <w:spacing w:after="0" w:line="21" w:lineRule="exact"/>
        <w:rPr>
          <w:rFonts w:ascii="Times New Roman" w:cs="Times New Roman" w:eastAsia="Times New Roman" w:hAnsi="Times New Roman"/>
          <w:sz w:val="20"/>
          <w:szCs w:val="20"/>
          <w:color w:val="050505"/>
        </w:rPr>
      </w:pPr>
    </w:p>
    <w:p>
      <w:pPr>
        <w:ind w:left="1260" w:right="280" w:hanging="550"/>
        <w:spacing w:after="0" w:line="281" w:lineRule="auto"/>
        <w:tabs>
          <w:tab w:leader="none" w:pos="1260" w:val="left"/>
        </w:tabs>
        <w:numPr>
          <w:ilvl w:val="0"/>
          <w:numId w:val="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are highly dependent on our key personnel, and if we are not successful in attracting and retaining highly qualified personnel, we may not be able to successfully implement our business strategy.</w:t>
      </w:r>
    </w:p>
    <w:p>
      <w:pPr>
        <w:spacing w:after="0" w:line="21" w:lineRule="exact"/>
        <w:rPr>
          <w:rFonts w:ascii="Times New Roman" w:cs="Times New Roman" w:eastAsia="Times New Roman" w:hAnsi="Times New Roman"/>
          <w:sz w:val="20"/>
          <w:szCs w:val="20"/>
          <w:color w:val="050505"/>
        </w:rPr>
      </w:pPr>
    </w:p>
    <w:p>
      <w:pPr>
        <w:ind w:left="1260" w:right="100" w:hanging="550"/>
        <w:spacing w:after="0" w:line="286" w:lineRule="auto"/>
        <w:tabs>
          <w:tab w:leader="none" w:pos="1260" w:val="left"/>
        </w:tabs>
        <w:numPr>
          <w:ilvl w:val="0"/>
          <w:numId w:val="5"/>
        </w:numPr>
        <w:rPr>
          <w:rFonts w:ascii="Times New Roman" w:cs="Times New Roman" w:eastAsia="Times New Roman" w:hAnsi="Times New Roman"/>
          <w:sz w:val="19"/>
          <w:szCs w:val="19"/>
          <w:color w:val="050505"/>
        </w:rPr>
      </w:pPr>
      <w:r>
        <w:rPr>
          <w:rFonts w:ascii="Times New Roman" w:cs="Times New Roman" w:eastAsia="Times New Roman" w:hAnsi="Times New Roman"/>
          <w:sz w:val="19"/>
          <w:szCs w:val="19"/>
          <w:color w:val="050505"/>
        </w:rPr>
        <w:t>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the Development of Our Product Candidates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3</w:t>
      </w:r>
    </w:p>
    <w:p>
      <w:pPr>
        <w:sectPr>
          <w:pgSz w:w="12240" w:h="15840" w:orient="portrait"/>
          <w:cols w:equalWidth="0" w:num="1">
            <w:col w:w="10240"/>
          </w:cols>
          <w:pgMar w:left="1000" w:top="786" w:right="1000" w:bottom="0" w:gutter="0" w:footer="0" w:header="0"/>
          <w:type w:val="continuous"/>
        </w:sectPr>
      </w:pPr>
    </w:p>
    <w:bookmarkStart w:id="7" w:name="page8"/>
    <w:bookmarkEnd w:id="7"/>
    <w:p>
      <w:pPr>
        <w:ind w:left="1260" w:right="700" w:hanging="550"/>
        <w:spacing w:after="0" w:line="281" w:lineRule="auto"/>
        <w:tabs>
          <w:tab w:leader="none" w:pos="1260" w:val="left"/>
        </w:tabs>
        <w:numPr>
          <w:ilvl w:val="0"/>
          <w:numId w:val="6"/>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Our engineered allogeneic T cell product candidates represent a novel approach to cancer treatment and treatment of autoimmune diseases, which creates significant challenges for us.</w:t>
      </w:r>
    </w:p>
    <w:p>
      <w:pPr>
        <w:spacing w:after="0" w:line="21" w:lineRule="exact"/>
        <w:rPr>
          <w:rFonts w:ascii="Times New Roman" w:cs="Times New Roman" w:eastAsia="Times New Roman" w:hAnsi="Times New Roman"/>
          <w:sz w:val="20"/>
          <w:szCs w:val="20"/>
          <w:color w:val="050505"/>
        </w:rPr>
      </w:pPr>
    </w:p>
    <w:p>
      <w:pPr>
        <w:ind w:left="1260" w:right="60" w:hanging="550"/>
        <w:spacing w:after="0" w:line="281" w:lineRule="auto"/>
        <w:tabs>
          <w:tab w:leader="none" w:pos="1260" w:val="left"/>
        </w:tabs>
        <w:numPr>
          <w:ilvl w:val="0"/>
          <w:numId w:val="6"/>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Gene-editing is a relatively new technology, and if we are unable to use this technology in our intended product candidates, our revenue opportunities will be materially limited.</w:t>
      </w:r>
    </w:p>
    <w:p>
      <w:pPr>
        <w:spacing w:after="0" w:line="21" w:lineRule="exact"/>
        <w:rPr>
          <w:rFonts w:ascii="Times New Roman" w:cs="Times New Roman" w:eastAsia="Times New Roman" w:hAnsi="Times New Roman"/>
          <w:sz w:val="20"/>
          <w:szCs w:val="20"/>
          <w:color w:val="050505"/>
        </w:rPr>
      </w:pPr>
    </w:p>
    <w:p>
      <w:pPr>
        <w:ind w:left="1260" w:right="180" w:hanging="550"/>
        <w:spacing w:after="0" w:line="266" w:lineRule="auto"/>
        <w:tabs>
          <w:tab w:leader="none" w:pos="1260" w:val="left"/>
        </w:tabs>
        <w:numPr>
          <w:ilvl w:val="0"/>
          <w:numId w:val="6"/>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There is uncertainty regarding whether the use of fludarabine and cyclophosphamide (FC) without ALLO-647 will achieve sufficient lymphodepletion to support the efficacy of our allogeneic CAR T product candidate in the ALPHA3 trial.</w:t>
      </w:r>
    </w:p>
    <w:p>
      <w:pPr>
        <w:spacing w:after="0" w:line="35" w:lineRule="exact"/>
        <w:rPr>
          <w:rFonts w:ascii="Times New Roman" w:cs="Times New Roman" w:eastAsia="Times New Roman" w:hAnsi="Times New Roman"/>
          <w:sz w:val="20"/>
          <w:szCs w:val="20"/>
          <w:color w:val="050505"/>
        </w:rPr>
      </w:pPr>
    </w:p>
    <w:p>
      <w:pPr>
        <w:ind w:left="1260" w:right="140" w:hanging="550"/>
        <w:spacing w:after="0" w:line="281" w:lineRule="auto"/>
        <w:tabs>
          <w:tab w:leader="none" w:pos="1260" w:val="left"/>
        </w:tabs>
        <w:numPr>
          <w:ilvl w:val="0"/>
          <w:numId w:val="6"/>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are heavily reliant on our partners, Cellectis and Servier, for access to TALEN gene editing technology for the manufacturing and development of our oncology product candidates.</w:t>
      </w:r>
    </w:p>
    <w:p>
      <w:pPr>
        <w:spacing w:after="0" w:line="21" w:lineRule="exact"/>
        <w:rPr>
          <w:rFonts w:ascii="Times New Roman" w:cs="Times New Roman" w:eastAsia="Times New Roman" w:hAnsi="Times New Roman"/>
          <w:sz w:val="20"/>
          <w:szCs w:val="20"/>
          <w:color w:val="050505"/>
        </w:rPr>
      </w:pPr>
    </w:p>
    <w:p>
      <w:pPr>
        <w:ind w:left="1260" w:right="400" w:hanging="550"/>
        <w:spacing w:after="0" w:line="281" w:lineRule="auto"/>
        <w:tabs>
          <w:tab w:leader="none" w:pos="1260" w:val="left"/>
        </w:tabs>
        <w:numPr>
          <w:ilvl w:val="0"/>
          <w:numId w:val="6"/>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are heavily reliant on our partner, Foresight Diagnostics, for access to their CLARITY™ MRD test for identifying eligible patients for our ALPHA3 trial.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Reliance on Third Parties</w:t>
      </w:r>
    </w:p>
    <w:p>
      <w:pPr>
        <w:spacing w:after="0" w:line="97" w:lineRule="exact"/>
        <w:rPr>
          <w:sz w:val="20"/>
          <w:szCs w:val="20"/>
          <w:color w:val="auto"/>
        </w:rPr>
      </w:pPr>
    </w:p>
    <w:p>
      <w:pPr>
        <w:ind w:left="1260" w:right="540" w:hanging="550"/>
        <w:spacing w:after="0" w:line="266" w:lineRule="auto"/>
        <w:tabs>
          <w:tab w:leader="none" w:pos="1260" w:val="left"/>
        </w:tabs>
        <w:numPr>
          <w:ilvl w:val="0"/>
          <w:numId w:val="7"/>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Government Regulation</w:t>
      </w:r>
    </w:p>
    <w:p>
      <w:pPr>
        <w:spacing w:after="0" w:line="97" w:lineRule="exact"/>
        <w:rPr>
          <w:sz w:val="20"/>
          <w:szCs w:val="20"/>
          <w:color w:val="auto"/>
        </w:rPr>
      </w:pPr>
    </w:p>
    <w:p>
      <w:pPr>
        <w:ind w:left="1260" w:right="80" w:hanging="550"/>
        <w:spacing w:after="0" w:line="266" w:lineRule="auto"/>
        <w:tabs>
          <w:tab w:leader="none" w:pos="1260" w:val="left"/>
        </w:tabs>
        <w:numPr>
          <w:ilvl w:val="0"/>
          <w:numId w:val="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FDA and other comparable foreign regulatory approval processes are lengthy and time-consuming, and we may experience significant delays in the clinical development and regulatory approval of our product candidates.</w:t>
      </w:r>
    </w:p>
    <w:p>
      <w:pPr>
        <w:spacing w:after="0" w:line="35" w:lineRule="exact"/>
        <w:rPr>
          <w:rFonts w:ascii="Times New Roman" w:cs="Times New Roman" w:eastAsia="Times New Roman" w:hAnsi="Times New Roman"/>
          <w:sz w:val="20"/>
          <w:szCs w:val="20"/>
          <w:color w:val="050505"/>
        </w:rPr>
      </w:pPr>
    </w:p>
    <w:p>
      <w:pPr>
        <w:ind w:left="1260" w:hanging="550"/>
        <w:spacing w:after="0" w:line="281" w:lineRule="auto"/>
        <w:tabs>
          <w:tab w:leader="none" w:pos="1260" w:val="left"/>
        </w:tabs>
        <w:numPr>
          <w:ilvl w:val="0"/>
          <w:numId w:val="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FDA or comparable foreign regulatory authorities may disagree with our regulatory plan and we may fail to obtain regulatory approval of our CAR T cell product candidates.</w:t>
      </w:r>
    </w:p>
    <w:p>
      <w:pPr>
        <w:spacing w:after="0" w:line="21" w:lineRule="exact"/>
        <w:rPr>
          <w:rFonts w:ascii="Times New Roman" w:cs="Times New Roman" w:eastAsia="Times New Roman" w:hAnsi="Times New Roman"/>
          <w:sz w:val="20"/>
          <w:szCs w:val="20"/>
          <w:color w:val="050505"/>
        </w:rPr>
      </w:pPr>
    </w:p>
    <w:p>
      <w:pPr>
        <w:ind w:left="1260" w:right="60" w:hanging="550"/>
        <w:spacing w:after="0" w:line="258" w:lineRule="auto"/>
        <w:tabs>
          <w:tab w:leader="none" w:pos="1260" w:val="left"/>
        </w:tabs>
        <w:numPr>
          <w:ilvl w:val="0"/>
          <w:numId w:val="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Intellectual Property</w:t>
      </w:r>
    </w:p>
    <w:p>
      <w:pPr>
        <w:spacing w:after="0" w:line="97" w:lineRule="exact"/>
        <w:rPr>
          <w:sz w:val="20"/>
          <w:szCs w:val="20"/>
          <w:color w:val="auto"/>
        </w:rPr>
      </w:pPr>
    </w:p>
    <w:p>
      <w:pPr>
        <w:ind w:left="1260" w:right="300" w:hanging="550"/>
        <w:spacing w:after="0" w:line="281" w:lineRule="auto"/>
        <w:tabs>
          <w:tab w:leader="none" w:pos="1260" w:val="left"/>
        </w:tabs>
        <w:numPr>
          <w:ilvl w:val="0"/>
          <w:numId w:val="9"/>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depend on intellectual property licensed from third parties and termination of any of these licenses could result in the loss of significant rights, which would harm our business.</w:t>
      </w:r>
    </w:p>
    <w:p>
      <w:pPr>
        <w:spacing w:after="0" w:line="21" w:lineRule="exact"/>
        <w:rPr>
          <w:rFonts w:ascii="Times New Roman" w:cs="Times New Roman" w:eastAsia="Times New Roman" w:hAnsi="Times New Roman"/>
          <w:sz w:val="20"/>
          <w:szCs w:val="20"/>
          <w:color w:val="050505"/>
        </w:rPr>
      </w:pPr>
    </w:p>
    <w:p>
      <w:pPr>
        <w:ind w:left="1260" w:right="420" w:hanging="550"/>
        <w:spacing w:after="0" w:line="281" w:lineRule="auto"/>
        <w:tabs>
          <w:tab w:leader="none" w:pos="1260" w:val="left"/>
        </w:tabs>
        <w:numPr>
          <w:ilvl w:val="0"/>
          <w:numId w:val="9"/>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If our efforts to protect the proprietary nature of the intellectual property related to our technologies are not adequate, we may not be able to compete effectively in our market.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Ownership of Our Common Stock</w:t>
      </w:r>
    </w:p>
    <w:p>
      <w:pPr>
        <w:spacing w:after="0" w:line="97" w:lineRule="exact"/>
        <w:rPr>
          <w:sz w:val="20"/>
          <w:szCs w:val="20"/>
          <w:color w:val="auto"/>
        </w:rPr>
      </w:pPr>
    </w:p>
    <w:p>
      <w:pPr>
        <w:ind w:left="1260" w:right="860" w:hanging="550"/>
        <w:spacing w:after="0" w:line="281" w:lineRule="auto"/>
        <w:tabs>
          <w:tab w:leader="none" w:pos="1260" w:val="left"/>
        </w:tabs>
        <w:numPr>
          <w:ilvl w:val="0"/>
          <w:numId w:val="1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price of our stock has been and may continue to be volatile, and you could lose all or part of your investment.</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4</w:t>
      </w:r>
    </w:p>
    <w:p>
      <w:pPr>
        <w:sectPr>
          <w:pgSz w:w="12240" w:h="15840" w:orient="portrait"/>
          <w:cols w:equalWidth="0" w:num="1">
            <w:col w:w="10240"/>
          </w:cols>
          <w:pgMar w:left="1000" w:top="793" w:right="1000"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050505"/>
        </w:rPr>
        <w:t>PART I</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Overview</w:t>
      </w:r>
    </w:p>
    <w:p>
      <w:pPr>
        <w:spacing w:after="0" w:line="137"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90"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After nearly eight years of platform development and treatment of more than 200 patients across six clinical studies, multiple anticipated clinical readouts are expected in the second quarter of 2026. These readouts could begin to validate several key scientific and clinical assumptions underlying off-the-shelf CAR T therapy, including biologic activity, safety, and the feasibility of standardized, readily available cell therapy across oncology and autoimmune indications.</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We continue to focus on three core programs:</w:t>
      </w:r>
    </w:p>
    <w:p>
      <w:pPr>
        <w:spacing w:after="0" w:line="126" w:lineRule="exact"/>
        <w:rPr>
          <w:sz w:val="20"/>
          <w:szCs w:val="20"/>
          <w:color w:val="auto"/>
        </w:rPr>
      </w:pPr>
    </w:p>
    <w:p>
      <w:pPr>
        <w:jc w:val="both"/>
        <w:ind w:left="720" w:right="60" w:hanging="370"/>
        <w:spacing w:after="0" w:line="268" w:lineRule="auto"/>
        <w:tabs>
          <w:tab w:leader="none" w:pos="720" w:val="left"/>
        </w:tabs>
        <w:numPr>
          <w:ilvl w:val="0"/>
          <w:numId w:val="1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Large B-Cell Lymphoma (LBCL)</w:t>
      </w:r>
      <w:r>
        <w:rPr>
          <w:rFonts w:ascii="Times New Roman" w:cs="Times New Roman" w:eastAsia="Times New Roman" w:hAnsi="Times New Roman"/>
          <w:sz w:val="20"/>
          <w:szCs w:val="20"/>
          <w:color w:val="050505"/>
        </w:rPr>
        <w:t>: Potentially groundbreaking ALPHA3 Trial that we believe may leapfrog other CAR</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T’s and embed cemacabtagene ansegedleucel (cema-cel, previously ALLO-501A) in first line (1L) LBCL treatment in community cancer centers where most newly diagnosed patients seek care.</w:t>
      </w:r>
    </w:p>
    <w:p>
      <w:pPr>
        <w:spacing w:after="0" w:line="69" w:lineRule="exact"/>
        <w:rPr>
          <w:rFonts w:ascii="Times New Roman" w:cs="Times New Roman" w:eastAsia="Times New Roman" w:hAnsi="Times New Roman"/>
          <w:sz w:val="20"/>
          <w:szCs w:val="20"/>
          <w:color w:val="050505"/>
        </w:rPr>
      </w:pPr>
    </w:p>
    <w:p>
      <w:pPr>
        <w:ind w:left="720" w:right="220" w:hanging="370"/>
        <w:spacing w:after="0" w:line="268" w:lineRule="auto"/>
        <w:tabs>
          <w:tab w:leader="none" w:pos="720" w:val="left"/>
        </w:tabs>
        <w:numPr>
          <w:ilvl w:val="0"/>
          <w:numId w:val="1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Autoimmune Disease (AID)</w:t>
      </w:r>
      <w:r>
        <w:rPr>
          <w:rFonts w:ascii="Times New Roman" w:cs="Times New Roman" w:eastAsia="Times New Roman" w:hAnsi="Times New Roman"/>
          <w:sz w:val="20"/>
          <w:szCs w:val="20"/>
          <w:color w:val="050505"/>
        </w:rPr>
        <w:t>: ALLO-329, our next-generation CD19 Dagger® program, focuses on scalability and</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reduced or chemotherapy-free lymphodepletion, positioning allogeneic CAR T to potentially transform autoimmune management and meet the demand of the market.</w:t>
      </w:r>
    </w:p>
    <w:p>
      <w:pPr>
        <w:spacing w:after="0" w:line="69" w:lineRule="exact"/>
        <w:rPr>
          <w:rFonts w:ascii="Times New Roman" w:cs="Times New Roman" w:eastAsia="Times New Roman" w:hAnsi="Times New Roman"/>
          <w:sz w:val="20"/>
          <w:szCs w:val="20"/>
          <w:color w:val="050505"/>
        </w:rPr>
      </w:pPr>
    </w:p>
    <w:p>
      <w:pPr>
        <w:ind w:left="720" w:hanging="370"/>
        <w:spacing w:after="0" w:line="268" w:lineRule="auto"/>
        <w:tabs>
          <w:tab w:leader="none" w:pos="720" w:val="left"/>
        </w:tabs>
        <w:numPr>
          <w:ilvl w:val="0"/>
          <w:numId w:val="1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Renal Cell Carcinoma (RCC)</w:t>
      </w:r>
      <w:r>
        <w:rPr>
          <w:rFonts w:ascii="Times New Roman" w:cs="Times New Roman" w:eastAsia="Times New Roman" w:hAnsi="Times New Roman"/>
          <w:sz w:val="20"/>
          <w:szCs w:val="20"/>
          <w:color w:val="050505"/>
        </w:rPr>
        <w:t>: TRAVERSE trial with ALLO-316 seeks to advance scientific innovation underlying the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Dagger® technology to optimize CAR T cell expansion and persistence, thereby maximizing the potential of allogeneic CAR T in solid tumors.</w:t>
      </w:r>
    </w:p>
    <w:p>
      <w:pPr>
        <w:spacing w:after="0" w:line="73"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Our allogeneic approach involves engineering healthy donor T cells, which we believe will allow for the creation of an inventory of off-the-shelf products that can be delivered to a larger portion of eligible patients throughout the world. These potential benefits led our Executive Chair, Arie Belldegrun, M.D., who was previously the Chair and Chief Executive Officer at Kite Pharma (Kite, now a Gilead company), and our President and Chief Executive Officer, David Chang, M.D., Ph.D., previously Chief Medical Officer and Executive Vice President of Research and Development at Kite, to found our company with the driving purpose of accelerating the development of allogeneic CAR T cell therapies.</w:t>
      </w:r>
    </w:p>
    <w:p>
      <w:pPr>
        <w:spacing w:after="0" w:line="88" w:lineRule="exact"/>
        <w:rPr>
          <w:sz w:val="20"/>
          <w:szCs w:val="20"/>
          <w:color w:val="auto"/>
        </w:rPr>
      </w:pPr>
    </w:p>
    <w:p>
      <w:pPr>
        <w:ind w:right="360" w:firstLine="720"/>
        <w:spacing w:after="0" w:line="256" w:lineRule="auto"/>
        <w:rPr>
          <w:sz w:val="20"/>
          <w:szCs w:val="20"/>
          <w:color w:val="auto"/>
        </w:rPr>
      </w:pPr>
      <w:r>
        <w:rPr>
          <w:rFonts w:ascii="Times New Roman" w:cs="Times New Roman" w:eastAsia="Times New Roman" w:hAnsi="Times New Roman"/>
          <w:sz w:val="20"/>
          <w:szCs w:val="20"/>
          <w:color w:val="050505"/>
        </w:rPr>
        <w:t>Although we are currently focusing on our three core development programs noted above, we continue to build a pipeline to further the research and development of allogeneic CAR T cell product candidates in both hematological malignancies and solid tumors, as well as in autoimmune diseases. We believe our technology platform combined with our management team’s experience in immuno-oncology and specifically in CAR T cell therapy will help drive the rapid development and, if approved, the commercialization of potentially curative therapies for patients with aggressive cancer or who suffer from autoimmune diseases.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Our Approach</w:t>
      </w:r>
    </w:p>
    <w:p>
      <w:pPr>
        <w:spacing w:after="0" w:line="137" w:lineRule="exact"/>
        <w:rPr>
          <w:sz w:val="20"/>
          <w:szCs w:val="20"/>
          <w:color w:val="auto"/>
        </w:rPr>
      </w:pPr>
    </w:p>
    <w:p>
      <w:pPr>
        <w:ind w:right="40" w:firstLine="720"/>
        <w:spacing w:after="0" w:line="275" w:lineRule="auto"/>
        <w:rPr>
          <w:sz w:val="20"/>
          <w:szCs w:val="20"/>
          <w:color w:val="auto"/>
        </w:rPr>
      </w:pPr>
      <w:r>
        <w:rPr>
          <w:rFonts w:ascii="Times New Roman" w:cs="Times New Roman" w:eastAsia="Times New Roman" w:hAnsi="Times New Roman"/>
          <w:sz w:val="19"/>
          <w:szCs w:val="19"/>
          <w:color w:val="050505"/>
        </w:rPr>
        <w:t>Our allogeneic CAR T cell development strategy has four key pillars: (1) engineering product candidates to minimize the risk of graft-versus-host disease (GvHD), a condition where allogeneic T cells can recognize the patient’s normal tissue as foreign and cause damage, (2) creating a window of persistence that may enable allogeneic T cells to expand and eradicate cancer cells or pathogenic autoreactive cells in patients, (3) building a leading manufacturing platform to enable consistent and high quality production and (4) leveraging next generation technologies to improve the functionality of allogeneic CAR T cells.</w:t>
      </w:r>
    </w:p>
    <w:p>
      <w:pPr>
        <w:spacing w:after="0" w:line="68" w:lineRule="exact"/>
        <w:rPr>
          <w:sz w:val="20"/>
          <w:szCs w:val="20"/>
          <w:color w:val="auto"/>
        </w:rPr>
      </w:pPr>
    </w:p>
    <w:p>
      <w:pPr>
        <w:ind w:right="120" w:firstLine="720"/>
        <w:spacing w:after="0" w:line="271" w:lineRule="auto"/>
        <w:rPr>
          <w:sz w:val="20"/>
          <w:szCs w:val="20"/>
          <w:color w:val="auto"/>
        </w:rPr>
      </w:pPr>
      <w:r>
        <w:rPr>
          <w:rFonts w:ascii="Times New Roman" w:cs="Times New Roman" w:eastAsia="Times New Roman" w:hAnsi="Times New Roman"/>
          <w:sz w:val="19"/>
          <w:szCs w:val="19"/>
          <w:color w:val="050505"/>
        </w:rPr>
        <w:t>We use Cellectis, S.A. (Cellectis), TALEN® gene-editing technology and Arbor Biotechnologies CRISPR-based gene-editing technology in our oncology and autoimmune programs, respectively, to limit the risk of GvHD by engineering T cells to lack functional T cell receptors (TCRs), thereby preventing them from recognizing a patient’s normal tissue as foreign. We also utilize either standard lymphodepletion (e.g., fludarabine and cyclophosphamide (Flu/Cy)) and/or our Dagger® technology in our oncology and autoimmune programs to potentially enhance the expansion and persistence of our engineered allogeneic T cells. The Dagger® technology incorporates an anti-CD70 CAR engineered to eliminate CD70-expressing activated host T cells (including alloreactive host T cells) that can mediate premature rejection of infused allogeneic CAR T</w:t>
      </w:r>
    </w:p>
    <w:p>
      <w:pPr>
        <w:sectPr>
          <w:pgSz w:w="12240" w:h="15840" w:orient="portrait"/>
          <w:cols w:equalWidth="0" w:num="1">
            <w:col w:w="10240"/>
          </w:cols>
          <w:pgMar w:left="1000" w:top="1146" w:right="1000" w:bottom="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5</w:t>
      </w:r>
    </w:p>
    <w:p>
      <w:pPr>
        <w:sectPr>
          <w:pgSz w:w="12240" w:h="15840" w:orient="portrait"/>
          <w:cols w:equalWidth="0" w:num="1">
            <w:col w:w="10240"/>
          </w:cols>
          <w:pgMar w:left="1000" w:top="1146" w:right="1000" w:bottom="0" w:gutter="0" w:footer="0" w:header="0"/>
          <w:type w:val="continuous"/>
        </w:sectPr>
      </w:pPr>
    </w:p>
    <w:bookmarkStart w:id="9" w:name="page10"/>
    <w:bookmarkEnd w:id="9"/>
    <w:p>
      <w:pPr>
        <w:spacing w:after="0" w:line="260" w:lineRule="auto"/>
        <w:rPr>
          <w:sz w:val="20"/>
          <w:szCs w:val="20"/>
          <w:color w:val="auto"/>
        </w:rPr>
      </w:pPr>
      <w:r>
        <w:rPr>
          <w:rFonts w:ascii="Times New Roman" w:cs="Times New Roman" w:eastAsia="Times New Roman" w:hAnsi="Times New Roman"/>
          <w:sz w:val="20"/>
          <w:szCs w:val="20"/>
          <w:color w:val="050505"/>
        </w:rPr>
        <w:t>cells. We believe these approaches could enable a window of persistence for the infused allogeneic T cells to actively target and destroy cancer cells or to eliminate pathogenic autoreactive immune cells in autoimmune disease. Our off-the-shelf approach is dependent on state-of-the-art manufacturing processes, and we believe we have built a technical operations organization with fully integrated in-house expertise in clinical and commercial engineered T cell manufacturing.</w:t>
      </w:r>
    </w:p>
    <w:p>
      <w:pPr>
        <w:spacing w:after="0" w:line="83"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050505"/>
        </w:rPr>
        <w:t>For our lead autoimmune program, we have a non-exclusive license with Arbor Biotechnologies relating to a CRISPR-based gene-editing technology for the development of allogeneic T cell product candidates directed against various targets, including CD19 and CD70 both of which ALLO-329 targets.</w:t>
      </w:r>
    </w:p>
    <w:p>
      <w:pPr>
        <w:spacing w:after="0" w:line="75" w:lineRule="exact"/>
        <w:rPr>
          <w:sz w:val="20"/>
          <w:szCs w:val="20"/>
          <w:color w:val="auto"/>
        </w:rPr>
      </w:pPr>
    </w:p>
    <w:p>
      <w:pPr>
        <w:ind w:right="260" w:firstLine="720"/>
        <w:spacing w:after="0" w:line="266" w:lineRule="auto"/>
        <w:rPr>
          <w:sz w:val="20"/>
          <w:szCs w:val="20"/>
          <w:color w:val="auto"/>
        </w:rPr>
      </w:pPr>
      <w:r>
        <w:rPr>
          <w:rFonts w:ascii="Times New Roman" w:cs="Times New Roman" w:eastAsia="Times New Roman" w:hAnsi="Times New Roman"/>
          <w:sz w:val="20"/>
          <w:szCs w:val="20"/>
          <w:color w:val="050505"/>
        </w:rPr>
        <w:t>We have built our own current good manufacturing practices (cGMP) manufacturing facility in Newark, California, that we call Cell Forge 1 (CF1). We exclusively utilize CF1 for manufacturing of our product candidates for use in clinical studies.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050505"/>
        </w:rPr>
        <w:t>Our Pipeline</w:t>
      </w:r>
    </w:p>
    <w:p>
      <w:pPr>
        <w:spacing w:after="0" w:line="137"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050505"/>
        </w:rPr>
        <w:t>We are currently developing a pipeline of multiple allogeneic CAR T cell product candidates utilizing protein engineering, gene editing, gene insertion and advanced proprietary T cell manufacturing technologies. Our most advanced product candidate, cemacabtagene ansegedleucel, referred to as cema-cel (previously ALLO-501A), is an engineered allogeneic CAR T cell product candidate that targets CD19, a protein expressed on the cell surface of B cells and a validated target for B cell-derived hematological malignancies. We are currently focused on developing cema-cel for LBCL. Our pipeline also includes ALLO-316 and ALLO-329. ALLO-316 is an engineered allogeneic CAR T cell product candidate that targets CD70, which is highly expressed in RCC and is selectively expressed in several other cancers thereby creating the potential for ALLO-316 to be developed across a variety of both hematologic malignancies and solid tumors. We are currently focused on developing ALLO-316 for RCC. ALLO-329, an engineered allogeneic CAR T cell product candidate that targets both CD19 and CD70, is in development for the treatment of systemic lupus erythematosus (SLE), idiopathic inflammatory myopathies (IIM), and systemic sclerosis (SSc). We have additional product candidates, but we have deprioritized these programs to allow us to focus on cema-cel, ALLO-316 and ALLO-329. Our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6515100" cy="3068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306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vertAlign w:val="superscript"/>
        </w:rPr>
        <w:t>1</w:t>
      </w:r>
      <w:r>
        <w:rPr>
          <w:rFonts w:ascii="Times New Roman" w:cs="Times New Roman" w:eastAsia="Times New Roman" w:hAnsi="Times New Roman"/>
          <w:sz w:val="16"/>
          <w:szCs w:val="16"/>
          <w:color w:val="050505"/>
        </w:rPr>
        <w:t>Phase 2 designed to be registrational</w:t>
      </w:r>
    </w:p>
    <w:p>
      <w:pPr>
        <w:spacing w:after="0" w:line="3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Our lead product candidates include:</w:t>
      </w:r>
    </w:p>
    <w:p>
      <w:pPr>
        <w:spacing w:after="0" w:line="126" w:lineRule="exact"/>
        <w:rPr>
          <w:sz w:val="20"/>
          <w:szCs w:val="20"/>
          <w:color w:val="auto"/>
        </w:rPr>
      </w:pPr>
    </w:p>
    <w:p>
      <w:pPr>
        <w:ind w:left="720" w:right="180" w:hanging="370"/>
        <w:spacing w:after="0" w:line="256" w:lineRule="auto"/>
        <w:tabs>
          <w:tab w:leader="none" w:pos="720" w:val="left"/>
        </w:tabs>
        <w:numPr>
          <w:ilvl w:val="0"/>
          <w:numId w:val="12"/>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color w:val="050505"/>
        </w:rPr>
        <w:t xml:space="preserve">Cemacabtagene ansegedleucel (cema-cel). </w:t>
      </w:r>
      <w:r>
        <w:rPr>
          <w:rFonts w:ascii="Times New Roman" w:cs="Times New Roman" w:eastAsia="Times New Roman" w:hAnsi="Times New Roman"/>
          <w:sz w:val="20"/>
          <w:szCs w:val="20"/>
          <w:color w:val="050505"/>
        </w:rPr>
        <w:t>We continue to enroll our pivotal Phase 2 clinical trial (ALPHA3) for</w:t>
      </w:r>
      <w:r>
        <w:rPr>
          <w:rFonts w:ascii="Times New Roman" w:cs="Times New Roman" w:eastAsia="Times New Roman" w:hAnsi="Times New Roman"/>
          <w:sz w:val="20"/>
          <w:szCs w:val="20"/>
          <w:b w:val="1"/>
          <w:bCs w:val="1"/>
          <w:color w:val="050505"/>
        </w:rPr>
        <w:t xml:space="preserve"> </w:t>
      </w:r>
      <w:r>
        <w:rPr>
          <w:rFonts w:ascii="Times New Roman" w:cs="Times New Roman" w:eastAsia="Times New Roman" w:hAnsi="Times New Roman"/>
          <w:sz w:val="20"/>
          <w:szCs w:val="20"/>
          <w:color w:val="050505"/>
        </w:rPr>
        <w:t>cema-cel as part of a 1L treatment plan for newly diagnosed and treated LBCL patients who are likely to relapse and need further therapy. The design of the ALPHA3 1L consolidation trial builds upon the results demonstrated in the Phase 1 ALPHA2 trial and leverages an investigational diagnostic test developed by Foresight Diagnostics, Inc. (Foresight Diagnostics), which was acquired by Natera, Inc. (Natera) in December 2025. We believe the Foresight Diagnostics assay will identify patients who have achieved remission by standard disease assessment but who have minimal residual disease (MRD) at the completion of 1L chemoimmunotherapy. The ALPHA3 trial is designed to</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6</w:t>
      </w:r>
    </w:p>
    <w:p>
      <w:pPr>
        <w:sectPr>
          <w:pgSz w:w="12240" w:h="15840" w:orient="portrait"/>
          <w:cols w:equalWidth="0" w:num="1">
            <w:col w:w="10220"/>
          </w:cols>
          <w:pgMar w:left="1000" w:top="793" w:right="1020" w:bottom="0" w:gutter="0" w:footer="0" w:header="0"/>
          <w:type w:val="continuous"/>
        </w:sectPr>
      </w:pPr>
    </w:p>
    <w:bookmarkStart w:id="10" w:name="page11"/>
    <w:bookmarkEnd w:id="10"/>
    <w:p>
      <w:pPr>
        <w:ind w:left="720"/>
        <w:spacing w:after="0" w:line="254" w:lineRule="auto"/>
        <w:rPr>
          <w:sz w:val="20"/>
          <w:szCs w:val="20"/>
          <w:color w:val="auto"/>
        </w:rPr>
      </w:pPr>
      <w:r>
        <w:rPr>
          <w:rFonts w:ascii="Times New Roman" w:cs="Times New Roman" w:eastAsia="Times New Roman" w:hAnsi="Times New Roman"/>
          <w:sz w:val="20"/>
          <w:szCs w:val="20"/>
          <w:color w:val="050505"/>
        </w:rPr>
        <w:t>evaluate whether treating MRD positive LBCL patients with cema-cel will improve clinical outcomes. The study will randomize approximately 220 patients who achieve a complete response or partial response to 1L therapy, but who are MRD positive. Patients are being randomized to receive either consolidation with cema-cel or the current standard of care, which is observation. The study design has event free survival (EFS) as its primary endpoint. Originally, the study design also included two lymphodepletion arms, FCA (standard fludarabine and cyclophosphamide plus ALLO-647) and FC (standard fludarabine and cyclophosphamide without ALLO-647). Following a Grade 5 treatment-related serious adverse event observed in the FCA arm, in August 2025 we announced the discontinuation of dosing in the FCA arm, and we terminated further development of ALLO-647. Thereafter, the trial design was amended and ALPHA3 is now proceeding with the FC arm and the control arm (observation).</w:t>
      </w:r>
    </w:p>
    <w:p>
      <w:pPr>
        <w:spacing w:after="0" w:line="89" w:lineRule="exact"/>
        <w:rPr>
          <w:sz w:val="20"/>
          <w:szCs w:val="20"/>
          <w:color w:val="auto"/>
        </w:rPr>
      </w:pPr>
    </w:p>
    <w:p>
      <w:pPr>
        <w:ind w:left="720" w:right="180"/>
        <w:spacing w:after="0" w:line="266" w:lineRule="auto"/>
        <w:rPr>
          <w:sz w:val="20"/>
          <w:szCs w:val="20"/>
          <w:color w:val="auto"/>
        </w:rPr>
      </w:pPr>
      <w:r>
        <w:rPr>
          <w:rFonts w:ascii="Times New Roman" w:cs="Times New Roman" w:eastAsia="Times New Roman" w:hAnsi="Times New Roman"/>
          <w:sz w:val="20"/>
          <w:szCs w:val="20"/>
          <w:color w:val="050505"/>
        </w:rPr>
        <w:t>An interim futility analysis will occur once 12 patients in each arm have been enrolled and followed for MRD conversion. We plan to announce MRD clearance data from the interim futility analysis in April 2026, and anticipate that enrollment in ALPHA3 will be completed by the end of 2027.</w:t>
      </w:r>
    </w:p>
    <w:p>
      <w:pPr>
        <w:spacing w:after="0" w:line="71" w:lineRule="exact"/>
        <w:rPr>
          <w:sz w:val="20"/>
          <w:szCs w:val="20"/>
          <w:color w:val="auto"/>
        </w:rPr>
      </w:pPr>
    </w:p>
    <w:p>
      <w:pPr>
        <w:ind w:left="720" w:right="40" w:hanging="370"/>
        <w:spacing w:after="0" w:line="254" w:lineRule="auto"/>
        <w:tabs>
          <w:tab w:leader="none" w:pos="720" w:val="left"/>
        </w:tabs>
        <w:numPr>
          <w:ilvl w:val="0"/>
          <w:numId w:val="1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color w:val="050505"/>
        </w:rPr>
        <w:t xml:space="preserve">ALLO-316. </w:t>
      </w:r>
      <w:r>
        <w:rPr>
          <w:rFonts w:ascii="Times New Roman" w:cs="Times New Roman" w:eastAsia="Times New Roman" w:hAnsi="Times New Roman"/>
          <w:sz w:val="20"/>
          <w:szCs w:val="20"/>
          <w:color w:val="050505"/>
        </w:rPr>
        <w:t>We have completed enrollment in a Phase 1 clinical trial (TRAVERSE) of ALLO-316, an allogeneic</w:t>
      </w:r>
      <w:r>
        <w:rPr>
          <w:rFonts w:ascii="Times New Roman" w:cs="Times New Roman" w:eastAsia="Times New Roman" w:hAnsi="Times New Roman"/>
          <w:sz w:val="20"/>
          <w:szCs w:val="20"/>
          <w:b w:val="1"/>
          <w:bCs w:val="1"/>
          <w:color w:val="050505"/>
        </w:rPr>
        <w:t xml:space="preserve"> </w:t>
      </w:r>
      <w:r>
        <w:rPr>
          <w:rFonts w:ascii="Times New Roman" w:cs="Times New Roman" w:eastAsia="Times New Roman" w:hAnsi="Times New Roman"/>
          <w:sz w:val="20"/>
          <w:szCs w:val="20"/>
          <w:color w:val="050505"/>
        </w:rPr>
        <w:t>CAR T cell product candidate targeting CD70, in adult patients with advanced or metastatic RCC. We presented updated results from the TRAVERSE trial at the 2025 American Society of Clinical Oncology (ASCO) Annual Meeting in June 2025. Refer to “—Product Pipeline and Development Strategy—Anti-CD70 Development Program— Results from the Phase 1 ALLO-316 TRAVERSE Trial” for information regarding the results. In October 2024, we announced that we received Regenerative Medicine Advanced Therapy (RMAT) designation for ALLO-316 for adult patients with advanced or metastatic RCC. The RMAT designation was based on Phase 1 clinical data from the TRAVERSE trial indicating the potential of ALLO-316 to address the unmet need for patients with difficult-to-treat RCC who have failed multiple standard RCC therapies, including an immune checkpoint inhibitor and a VEGF-targeting therapy. We are currently exploring partnering opportunities to advance the asset.</w:t>
      </w:r>
    </w:p>
    <w:p>
      <w:pPr>
        <w:spacing w:after="0" w:line="86" w:lineRule="exact"/>
        <w:rPr>
          <w:rFonts w:ascii="Times New Roman" w:cs="Times New Roman" w:eastAsia="Times New Roman" w:hAnsi="Times New Roman"/>
          <w:sz w:val="20"/>
          <w:szCs w:val="20"/>
          <w:color w:val="050505"/>
        </w:rPr>
      </w:pPr>
    </w:p>
    <w:p>
      <w:pPr>
        <w:ind w:left="720" w:hanging="370"/>
        <w:spacing w:after="0" w:line="255" w:lineRule="auto"/>
        <w:tabs>
          <w:tab w:leader="none" w:pos="720" w:val="left"/>
        </w:tabs>
        <w:numPr>
          <w:ilvl w:val="0"/>
          <w:numId w:val="1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color w:val="050505"/>
        </w:rPr>
        <w:t xml:space="preserve">ALLO-329. </w:t>
      </w:r>
      <w:r>
        <w:rPr>
          <w:rFonts w:ascii="Times New Roman" w:cs="Times New Roman" w:eastAsia="Times New Roman" w:hAnsi="Times New Roman"/>
          <w:sz w:val="20"/>
          <w:szCs w:val="20"/>
          <w:color w:val="050505"/>
        </w:rPr>
        <w:t>During 2025, we initiated a Phase 1 clinical trial (the RESOLUTION trial) of ALLO-329, an allogeneic</w:t>
      </w:r>
      <w:r>
        <w:rPr>
          <w:rFonts w:ascii="Times New Roman" w:cs="Times New Roman" w:eastAsia="Times New Roman" w:hAnsi="Times New Roman"/>
          <w:sz w:val="20"/>
          <w:szCs w:val="20"/>
          <w:b w:val="1"/>
          <w:bCs w:val="1"/>
          <w:color w:val="050505"/>
        </w:rPr>
        <w:t xml:space="preserve"> </w:t>
      </w:r>
      <w:r>
        <w:rPr>
          <w:rFonts w:ascii="Times New Roman" w:cs="Times New Roman" w:eastAsia="Times New Roman" w:hAnsi="Times New Roman"/>
          <w:sz w:val="20"/>
          <w:szCs w:val="20"/>
          <w:color w:val="050505"/>
        </w:rPr>
        <w:t>CAR T cell product candidate targeting both CD19 and CD70, in adult patients with systemic lupus erythematosus, including lupus nephritis, idiopathic inflammatory myopathies, and systemic sclerosis. Inclusion of an anti-CD70 CAR in ALLO-329 incorporates the Dagger® technology, which is designed to reduce or eliminate the need for standard chemotherapy by preventing premature rejection while targeting CD19+ B-cells and CD70+ activated T-cells, both of which play a role in autoimmune diseases. The RESOLUTION trial includes two distinct lymphodepletion arms: one using a dose of cyclophosphamide alone which is used by rheumatologists, and another that eliminates lymphodepletion entirely. We plan to announce initial proof-of-concept data in June 2026.</w:t>
      </w:r>
    </w:p>
    <w:p>
      <w:pPr>
        <w:spacing w:after="0" w:line="92" w:lineRule="exact"/>
        <w:rPr>
          <w:rFonts w:ascii="Times New Roman" w:cs="Times New Roman" w:eastAsia="Times New Roman" w:hAnsi="Times New Roman"/>
          <w:sz w:val="20"/>
          <w:szCs w:val="20"/>
          <w:color w:val="050505"/>
        </w:rPr>
      </w:pPr>
    </w:p>
    <w:p>
      <w:pPr>
        <w:ind w:left="720" w:right="40" w:hanging="370"/>
        <w:spacing w:after="0" w:line="267" w:lineRule="auto"/>
        <w:tabs>
          <w:tab w:leader="none" w:pos="720" w:val="left"/>
        </w:tabs>
        <w:numPr>
          <w:ilvl w:val="0"/>
          <w:numId w:val="13"/>
        </w:numPr>
        <w:rPr>
          <w:rFonts w:ascii="Arial" w:cs="Arial" w:eastAsia="Arial" w:hAnsi="Arial"/>
          <w:sz w:val="20"/>
          <w:szCs w:val="20"/>
          <w:b w:val="1"/>
          <w:bCs w:val="1"/>
          <w:color w:val="050505"/>
        </w:rPr>
      </w:pPr>
      <w:r>
        <w:rPr>
          <w:rFonts w:ascii="Times New Roman" w:cs="Times New Roman" w:eastAsia="Times New Roman" w:hAnsi="Times New Roman"/>
          <w:sz w:val="20"/>
          <w:szCs w:val="20"/>
          <w:b w:val="1"/>
          <w:bCs w:val="1"/>
          <w:i w:val="1"/>
          <w:iCs w:val="1"/>
          <w:color w:val="050505"/>
        </w:rPr>
        <w:t xml:space="preserve">Other Product Candidates: </w:t>
      </w:r>
      <w:r>
        <w:rPr>
          <w:rFonts w:ascii="Times New Roman" w:cs="Times New Roman" w:eastAsia="Times New Roman" w:hAnsi="Times New Roman"/>
          <w:sz w:val="20"/>
          <w:szCs w:val="20"/>
          <w:color w:val="050505"/>
        </w:rPr>
        <w:t>While we have additional programs in our pipeline, our development priorities are focused</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on cema-cel (1L consolidation in LBCL), ALLO-316, and ALLO-329. We will explore opportunities to partner with collaborators on product candidates across our pipeline.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Our History and Team</w:t>
      </w:r>
    </w:p>
    <w:p>
      <w:pPr>
        <w:spacing w:after="0" w:line="137" w:lineRule="exact"/>
        <w:rPr>
          <w:sz w:val="20"/>
          <w:szCs w:val="20"/>
          <w:color w:val="auto"/>
        </w:rPr>
      </w:pPr>
    </w:p>
    <w:p>
      <w:pPr>
        <w:ind w:firstLine="900"/>
        <w:spacing w:after="0" w:line="253" w:lineRule="auto"/>
        <w:rPr>
          <w:sz w:val="20"/>
          <w:szCs w:val="20"/>
          <w:color w:val="auto"/>
        </w:rPr>
      </w:pPr>
      <w:r>
        <w:rPr>
          <w:rFonts w:ascii="Times New Roman" w:cs="Times New Roman" w:eastAsia="Times New Roman" w:hAnsi="Times New Roman"/>
          <w:sz w:val="20"/>
          <w:szCs w:val="20"/>
          <w:color w:val="050505"/>
        </w:rPr>
        <w:t>We believe we have established a leadership position in allogeneic CAR T cell therapy. In April 2018, we acquired certain assets from Pfizer Inc. (Pfizer), including strategic license and collaboration agreements and other intellectual property related to the development and administration of allogeneic CAR T cells for the treatment of cancer. We have an Exclusive License and Collaboration Agreement (the Servier Agreement) with Les Laboratoires Servier SAS and Institut de Recherches Internationales Servier SAS (collectively, Servier) to develop and commercialize cema-cel, and certain additional product candidates, and we hold the commercial rights to these product candidates in the United States, the European Union, and the United Kingdom. The Servier Agreement gives us access to Cellectis’ TALEN® gene-editing technology for cema-cel. We also have an exclusive worldwide oncology license from Cellectis to use its TALEN® gene-editing technology for the development of allogeneic T cell product candidates directed against 15 different cancer antigens, including CD70 which ALLO-316 targets. We also have a non-exclusive license with Arbor Biotechnologies relating to a CRISPR-based gene-editing technology for the development of allogeneic T cell product candidates in the field of autoimmune diseases directed against various targets, including CD19 and CD70, both of which ALLO-329 targets.</w:t>
      </w:r>
    </w:p>
    <w:p>
      <w:pPr>
        <w:spacing w:after="0" w:line="91" w:lineRule="exact"/>
        <w:rPr>
          <w:sz w:val="20"/>
          <w:szCs w:val="20"/>
          <w:color w:val="auto"/>
        </w:rPr>
      </w:pPr>
    </w:p>
    <w:p>
      <w:pPr>
        <w:ind w:firstLine="900"/>
        <w:spacing w:after="0" w:line="258" w:lineRule="auto"/>
        <w:rPr>
          <w:sz w:val="20"/>
          <w:szCs w:val="20"/>
          <w:color w:val="auto"/>
        </w:rPr>
      </w:pPr>
      <w:r>
        <w:rPr>
          <w:rFonts w:ascii="Times New Roman" w:cs="Times New Roman" w:eastAsia="Times New Roman" w:hAnsi="Times New Roman"/>
          <w:sz w:val="20"/>
          <w:szCs w:val="20"/>
          <w:color w:val="050505"/>
        </w:rPr>
        <w:t>Our world-class management team has significant experience in immuno-oncology and in progressing products from early-stage research to clinical trials, and ultimately to regulatory approval and commercialization. In particular, both Dr. Belldegrun and Dr. Chang led the development and approval of Yescarta® at Kite. Additionally, our Executive Vice President of Research and Development and Chief Medical Officer, Dr. Zachary Roberts, was also instrumental in the development and execution of the clinical trials of Yescarta® across multiple indications.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Our Strategy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7</w:t>
      </w:r>
    </w:p>
    <w:p>
      <w:pPr>
        <w:sectPr>
          <w:pgSz w:w="12240" w:h="15840" w:orient="portrait"/>
          <w:cols w:equalWidth="0" w:num="1">
            <w:col w:w="10240"/>
          </w:cols>
          <w:pgMar w:left="1000" w:top="793" w:right="1000" w:bottom="0" w:gutter="0" w:footer="0" w:header="0"/>
          <w:type w:val="continuous"/>
        </w:sectPr>
      </w:pPr>
    </w:p>
    <w:bookmarkStart w:id="11" w:name="page12"/>
    <w:bookmarkEnd w:id="11"/>
    <w:p>
      <w:pPr>
        <w:ind w:right="40" w:firstLine="720"/>
        <w:spacing w:after="0" w:line="256" w:lineRule="auto"/>
        <w:rPr>
          <w:sz w:val="20"/>
          <w:szCs w:val="20"/>
          <w:color w:val="auto"/>
        </w:rPr>
      </w:pPr>
      <w:r>
        <w:rPr>
          <w:rFonts w:ascii="Times New Roman" w:cs="Times New Roman" w:eastAsia="Times New Roman" w:hAnsi="Times New Roman"/>
          <w:sz w:val="20"/>
          <w:szCs w:val="20"/>
          <w:color w:val="050505"/>
        </w:rPr>
        <w:t>Our goal is to maintain and build upon our leadership position in allogeneic CAR T cell therapy. We plan to rapidly develop and, if approved, commercialize allogeneic CAR T cell products for the treatment of cancer and autoimmune disease that can be delivered faster, more reliably, and at greater scale than autologous T cell therapies. We believe achieving this goal could result in allogeneic CAR T therapy becoming a standard of care in cancer and autoimmune disease treatments and enable us to make potentially curative products more readily accessible to more patients throughout the world. Key elements of our strategy include:</w:t>
      </w:r>
    </w:p>
    <w:p>
      <w:pPr>
        <w:spacing w:after="0" w:line="82" w:lineRule="exact"/>
        <w:rPr>
          <w:sz w:val="20"/>
          <w:szCs w:val="20"/>
          <w:color w:val="auto"/>
        </w:rPr>
      </w:pPr>
    </w:p>
    <w:p>
      <w:pPr>
        <w:ind w:left="720" w:hanging="370"/>
        <w:spacing w:after="0" w:line="255" w:lineRule="auto"/>
        <w:tabs>
          <w:tab w:leader="none" w:pos="720" w:val="left"/>
        </w:tabs>
        <w:numPr>
          <w:ilvl w:val="0"/>
          <w:numId w:val="1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Repositioning our allogeneic CAR T product as the only CAR T to be part of a first-line (1L) consolidation approach. </w:t>
      </w:r>
      <w:r>
        <w:rPr>
          <w:rFonts w:ascii="Times New Roman" w:cs="Times New Roman" w:eastAsia="Times New Roman" w:hAnsi="Times New Roman"/>
          <w:sz w:val="20"/>
          <w:szCs w:val="20"/>
          <w:color w:val="050505"/>
        </w:rPr>
        <w:t>We seek to redefine the future of CAR T by potentially repositioning our allogeneic CAR T product as the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only CAR T to be part of a first line (1L) treatment plan for newly diagnosed and treated LBCL patients who are likely to relapse and need further therapy. The design of the ALPHA3 1L consolidation trial builds upon the results demonstrated in the Phase 1 ALPHA2 trial and leverages an investigational diagnostic test developed by Foresight Diagnostics to identify patients who have MRD at the completion of 1L chemoimmunotherapy for treatment with cema-cel. The ALPHA3 trial was initiated in June 2024 and now has over 60 sites activated and screening for patients with MRD. We plan to announce MRD clearance data from the interim futility analysis in April 2026, and anticipate that enrollment in ALPHA3 will be completed by the end of 2027.</w:t>
      </w:r>
    </w:p>
    <w:p>
      <w:pPr>
        <w:spacing w:after="0" w:line="80" w:lineRule="exact"/>
        <w:rPr>
          <w:rFonts w:ascii="Times New Roman" w:cs="Times New Roman" w:eastAsia="Times New Roman" w:hAnsi="Times New Roman"/>
          <w:sz w:val="20"/>
          <w:szCs w:val="20"/>
          <w:color w:val="050505"/>
        </w:rPr>
      </w:pPr>
    </w:p>
    <w:p>
      <w:pPr>
        <w:ind w:left="720" w:hanging="370"/>
        <w:spacing w:after="0" w:line="255" w:lineRule="auto"/>
        <w:tabs>
          <w:tab w:leader="none" w:pos="720" w:val="left"/>
        </w:tabs>
        <w:numPr>
          <w:ilvl w:val="0"/>
          <w:numId w:val="1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Expand our allogeneic CAR T platform into the treatment of autoimmune disease (AID). </w:t>
      </w:r>
      <w:r>
        <w:rPr>
          <w:rFonts w:ascii="Times New Roman" w:cs="Times New Roman" w:eastAsia="Times New Roman" w:hAnsi="Times New Roman"/>
          <w:sz w:val="20"/>
          <w:szCs w:val="20"/>
          <w:color w:val="050505"/>
        </w:rPr>
        <w:t>We are currently</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developing a next-generation product candidate, ALLO-329, which is an engineered allogeneic CAR T cell product candidate that targets CD19 and CD70. ALLO-329 incorporates our Dagger® technology. During 2025 we initiated a rheumatology basket study of ALLO-329, our RESOLUTION trial. Inclusion of an anti-CD70 CAR in ALLO-329 incorporates the Dagger® technology, which is designed to reduce or eliminate the need for standard chemotherapy by preventing premature rejection while targeting CD19+ B-cells and CD70+ activated T-cells, both of which play a role in autoimmune diseases. The RESOLUTION trial includes two parallel cell dose escalation arms that differ in the lymphodepletion regimen used. One arm uses cyclophosphamide alone at a dose used by rheumatologists, and the other does not incorporate lymphodepletion. We plan to announce initial proof-of-concept data in June 2026.</w:t>
      </w:r>
    </w:p>
    <w:p>
      <w:pPr>
        <w:spacing w:after="0" w:line="80" w:lineRule="exact"/>
        <w:rPr>
          <w:rFonts w:ascii="Times New Roman" w:cs="Times New Roman" w:eastAsia="Times New Roman" w:hAnsi="Times New Roman"/>
          <w:sz w:val="20"/>
          <w:szCs w:val="20"/>
          <w:color w:val="050505"/>
        </w:rPr>
      </w:pPr>
    </w:p>
    <w:p>
      <w:pPr>
        <w:ind w:left="720" w:hanging="370"/>
        <w:spacing w:after="0" w:line="255" w:lineRule="auto"/>
        <w:tabs>
          <w:tab w:leader="none" w:pos="720" w:val="left"/>
        </w:tabs>
        <w:numPr>
          <w:ilvl w:val="0"/>
          <w:numId w:val="14"/>
        </w:numPr>
        <w:rPr>
          <w:rFonts w:ascii="Times New Roman" w:cs="Times New Roman" w:eastAsia="Times New Roman" w:hAnsi="Times New Roman"/>
          <w:sz w:val="20"/>
          <w:szCs w:val="20"/>
          <w:b w:val="1"/>
          <w:bCs w:val="1"/>
          <w:i w:val="1"/>
          <w:iCs w:val="1"/>
          <w:color w:val="050505"/>
        </w:rPr>
      </w:pPr>
      <w:r>
        <w:rPr>
          <w:rFonts w:ascii="Times New Roman" w:cs="Times New Roman" w:eastAsia="Times New Roman" w:hAnsi="Times New Roman"/>
          <w:sz w:val="20"/>
          <w:szCs w:val="20"/>
          <w:b w:val="1"/>
          <w:bCs w:val="1"/>
          <w:i w:val="1"/>
          <w:iCs w:val="1"/>
          <w:color w:val="050505"/>
        </w:rPr>
        <w:t>Build state-of-the-art gene engineering and cell manufacturing capabilities</w:t>
      </w:r>
      <w:r>
        <w:rPr>
          <w:rFonts w:ascii="Times New Roman" w:cs="Times New Roman" w:eastAsia="Times New Roman" w:hAnsi="Times New Roman"/>
          <w:sz w:val="20"/>
          <w:szCs w:val="20"/>
          <w:b w:val="1"/>
          <w:bCs w:val="1"/>
          <w:color w:val="050505"/>
        </w:rPr>
        <w:t>.</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Manufacturing allogeneic T cell product</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candidates involves a series of complex and precise steps. We believe a critical component to our success will be to leverage and expand our proprietary manufacturing know-how, expertise and capacity. For instance, for our lead product candidate, cema-cel, we were able to identify and select a manufacturing process that was associated with robust clinical performance in Phase 1. We believe establishing our own fully integrated manufacturing operations and infrastructure will allow us to continuously improve the manufacturing process, limit our reliance on contract development and manufacturing organizations (CDMOs) and more rapidly advance the commercialization of any of our product candidates that receive regulatory approval.</w:t>
      </w:r>
    </w:p>
    <w:p>
      <w:pPr>
        <w:spacing w:after="0" w:line="92" w:lineRule="exact"/>
        <w:rPr>
          <w:rFonts w:ascii="Times New Roman" w:cs="Times New Roman" w:eastAsia="Times New Roman" w:hAnsi="Times New Roman"/>
          <w:sz w:val="20"/>
          <w:szCs w:val="20"/>
          <w:b w:val="1"/>
          <w:bCs w:val="1"/>
          <w:i w:val="1"/>
          <w:iCs w:val="1"/>
          <w:color w:val="050505"/>
        </w:rPr>
      </w:pPr>
    </w:p>
    <w:p>
      <w:pPr>
        <w:ind w:left="720" w:right="200" w:hanging="370"/>
        <w:spacing w:after="0" w:line="272" w:lineRule="auto"/>
        <w:tabs>
          <w:tab w:leader="none" w:pos="720" w:val="left"/>
        </w:tabs>
        <w:numPr>
          <w:ilvl w:val="0"/>
          <w:numId w:val="14"/>
        </w:numPr>
        <w:rPr>
          <w:rFonts w:ascii="Arial" w:cs="Arial" w:eastAsia="Arial" w:hAnsi="Arial"/>
          <w:sz w:val="19"/>
          <w:szCs w:val="19"/>
          <w:b w:val="1"/>
          <w:bCs w:val="1"/>
          <w:color w:val="050505"/>
        </w:rPr>
      </w:pPr>
      <w:r>
        <w:rPr>
          <w:rFonts w:ascii="Times New Roman" w:cs="Times New Roman" w:eastAsia="Times New Roman" w:hAnsi="Times New Roman"/>
          <w:sz w:val="19"/>
          <w:szCs w:val="19"/>
          <w:b w:val="1"/>
          <w:bCs w:val="1"/>
          <w:i w:val="1"/>
          <w:iCs w:val="1"/>
          <w:color w:val="050505"/>
        </w:rPr>
        <w:t xml:space="preserve">Expand into solid tumor indications with high unmet need and leverage next generation technologies to advance our platform. </w:t>
      </w:r>
      <w:r>
        <w:rPr>
          <w:rFonts w:ascii="Times New Roman" w:cs="Times New Roman" w:eastAsia="Times New Roman" w:hAnsi="Times New Roman"/>
          <w:sz w:val="19"/>
          <w:szCs w:val="19"/>
          <w:color w:val="050505"/>
        </w:rPr>
        <w:t>We plan to continue to advance the research and development of ALLO-316, which targets CD70, for</w:t>
      </w:r>
      <w:r>
        <w:rPr>
          <w:rFonts w:ascii="Times New Roman" w:cs="Times New Roman" w:eastAsia="Times New Roman" w:hAnsi="Times New Roman"/>
          <w:sz w:val="19"/>
          <w:szCs w:val="19"/>
          <w:b w:val="1"/>
          <w:bCs w:val="1"/>
          <w:i w:val="1"/>
          <w:iCs w:val="1"/>
          <w:color w:val="050505"/>
        </w:rPr>
        <w:t xml:space="preserve"> </w:t>
      </w:r>
      <w:r>
        <w:rPr>
          <w:rFonts w:ascii="Times New Roman" w:cs="Times New Roman" w:eastAsia="Times New Roman" w:hAnsi="Times New Roman"/>
          <w:sz w:val="19"/>
          <w:szCs w:val="19"/>
          <w:color w:val="050505"/>
        </w:rPr>
        <w:t>the treatment of clear cell renal cell carcinoma (ccRCC). We are investigating next-generation technologies incorporated in the design of ALLO-316 which seek to better control rejection of allogeneic CAR T cells by the patient's immune system. Such technologies include our Dagger® technology that utilizes an anti-CD70 CAR to kill alloreactive host T cells. We continually survey the scientific and industry landscape for opportunities to license, partner or acquire technologies that may help us advance current or new cell therapies for the benefit of patients.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Allogeneic CAR T Cell Therapy</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Engineered T Cell Therapies</w:t>
      </w:r>
    </w:p>
    <w:p>
      <w:pPr>
        <w:spacing w:after="0" w:line="139"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T cells are a type of white blood cell and are involved in both sensing and killing infected or abnormal cells, including cancer cells, as well as coordinating the activation of other cells in an immune response. Engineered T cell therapy is a type of immunotherapy treatment whereby human T cells are removed from the body and engineered to express CARs which, when infused into a patient, may allow the recognition and destruction of cancer cells in a targeted manner.</w:t>
      </w:r>
    </w:p>
    <w:p>
      <w:pPr>
        <w:spacing w:after="0" w:line="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Chimeric Antigen Receptors (CARs)</w:t>
      </w:r>
    </w:p>
    <w:p>
      <w:pPr>
        <w:spacing w:after="0" w:line="139"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CARs are engineered molecules that, when present on the surface of a T cell, enable the T cell to recognize specific proteins or antigens that are present on the surface of other cells. More than one type of CAR can be included in a CAR T cell, imparting multi-antigen targeting capability. The CAR molecule(s) in our product candidates are comprised of a single chain protein that contains the following elements:</w:t>
      </w:r>
    </w:p>
    <w:p>
      <w:pPr>
        <w:spacing w:after="0" w:line="80" w:lineRule="exact"/>
        <w:rPr>
          <w:sz w:val="20"/>
          <w:szCs w:val="20"/>
          <w:color w:val="auto"/>
        </w:rPr>
      </w:pPr>
    </w:p>
    <w:p>
      <w:pPr>
        <w:jc w:val="both"/>
        <w:ind w:left="720" w:right="340" w:hanging="370"/>
        <w:spacing w:after="0" w:line="313" w:lineRule="auto"/>
        <w:tabs>
          <w:tab w:leader="none" w:pos="720" w:val="left"/>
        </w:tabs>
        <w:numPr>
          <w:ilvl w:val="0"/>
          <w:numId w:val="15"/>
        </w:numPr>
        <w:rPr>
          <w:rFonts w:ascii="Times New Roman" w:cs="Times New Roman" w:eastAsia="Times New Roman" w:hAnsi="Times New Roman"/>
          <w:sz w:val="19"/>
          <w:szCs w:val="19"/>
          <w:color w:val="050505"/>
        </w:rPr>
      </w:pPr>
      <w:r>
        <w:rPr>
          <w:rFonts w:ascii="Times New Roman" w:cs="Times New Roman" w:eastAsia="Times New Roman" w:hAnsi="Times New Roman"/>
          <w:sz w:val="19"/>
          <w:szCs w:val="19"/>
          <w:b w:val="1"/>
          <w:bCs w:val="1"/>
          <w:i w:val="1"/>
          <w:iCs w:val="1"/>
          <w:color w:val="050505"/>
        </w:rPr>
        <w:t xml:space="preserve">Target Binding Domain: </w:t>
      </w:r>
      <w:r>
        <w:rPr>
          <w:rFonts w:ascii="Times New Roman" w:cs="Times New Roman" w:eastAsia="Times New Roman" w:hAnsi="Times New Roman"/>
          <w:sz w:val="19"/>
          <w:szCs w:val="19"/>
          <w:color w:val="050505"/>
        </w:rPr>
        <w:t>At one end of the CAR is a target binding domain that is specific to a target antigen. This</w:t>
      </w:r>
      <w:r>
        <w:rPr>
          <w:rFonts w:ascii="Times New Roman" w:cs="Times New Roman" w:eastAsia="Times New Roman" w:hAnsi="Times New Roman"/>
          <w:sz w:val="19"/>
          <w:szCs w:val="19"/>
          <w:b w:val="1"/>
          <w:bCs w:val="1"/>
          <w:i w:val="1"/>
          <w:iCs w:val="1"/>
          <w:color w:val="050505"/>
        </w:rPr>
        <w:t xml:space="preserve"> </w:t>
      </w:r>
      <w:r>
        <w:rPr>
          <w:rFonts w:ascii="Times New Roman" w:cs="Times New Roman" w:eastAsia="Times New Roman" w:hAnsi="Times New Roman"/>
          <w:sz w:val="19"/>
          <w:szCs w:val="19"/>
          <w:color w:val="050505"/>
        </w:rPr>
        <w:t>domain extends out onto the surface of the engineered T cell, where it can recognize the target antigens. The target</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8</w:t>
      </w:r>
    </w:p>
    <w:p>
      <w:pPr>
        <w:sectPr>
          <w:pgSz w:w="12240" w:h="15840" w:orient="portrait"/>
          <w:cols w:equalWidth="0" w:num="1">
            <w:col w:w="10220"/>
          </w:cols>
          <w:pgMar w:left="1000" w:top="793" w:right="1020" w:bottom="0" w:gutter="0" w:footer="0" w:header="0"/>
          <w:type w:val="continuous"/>
        </w:sectPr>
      </w:pPr>
    </w:p>
    <w:bookmarkStart w:id="12" w:name="page13"/>
    <w:bookmarkEnd w:id="12"/>
    <w:p>
      <w:pPr>
        <w:ind w:left="720" w:right="340"/>
        <w:spacing w:after="0" w:line="281" w:lineRule="auto"/>
        <w:rPr>
          <w:sz w:val="20"/>
          <w:szCs w:val="20"/>
          <w:color w:val="auto"/>
        </w:rPr>
      </w:pPr>
      <w:r>
        <w:rPr>
          <w:rFonts w:ascii="Times New Roman" w:cs="Times New Roman" w:eastAsia="Times New Roman" w:hAnsi="Times New Roman"/>
          <w:sz w:val="20"/>
          <w:szCs w:val="20"/>
          <w:color w:val="050505"/>
        </w:rPr>
        <w:t>binding domain consists of a single-chain variable fragment (scFv) of an antibody comprising variable domains of heavy and light chains joined by a short linker.</w:t>
      </w:r>
    </w:p>
    <w:p>
      <w:pPr>
        <w:spacing w:after="0" w:line="58" w:lineRule="exact"/>
        <w:rPr>
          <w:sz w:val="20"/>
          <w:szCs w:val="20"/>
          <w:color w:val="auto"/>
        </w:rPr>
      </w:pPr>
    </w:p>
    <w:p>
      <w:pPr>
        <w:ind w:left="720" w:right="20" w:hanging="370"/>
        <w:spacing w:after="0" w:line="276" w:lineRule="auto"/>
        <w:tabs>
          <w:tab w:leader="none" w:pos="720" w:val="left"/>
        </w:tabs>
        <w:numPr>
          <w:ilvl w:val="0"/>
          <w:numId w:val="16"/>
        </w:numPr>
        <w:rPr>
          <w:rFonts w:ascii="Times New Roman" w:cs="Times New Roman" w:eastAsia="Times New Roman" w:hAnsi="Times New Roman"/>
          <w:sz w:val="19"/>
          <w:szCs w:val="19"/>
          <w:color w:val="050505"/>
        </w:rPr>
      </w:pPr>
      <w:r>
        <w:rPr>
          <w:rFonts w:ascii="Times New Roman" w:cs="Times New Roman" w:eastAsia="Times New Roman" w:hAnsi="Times New Roman"/>
          <w:sz w:val="19"/>
          <w:szCs w:val="19"/>
          <w:b w:val="1"/>
          <w:bCs w:val="1"/>
          <w:i w:val="1"/>
          <w:iCs w:val="1"/>
          <w:color w:val="050505"/>
        </w:rPr>
        <w:t xml:space="preserve">Transmembrane Domain and Hinge: </w:t>
      </w:r>
      <w:r>
        <w:rPr>
          <w:rFonts w:ascii="Times New Roman" w:cs="Times New Roman" w:eastAsia="Times New Roman" w:hAnsi="Times New Roman"/>
          <w:sz w:val="19"/>
          <w:szCs w:val="19"/>
          <w:color w:val="050505"/>
        </w:rPr>
        <w:t>This middle portion of the CAR links the scFv target binding domain to the</w:t>
      </w:r>
      <w:r>
        <w:rPr>
          <w:rFonts w:ascii="Times New Roman" w:cs="Times New Roman" w:eastAsia="Times New Roman" w:hAnsi="Times New Roman"/>
          <w:sz w:val="19"/>
          <w:szCs w:val="19"/>
          <w:b w:val="1"/>
          <w:bCs w:val="1"/>
          <w:i w:val="1"/>
          <w:iCs w:val="1"/>
          <w:color w:val="050505"/>
        </w:rPr>
        <w:t xml:space="preserve"> </w:t>
      </w:r>
      <w:r>
        <w:rPr>
          <w:rFonts w:ascii="Times New Roman" w:cs="Times New Roman" w:eastAsia="Times New Roman" w:hAnsi="Times New Roman"/>
          <w:sz w:val="19"/>
          <w:szCs w:val="19"/>
          <w:color w:val="050505"/>
        </w:rPr>
        <w:t>activating elements inside the cell. This transmembrane domain “anchors” the CAR in the cell’s membrane. In addition, the transmembrane domain may also interact with other transmembrane proteins that enhance CAR function. The hinge domain, which extends to the exterior of the cell, connects the transmembrane domain to scFv and provides structural flexibility to facilitate optimal binding of scFv to the target antigen on the cancer cell’s surface.</w:t>
      </w:r>
    </w:p>
    <w:p>
      <w:pPr>
        <w:spacing w:after="0" w:line="63" w:lineRule="exact"/>
        <w:rPr>
          <w:rFonts w:ascii="Times New Roman" w:cs="Times New Roman" w:eastAsia="Times New Roman" w:hAnsi="Times New Roman"/>
          <w:sz w:val="19"/>
          <w:szCs w:val="19"/>
          <w:color w:val="050505"/>
        </w:rPr>
      </w:pPr>
    </w:p>
    <w:p>
      <w:pPr>
        <w:jc w:val="both"/>
        <w:ind w:left="720" w:right="40" w:hanging="370"/>
        <w:spacing w:after="0" w:line="272" w:lineRule="auto"/>
        <w:tabs>
          <w:tab w:leader="none" w:pos="720" w:val="left"/>
        </w:tabs>
        <w:numPr>
          <w:ilvl w:val="0"/>
          <w:numId w:val="16"/>
        </w:numPr>
        <w:rPr>
          <w:rFonts w:ascii="Times New Roman" w:cs="Times New Roman" w:eastAsia="Times New Roman" w:hAnsi="Times New Roman"/>
          <w:sz w:val="19"/>
          <w:szCs w:val="19"/>
          <w:color w:val="050505"/>
        </w:rPr>
      </w:pPr>
      <w:r>
        <w:rPr>
          <w:rFonts w:ascii="Times New Roman" w:cs="Times New Roman" w:eastAsia="Times New Roman" w:hAnsi="Times New Roman"/>
          <w:sz w:val="19"/>
          <w:szCs w:val="19"/>
          <w:b w:val="1"/>
          <w:bCs w:val="1"/>
          <w:i w:val="1"/>
          <w:iCs w:val="1"/>
          <w:color w:val="050505"/>
        </w:rPr>
        <w:t xml:space="preserve">Activating Domains: </w:t>
      </w:r>
      <w:r>
        <w:rPr>
          <w:rFonts w:ascii="Times New Roman" w:cs="Times New Roman" w:eastAsia="Times New Roman" w:hAnsi="Times New Roman"/>
          <w:sz w:val="19"/>
          <w:szCs w:val="19"/>
          <w:color w:val="050505"/>
        </w:rPr>
        <w:t>The other end of transmembrane domain, inside the T cell, is connected to one or more signaling</w:t>
      </w:r>
      <w:r>
        <w:rPr>
          <w:rFonts w:ascii="Times New Roman" w:cs="Times New Roman" w:eastAsia="Times New Roman" w:hAnsi="Times New Roman"/>
          <w:sz w:val="19"/>
          <w:szCs w:val="19"/>
          <w:b w:val="1"/>
          <w:bCs w:val="1"/>
          <w:i w:val="1"/>
          <w:iCs w:val="1"/>
          <w:color w:val="050505"/>
        </w:rPr>
        <w:t xml:space="preserve"> </w:t>
      </w:r>
      <w:r>
        <w:rPr>
          <w:rFonts w:ascii="Times New Roman" w:cs="Times New Roman" w:eastAsia="Times New Roman" w:hAnsi="Times New Roman"/>
          <w:sz w:val="19"/>
          <w:szCs w:val="19"/>
          <w:color w:val="050505"/>
        </w:rPr>
        <w:t>domains responsible for activating the T cell when the CAR binds to the target cell. The CD3 zeta domain delivers an essential primary signal within the T cell, and the 41BB domain delivers an additional, co-stimulatory signal.</w:t>
      </w:r>
    </w:p>
    <w:p>
      <w:pPr>
        <w:spacing w:after="0" w:line="1" w:lineRule="exact"/>
        <w:rPr>
          <w:rFonts w:ascii="Times New Roman" w:cs="Times New Roman" w:eastAsia="Times New Roman" w:hAnsi="Times New Roman"/>
          <w:sz w:val="19"/>
          <w:szCs w:val="19"/>
          <w:color w:val="050505"/>
        </w:rPr>
      </w:pPr>
    </w:p>
    <w:p>
      <w:pPr>
        <w:jc w:val="both"/>
        <w:ind w:left="720" w:right="120"/>
        <w:spacing w:after="0" w:line="255" w:lineRule="auto"/>
        <w:rPr>
          <w:rFonts w:ascii="Times New Roman" w:cs="Times New Roman" w:eastAsia="Times New Roman" w:hAnsi="Times New Roman"/>
          <w:sz w:val="19"/>
          <w:szCs w:val="19"/>
          <w:color w:val="050505"/>
        </w:rPr>
      </w:pPr>
      <w:r>
        <w:rPr>
          <w:rFonts w:ascii="Times New Roman" w:cs="Times New Roman" w:eastAsia="Times New Roman" w:hAnsi="Times New Roman"/>
          <w:sz w:val="20"/>
          <w:szCs w:val="20"/>
          <w:color w:val="050505"/>
        </w:rPr>
        <w:t>Together, these signals trigger T cell activation, resulting in proliferation of the CAR T cells and killing of the cancer cell. In addition, activated CAR T cells stimulate the local secretion of cytokines and other molecules that can recruit and activate additional immune cells to potentiate killing of the cancer cells.</w:t>
      </w:r>
    </w:p>
    <w:p>
      <w:pPr>
        <w:spacing w:after="0" w:line="87" w:lineRule="exact"/>
        <w:rPr>
          <w:sz w:val="20"/>
          <w:szCs w:val="20"/>
          <w:color w:val="auto"/>
        </w:rPr>
      </w:pPr>
    </w:p>
    <w:p>
      <w:pPr>
        <w:ind w:right="440" w:firstLine="720"/>
        <w:spacing w:after="0" w:line="266" w:lineRule="auto"/>
        <w:rPr>
          <w:sz w:val="20"/>
          <w:szCs w:val="20"/>
          <w:color w:val="auto"/>
        </w:rPr>
      </w:pPr>
      <w:r>
        <w:rPr>
          <w:rFonts w:ascii="Times New Roman" w:cs="Times New Roman" w:eastAsia="Times New Roman" w:hAnsi="Times New Roman"/>
          <w:sz w:val="20"/>
          <w:szCs w:val="20"/>
          <w:color w:val="050505"/>
        </w:rPr>
        <w:t>In addition to the domains described above, in ALLO-316, we have included rituximab recognition domains to potentially serve to identify and/or eliminate ALLO-316 cells using rituximab. The figure below shows the constructs that support our lead product candidates in clinical development: cema-cel, ALLO-316 and ALLO-329.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10795</wp:posOffset>
            </wp:positionV>
            <wp:extent cx="5943600" cy="2423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4360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Allogeneic CAR T Cell Products: The Next Revolution</w:t>
      </w:r>
    </w:p>
    <w:p>
      <w:pPr>
        <w:spacing w:after="0" w:line="137" w:lineRule="exact"/>
        <w:rPr>
          <w:sz w:val="20"/>
          <w:szCs w:val="20"/>
          <w:color w:val="auto"/>
        </w:rPr>
      </w:pPr>
    </w:p>
    <w:p>
      <w:pPr>
        <w:ind w:right="200" w:firstLine="720"/>
        <w:spacing w:after="0" w:line="260" w:lineRule="auto"/>
        <w:rPr>
          <w:sz w:val="20"/>
          <w:szCs w:val="20"/>
          <w:color w:val="auto"/>
        </w:rPr>
      </w:pPr>
      <w:r>
        <w:rPr>
          <w:rFonts w:ascii="Times New Roman" w:cs="Times New Roman" w:eastAsia="Times New Roman" w:hAnsi="Times New Roman"/>
          <w:sz w:val="20"/>
          <w:szCs w:val="20"/>
          <w:color w:val="050505"/>
        </w:rPr>
        <w:t>There are two primary ex vivo approaches to engineered T cell therapy: autologous and allogeneic. Autologous therapies use engineered T cells derived from the individual patient, while allogeneic products use engineered T cells derived from unrelated healthy donors. While the autologous approach has been revolutionary, demonstrating compelling efficacy in many patients, it is burdened by the following key limitations:</w:t>
      </w:r>
    </w:p>
    <w:p>
      <w:pPr>
        <w:spacing w:after="0" w:line="77" w:lineRule="exact"/>
        <w:rPr>
          <w:sz w:val="20"/>
          <w:szCs w:val="20"/>
          <w:color w:val="auto"/>
        </w:rPr>
      </w:pPr>
    </w:p>
    <w:p>
      <w:pPr>
        <w:ind w:left="720" w:hanging="370"/>
        <w:spacing w:after="0" w:line="254" w:lineRule="auto"/>
        <w:tabs>
          <w:tab w:leader="none" w:pos="720" w:val="left"/>
        </w:tabs>
        <w:numPr>
          <w:ilvl w:val="0"/>
          <w:numId w:val="17"/>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Lengthy Delivery Time</w:t>
      </w:r>
      <w:r>
        <w:rPr>
          <w:rFonts w:ascii="Times New Roman" w:cs="Times New Roman" w:eastAsia="Times New Roman" w:hAnsi="Times New Roman"/>
          <w:sz w:val="20"/>
          <w:szCs w:val="20"/>
          <w:color w:val="050505"/>
        </w:rPr>
        <w:t>. Due to the individualized manufacturing process, patients may wait weeks to months to be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treated with their engineered cells. As a result, in the registrational trials for Yescarta® and Kymriah</w:t>
      </w:r>
      <w:r>
        <w:rPr>
          <w:rFonts w:ascii="Times New Roman" w:cs="Times New Roman" w:eastAsia="Times New Roman" w:hAnsi="Times New Roman"/>
          <w:sz w:val="19"/>
          <w:szCs w:val="19"/>
          <w:color w:val="050505"/>
        </w:rPr>
        <w:t>®</w:t>
      </w:r>
      <w:r>
        <w:rPr>
          <w:rFonts w:ascii="Times New Roman" w:cs="Times New Roman" w:eastAsia="Times New Roman" w:hAnsi="Times New Roman"/>
          <w:sz w:val="20"/>
          <w:szCs w:val="20"/>
          <w:color w:val="050505"/>
        </w:rPr>
        <w:t>, up to 31% of intended patients ultimately did not receive treatment primarily due to complications from the underlying disease prior to delivery of therapy or as a result of manufacturing failures. In addition, certain patients being treated with autologous therapies have sometimes required bridging therapy as they wait for the manufacture of their T cells, however, bridging therapy to control disease may increase some cumulative or synergistic toxicities for the patients. Other rapidly progressing patients may not be considered candidates for autologous CAR T given lengthy waiting times and limited manufacturing slots. Each of these autologous CAR T challenges creates inherent limitations to the uptake of autologous CAR T therapies. As discussed in more detail below, these limitations become increasingly prohibitive in diseases where time is of the essence as is the case in 1L consolidation, making autologous CAR T therapy unsuitable for such use.</w:t>
      </w:r>
    </w:p>
    <w:p>
      <w:pPr>
        <w:spacing w:after="0" w:line="82" w:lineRule="exact"/>
        <w:rPr>
          <w:rFonts w:ascii="Times New Roman" w:cs="Times New Roman" w:eastAsia="Times New Roman" w:hAnsi="Times New Roman"/>
          <w:sz w:val="20"/>
          <w:szCs w:val="20"/>
          <w:color w:val="050505"/>
        </w:rPr>
      </w:pPr>
    </w:p>
    <w:p>
      <w:pPr>
        <w:ind w:left="720" w:right="60" w:hanging="370"/>
        <w:spacing w:after="0" w:line="258" w:lineRule="auto"/>
        <w:tabs>
          <w:tab w:leader="none" w:pos="720" w:val="left"/>
        </w:tabs>
        <w:numPr>
          <w:ilvl w:val="0"/>
          <w:numId w:val="17"/>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Variable Potency</w:t>
      </w:r>
      <w:r>
        <w:rPr>
          <w:rFonts w:ascii="Times New Roman" w:cs="Times New Roman" w:eastAsia="Times New Roman" w:hAnsi="Times New Roman"/>
          <w:sz w:val="20"/>
          <w:szCs w:val="20"/>
          <w:color w:val="050505"/>
        </w:rPr>
        <w:t>. In some cases, patients may have T cells that have been damaged or weakened due to prior</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chemotherapy or hematopoietic stem-cell transplant. Compromised T cells may not proliferate well during manufacturing or may produce cells with insufficient potency that cannot be used for patient treatment, resulting in manufacturing failures, or that can show poor expansion and activity in patients. In addition, the individualized nature of autologous manufacturing, together with the variability in patients’ T cells, may lead to variable potency of manufactured T cells, and this variability may cause unpredictable treatment outcomes.</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050505"/>
        </w:rPr>
        <w:t>9</w:t>
      </w:r>
    </w:p>
    <w:p>
      <w:pPr>
        <w:sectPr>
          <w:pgSz w:w="12240" w:h="15840" w:orient="portrait"/>
          <w:cols w:equalWidth="0" w:num="1">
            <w:col w:w="10200"/>
          </w:cols>
          <w:pgMar w:left="1000" w:top="793" w:right="1040" w:bottom="0" w:gutter="0" w:footer="0" w:header="0"/>
          <w:type w:val="continuous"/>
        </w:sectPr>
      </w:pPr>
    </w:p>
    <w:bookmarkStart w:id="13" w:name="page14"/>
    <w:bookmarkEnd w:id="13"/>
    <w:p>
      <w:pPr>
        <w:ind w:left="720" w:right="220" w:hanging="370"/>
        <w:spacing w:after="0" w:line="262" w:lineRule="auto"/>
        <w:tabs>
          <w:tab w:leader="none" w:pos="720" w:val="left"/>
        </w:tabs>
        <w:numPr>
          <w:ilvl w:val="0"/>
          <w:numId w:val="1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Manufacturing Failures. </w:t>
      </w:r>
      <w:r>
        <w:rPr>
          <w:rFonts w:ascii="Times New Roman" w:cs="Times New Roman" w:eastAsia="Times New Roman" w:hAnsi="Times New Roman"/>
          <w:sz w:val="20"/>
          <w:szCs w:val="20"/>
          <w:color w:val="050505"/>
        </w:rPr>
        <w:t>Autologous cell manufacturing sometimes encounters production failures. This can mean</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that a patient never receives treatment, as additional patient starting material may not be available or the patient may no longer be eligible due to advanced disease. Furthermore, retreatment can be difficult due to a limited supply of usable patient starting material.</w:t>
      </w:r>
    </w:p>
    <w:p>
      <w:pPr>
        <w:spacing w:after="0" w:line="75" w:lineRule="exact"/>
        <w:rPr>
          <w:rFonts w:ascii="Times New Roman" w:cs="Times New Roman" w:eastAsia="Times New Roman" w:hAnsi="Times New Roman"/>
          <w:sz w:val="20"/>
          <w:szCs w:val="20"/>
          <w:color w:val="050505"/>
        </w:rPr>
      </w:pPr>
    </w:p>
    <w:p>
      <w:pPr>
        <w:ind w:left="720" w:hanging="370"/>
        <w:spacing w:after="0" w:line="256" w:lineRule="auto"/>
        <w:tabs>
          <w:tab w:leader="none" w:pos="720" w:val="left"/>
        </w:tabs>
        <w:numPr>
          <w:ilvl w:val="0"/>
          <w:numId w:val="1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Complex Logistics</w:t>
      </w:r>
      <w:r>
        <w:rPr>
          <w:rFonts w:ascii="Times New Roman" w:cs="Times New Roman" w:eastAsia="Times New Roman" w:hAnsi="Times New Roman"/>
          <w:sz w:val="20"/>
          <w:szCs w:val="20"/>
          <w:color w:val="050505"/>
        </w:rPr>
        <w:t>. The delivery of autologous T cell therapy is complicated due to the individualized nature of</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manufacturing, which allows only one patient to be treated from each manufacturing run and requires dedicated infrastructure to maintain a strict chain of custody and chain of identity of patient-by-patient material collection, manufacturing and delivery. The complex logistics add significant cost to the process and limit the ability to scale. Additionally, the collection of T cells through leukapheresis from each individual patient results in a time consuming and costly step in the autologous process. In part due to these logistics, autologous treatment is currently only available at select centers.</w:t>
      </w:r>
    </w:p>
    <w:p>
      <w:pPr>
        <w:spacing w:after="0" w:line="89"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In addition to these ex vivo approaches, a third approach has emerged that is referred to as in vivo CAR T or in situ CAR T. This in vivo approach seeks to generate CAR expressing T cells directly inside the patient by administering engineered delivery systems (such as viral vectors or targeted lipid nanoparticles (LNP)) that introduce CAR encoding genetic material into endogenous T cells. We believe that in vivo approaches face limitations/challenges, including:</w:t>
      </w:r>
    </w:p>
    <w:p>
      <w:pPr>
        <w:spacing w:after="0" w:line="3" w:lineRule="exact"/>
        <w:rPr>
          <w:sz w:val="20"/>
          <w:szCs w:val="20"/>
          <w:color w:val="auto"/>
        </w:rPr>
      </w:pPr>
    </w:p>
    <w:p>
      <w:pPr>
        <w:ind w:left="720" w:hanging="370"/>
        <w:spacing w:after="0"/>
        <w:tabs>
          <w:tab w:leader="none" w:pos="720" w:val="left"/>
        </w:tabs>
        <w:numPr>
          <w:ilvl w:val="0"/>
          <w:numId w:val="1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CAR expression and transduction efficiency are dose dependent and difficult to titrate (unpredictable pharmacology).</w:t>
      </w:r>
    </w:p>
    <w:p>
      <w:pPr>
        <w:spacing w:after="0" w:line="15" w:lineRule="exact"/>
        <w:rPr>
          <w:rFonts w:ascii="Arial" w:cs="Arial" w:eastAsia="Arial" w:hAnsi="Arial"/>
          <w:sz w:val="24"/>
          <w:szCs w:val="24"/>
          <w:b w:val="1"/>
          <w:bCs w:val="1"/>
          <w:color w:val="050505"/>
        </w:rPr>
      </w:pPr>
    </w:p>
    <w:p>
      <w:pPr>
        <w:ind w:left="720" w:hanging="370"/>
        <w:spacing w:after="0" w:line="229" w:lineRule="auto"/>
        <w:tabs>
          <w:tab w:leader="none" w:pos="720" w:val="left"/>
        </w:tabs>
        <w:numPr>
          <w:ilvl w:val="0"/>
          <w:numId w:val="19"/>
        </w:numPr>
        <w:rPr>
          <w:rFonts w:ascii="Times New Roman" w:cs="Times New Roman" w:eastAsia="Times New Roman" w:hAnsi="Times New Roman"/>
          <w:sz w:val="24"/>
          <w:szCs w:val="24"/>
          <w:color w:val="050505"/>
        </w:rPr>
      </w:pPr>
      <w:r>
        <w:rPr>
          <w:rFonts w:ascii="Times New Roman" w:cs="Times New Roman" w:eastAsia="Times New Roman" w:hAnsi="Times New Roman"/>
          <w:sz w:val="20"/>
          <w:szCs w:val="20"/>
          <w:color w:val="050505"/>
        </w:rPr>
        <w:t>Potential immunogenicity to LNP components or viral proteins may hinder repeat dosing or retreatment.</w:t>
      </w:r>
    </w:p>
    <w:p>
      <w:pPr>
        <w:spacing w:after="0" w:line="12" w:lineRule="exact"/>
        <w:rPr>
          <w:rFonts w:ascii="Times New Roman" w:cs="Times New Roman" w:eastAsia="Times New Roman" w:hAnsi="Times New Roman"/>
          <w:sz w:val="24"/>
          <w:szCs w:val="24"/>
          <w:color w:val="050505"/>
        </w:rPr>
      </w:pPr>
    </w:p>
    <w:p>
      <w:pPr>
        <w:ind w:left="720" w:hanging="370"/>
        <w:spacing w:after="0"/>
        <w:tabs>
          <w:tab w:leader="none" w:pos="720" w:val="left"/>
        </w:tabs>
        <w:numPr>
          <w:ilvl w:val="0"/>
          <w:numId w:val="19"/>
        </w:numPr>
        <w:rPr>
          <w:rFonts w:ascii="Times New Roman" w:cs="Times New Roman" w:eastAsia="Times New Roman" w:hAnsi="Times New Roman"/>
          <w:sz w:val="24"/>
          <w:szCs w:val="24"/>
          <w:color w:val="050505"/>
        </w:rPr>
      </w:pPr>
      <w:r>
        <w:rPr>
          <w:rFonts w:ascii="Times New Roman" w:cs="Times New Roman" w:eastAsia="Times New Roman" w:hAnsi="Times New Roman"/>
          <w:sz w:val="20"/>
          <w:szCs w:val="20"/>
          <w:color w:val="050505"/>
        </w:rPr>
        <w:t>Reduced activity in patients with exhausted or otherwise unhealthy T cells.</w:t>
      </w:r>
    </w:p>
    <w:p>
      <w:pPr>
        <w:spacing w:after="0" w:line="27" w:lineRule="exact"/>
        <w:rPr>
          <w:rFonts w:ascii="Times New Roman" w:cs="Times New Roman" w:eastAsia="Times New Roman" w:hAnsi="Times New Roman"/>
          <w:sz w:val="24"/>
          <w:szCs w:val="24"/>
          <w:color w:val="050505"/>
        </w:rPr>
      </w:pPr>
    </w:p>
    <w:p>
      <w:pPr>
        <w:ind w:left="720" w:right="840" w:hanging="370"/>
        <w:spacing w:after="0" w:line="284" w:lineRule="auto"/>
        <w:tabs>
          <w:tab w:leader="none" w:pos="720" w:val="left"/>
        </w:tabs>
        <w:numPr>
          <w:ilvl w:val="0"/>
          <w:numId w:val="19"/>
        </w:numPr>
        <w:rPr>
          <w:rFonts w:ascii="Times New Roman" w:cs="Times New Roman" w:eastAsia="Times New Roman" w:hAnsi="Times New Roman"/>
          <w:sz w:val="24"/>
          <w:szCs w:val="24"/>
          <w:color w:val="050505"/>
        </w:rPr>
      </w:pPr>
      <w:r>
        <w:rPr>
          <w:rFonts w:ascii="Times New Roman" w:cs="Times New Roman" w:eastAsia="Times New Roman" w:hAnsi="Times New Roman"/>
          <w:sz w:val="20"/>
          <w:szCs w:val="20"/>
          <w:color w:val="050505"/>
        </w:rPr>
        <w:t>Risk of off target delivery and insertional mutagenesis in progenitor cells arising from stochastic viral vector integration, warranting monitoring.</w:t>
      </w:r>
    </w:p>
    <w:p>
      <w:pPr>
        <w:spacing w:after="0" w:line="69"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050505"/>
        </w:rPr>
        <w:t>Allogeneic engineered T cells are manufactured in a similar manner as autologous, but our manufacturing has two key differences: (1) our allogeneic T cells are derived from healthy donors, not the patients themselves, and (2) our allogeneic T cells are genetically engineered to minimize the risk of GvHD.</w:t>
      </w:r>
    </w:p>
    <w:p>
      <w:pPr>
        <w:spacing w:after="0" w:line="75" w:lineRule="exact"/>
        <w:rPr>
          <w:sz w:val="20"/>
          <w:szCs w:val="20"/>
          <w:color w:val="auto"/>
        </w:rPr>
      </w:pPr>
    </w:p>
    <w:p>
      <w:pPr>
        <w:ind w:right="380" w:firstLine="720"/>
        <w:spacing w:after="0" w:line="281" w:lineRule="auto"/>
        <w:rPr>
          <w:sz w:val="20"/>
          <w:szCs w:val="20"/>
          <w:color w:val="auto"/>
        </w:rPr>
      </w:pPr>
      <w:r>
        <w:rPr>
          <w:rFonts w:ascii="Times New Roman" w:cs="Times New Roman" w:eastAsia="Times New Roman" w:hAnsi="Times New Roman"/>
          <w:sz w:val="20"/>
          <w:szCs w:val="20"/>
          <w:color w:val="050505"/>
        </w:rPr>
        <w:t>Our approach is designed to provide the same intended curative outcome as autologous therapy, while offering the following potential key advantages:</w:t>
      </w:r>
    </w:p>
    <w:p>
      <w:pPr>
        <w:spacing w:after="0" w:line="55" w:lineRule="exact"/>
        <w:rPr>
          <w:sz w:val="20"/>
          <w:szCs w:val="20"/>
          <w:color w:val="auto"/>
        </w:rPr>
      </w:pPr>
    </w:p>
    <w:p>
      <w:pPr>
        <w:ind w:left="720" w:right="180" w:hanging="370"/>
        <w:spacing w:after="0" w:line="263" w:lineRule="auto"/>
        <w:tabs>
          <w:tab w:leader="none" w:pos="720" w:val="left"/>
        </w:tabs>
        <w:numPr>
          <w:ilvl w:val="0"/>
          <w:numId w:val="2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Availability and Access</w:t>
      </w:r>
      <w:r>
        <w:rPr>
          <w:rFonts w:ascii="Times New Roman" w:cs="Times New Roman" w:eastAsia="Times New Roman" w:hAnsi="Times New Roman"/>
          <w:sz w:val="20"/>
          <w:szCs w:val="20"/>
          <w:color w:val="050505"/>
        </w:rPr>
        <w:t>. Starting with T cells from a healthy donor, we believe that at scale we can manufacture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approximately 100 doses or more of allogeneic CAR T product per manufacturing run that could be used in any eligible patient. Because our allogeneic product candidates are designed to be frozen and available off-the-shelf, they are expected to be readily shipped and administered to patients.</w:t>
      </w:r>
    </w:p>
    <w:p>
      <w:pPr>
        <w:spacing w:after="0" w:line="71" w:lineRule="exact"/>
        <w:rPr>
          <w:rFonts w:ascii="Times New Roman" w:cs="Times New Roman" w:eastAsia="Times New Roman" w:hAnsi="Times New Roman"/>
          <w:sz w:val="20"/>
          <w:szCs w:val="20"/>
          <w:color w:val="050505"/>
        </w:rPr>
      </w:pPr>
    </w:p>
    <w:p>
      <w:pPr>
        <w:ind w:left="720" w:hanging="370"/>
        <w:spacing w:after="0" w:line="253" w:lineRule="auto"/>
        <w:tabs>
          <w:tab w:leader="none" w:pos="720" w:val="left"/>
        </w:tabs>
        <w:numPr>
          <w:ilvl w:val="0"/>
          <w:numId w:val="2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Speed to Patient</w:t>
      </w:r>
      <w:r>
        <w:rPr>
          <w:rFonts w:ascii="Times New Roman" w:cs="Times New Roman" w:eastAsia="Times New Roman" w:hAnsi="Times New Roman"/>
          <w:sz w:val="20"/>
          <w:szCs w:val="20"/>
          <w:color w:val="050505"/>
        </w:rPr>
        <w:t>. Many patients with aggressive or rapidly progressing cancer may not have multiple weeks to wait for</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autologous CAR T treatment. Our allogeneic approach has the potential to create off-the-shelf product inventory, which could enable dosing of patients within days of a decision to treat. This would represent a significant reduction in patient wait time, potentially obviating the need for any bridging therapy and allowing the treatment of patients who are either too sick, or their disease progresses too quickly for them to wait for their autologous CAR T cells to be manufactured, thus potentially improving patient outcomes. In addition, as we seek to incorporate our investigational allogeneic CAR T product into a 1L consolidation strategy, the speed to patient becomes even more important. Once it is determined that a patient is MRD positive following standard 1L treatment, published results of front-line chemotherapy outcomes suggest that the patient is very likely to progress, and some patients may do so very quickly (i.e., within a matter of weeks after completing 1L therapy). Furthermore, data suggests that patients who have low burden of disease when they receive CAR T cells tend to have better safety and efficacy outcomes, including lower rates of cytokine release syndrome (CRS) and more durable remissions. As a result, we believe that autologous CAR T therapy is far less suitable for treating MRD positive patients as part of a 1L consolidation strategy given the lengthy lead time for the autologous individualized manufacturing process, which would not allow for rapid CAR T treatment before disease progression and while the disease burden remains low.</w:t>
      </w:r>
    </w:p>
    <w:p>
      <w:pPr>
        <w:spacing w:after="0" w:line="83" w:lineRule="exact"/>
        <w:rPr>
          <w:rFonts w:ascii="Times New Roman" w:cs="Times New Roman" w:eastAsia="Times New Roman" w:hAnsi="Times New Roman"/>
          <w:sz w:val="20"/>
          <w:szCs w:val="20"/>
          <w:color w:val="050505"/>
        </w:rPr>
      </w:pPr>
    </w:p>
    <w:p>
      <w:pPr>
        <w:ind w:left="720" w:hanging="370"/>
        <w:spacing w:after="0" w:line="259" w:lineRule="auto"/>
        <w:tabs>
          <w:tab w:leader="none" w:pos="720" w:val="left"/>
        </w:tabs>
        <w:numPr>
          <w:ilvl w:val="0"/>
          <w:numId w:val="2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Enhanced Cell Consistency and Potency</w:t>
      </w:r>
      <w:r>
        <w:rPr>
          <w:rFonts w:ascii="Times New Roman" w:cs="Times New Roman" w:eastAsia="Times New Roman" w:hAnsi="Times New Roman"/>
          <w:sz w:val="20"/>
          <w:szCs w:val="20"/>
          <w:color w:val="050505"/>
        </w:rPr>
        <w:t>. Our manufacturing process produces therapies from selected, screened and</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tested healthy donors. Healthy donor T cells are potentially superior for engineered cellular therapy as compared to T cells from patients who have undergone prior chemotherapy or hematopoietic stem-cell transplant, which can reduce in number, damage or weaken T cells, as may be the case with autologous or in vivo cell therapy. In addition, greater consistency of the product may yield more predictable treatment outcomes.</w:t>
      </w:r>
    </w:p>
    <w:p>
      <w:pPr>
        <w:spacing w:after="0" w:line="79" w:lineRule="exact"/>
        <w:rPr>
          <w:rFonts w:ascii="Times New Roman" w:cs="Times New Roman" w:eastAsia="Times New Roman" w:hAnsi="Times New Roman"/>
          <w:sz w:val="20"/>
          <w:szCs w:val="20"/>
          <w:color w:val="050505"/>
        </w:rPr>
      </w:pPr>
    </w:p>
    <w:p>
      <w:pPr>
        <w:ind w:left="720" w:right="60" w:hanging="370"/>
        <w:spacing w:after="0" w:line="262" w:lineRule="auto"/>
        <w:tabs>
          <w:tab w:leader="none" w:pos="720" w:val="left"/>
        </w:tabs>
        <w:numPr>
          <w:ilvl w:val="0"/>
          <w:numId w:val="2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Streamlined Manufacturing. </w:t>
      </w:r>
      <w:r>
        <w:rPr>
          <w:rFonts w:ascii="Times New Roman" w:cs="Times New Roman" w:eastAsia="Times New Roman" w:hAnsi="Times New Roman"/>
          <w:sz w:val="20"/>
          <w:szCs w:val="20"/>
          <w:color w:val="050505"/>
        </w:rPr>
        <w:t>We have built an efficient and scalable manufacturing process and organization. The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allogeneic CAR T approach utilizes healthy donor T cells which we believe provides enhanced scalability, and an off-the-shelf capability that can potentially reduce the costs to the overall healthcare system as it does not require bridging therapy, leukapheresis and complex logistics.</w:t>
      </w:r>
    </w:p>
    <w:p>
      <w:pPr>
        <w:sectPr>
          <w:pgSz w:w="12240" w:h="15840" w:orient="portrait"/>
          <w:cols w:equalWidth="0" w:num="1">
            <w:col w:w="10240"/>
          </w:cols>
          <w:pgMar w:left="1000" w:top="787" w:right="100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10</w:t>
      </w:r>
    </w:p>
    <w:p>
      <w:pPr>
        <w:sectPr>
          <w:pgSz w:w="12240" w:h="15840" w:orient="portrait"/>
          <w:cols w:equalWidth="0" w:num="1">
            <w:col w:w="10240"/>
          </w:cols>
          <w:pgMar w:left="1000" w:top="787" w:right="100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542925</wp:posOffset>
            </wp:positionV>
            <wp:extent cx="6515100" cy="2675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515100" cy="267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50505"/>
        </w:rPr>
        <w:t>Manufacturing Allogeneic T Cells</w:t>
      </w:r>
    </w:p>
    <w:p>
      <w:pPr>
        <w:spacing w:after="0" w:line="137" w:lineRule="exact"/>
        <w:rPr>
          <w:sz w:val="20"/>
          <w:szCs w:val="20"/>
          <w:color w:val="auto"/>
        </w:rPr>
      </w:pPr>
    </w:p>
    <w:p>
      <w:pPr>
        <w:ind w:left="10" w:right="100" w:firstLine="720"/>
        <w:spacing w:after="0" w:line="274" w:lineRule="auto"/>
        <w:rPr>
          <w:sz w:val="20"/>
          <w:szCs w:val="20"/>
          <w:color w:val="auto"/>
        </w:rPr>
      </w:pPr>
      <w:r>
        <w:rPr>
          <w:rFonts w:ascii="Times New Roman" w:cs="Times New Roman" w:eastAsia="Times New Roman" w:hAnsi="Times New Roman"/>
          <w:sz w:val="19"/>
          <w:szCs w:val="19"/>
          <w:color w:val="050505"/>
        </w:rPr>
        <w:t>There are similarities as well as key differences between the processes for allogeneic and autologous CAR T cell manufacturing. The three primary steps to creating our engineered allogeneic CAR T cells are: (1) collection and transduction,</w:t>
      </w:r>
    </w:p>
    <w:p>
      <w:pPr>
        <w:spacing w:after="0" w:line="1" w:lineRule="exact"/>
        <w:rPr>
          <w:sz w:val="20"/>
          <w:szCs w:val="20"/>
          <w:color w:val="auto"/>
        </w:rPr>
      </w:pPr>
    </w:p>
    <w:p>
      <w:pPr>
        <w:ind w:left="10" w:hanging="10"/>
        <w:spacing w:after="0" w:line="251" w:lineRule="auto"/>
        <w:tabs>
          <w:tab w:leader="none" w:pos="293" w:val="left"/>
        </w:tabs>
        <w:numPr>
          <w:ilvl w:val="0"/>
          <w:numId w:val="2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gene editing, and (3) purification, formulation, and storage. We start with collecting white blood cells from a healthy donor, which are subsequently stimulated to proliferate and transduced with a viral vector to integrate the CAR sequence into the T cell genome. The CAR sequence directs the expression of CAR proteins on the cell surface that allows the transduced T cells to recognize and bind to a target molecule, for example a target that is present on cancer cells or pathogenic autoreactive immune cells. Next, we use gene editing tools to edit the T cell genome to inactivate TCRα, and in the case of our oncology products, to also inactivate CD52. Inactivation of TCRα is intended to reduce the risk of GvHD. Inactivation of CD52 was intended to enable the use of ALLO-647, a proprietary CD52 monoclonal antibody, as part of lymphodepletion. Although the CD52 inactivation remains in certain of our product candidates, we have now discontinued the use of ALLO-647 as we now do not believe it is a necessary component of the lymphodepletion regimen for our product candidates in the clinical settings selected for development. For oncology products the transduction and genetic editing steps are separate, but for our autoimmune disease product candidate, ALLO-329, the steps are combined and utilize different gene editing technology. Furthermore, ALLO-329 does not incorporate the CD52 knockout utilized in oncology products. Finally, the edited T cells are cultured for several days to increase the cell number, harvested and purified. The purified T cells are formulated in a cryopreservation media and filled into closed, stoppered vials prior to controlled-rate freezing and long-term storage in the vapor phase of liquid nitrogen. This inventory is securely stored and then shipped to treatment facilities, as needed.</w:t>
      </w:r>
    </w:p>
    <w:p>
      <w:pPr>
        <w:spacing w:after="0" w:line="3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50505"/>
        </w:rPr>
        <w:t>Product Pipeline and Development Strategy</w:t>
      </w:r>
    </w:p>
    <w:p>
      <w:pPr>
        <w:spacing w:after="0" w:line="137" w:lineRule="exact"/>
        <w:rPr>
          <w:sz w:val="20"/>
          <w:szCs w:val="20"/>
          <w:color w:val="auto"/>
        </w:rPr>
      </w:pPr>
    </w:p>
    <w:p>
      <w:pPr>
        <w:ind w:left="10" w:right="40" w:firstLine="720"/>
        <w:spacing w:after="0" w:line="258" w:lineRule="auto"/>
        <w:rPr>
          <w:sz w:val="20"/>
          <w:szCs w:val="20"/>
          <w:color w:val="auto"/>
        </w:rPr>
      </w:pPr>
      <w:r>
        <w:rPr>
          <w:rFonts w:ascii="Times New Roman" w:cs="Times New Roman" w:eastAsia="Times New Roman" w:hAnsi="Times New Roman"/>
          <w:sz w:val="20"/>
          <w:szCs w:val="20"/>
          <w:color w:val="050505"/>
        </w:rPr>
        <w:t>Using our proprietary allogeneic CAR T cell platform, we are researching and developing multiple product candidates for the treatment of blood cancers, solid tumors and autoimmune diseases. Our product candidates are allogeneic T cells engineered to be used as off-the-shelf treatments for any patient with a particular cancer type or autoimmune disease. Each product candidate bears specific engineered attributes, and targets a selected antigen expressed on tumor cells or pathogenic autoreactive immune cells.</w:t>
      </w:r>
    </w:p>
    <w:p>
      <w:pPr>
        <w:sectPr>
          <w:pgSz w:w="12240" w:h="15840" w:orient="portrait"/>
          <w:cols w:equalWidth="0" w:num="1">
            <w:col w:w="10210"/>
          </w:cols>
          <w:pgMar w:left="990" w:top="14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050505"/>
        </w:rPr>
        <w:t>11</w:t>
      </w:r>
    </w:p>
    <w:p>
      <w:pPr>
        <w:sectPr>
          <w:pgSz w:w="12240" w:h="15840" w:orient="portrait"/>
          <w:cols w:equalWidth="0" w:num="1">
            <w:col w:w="10210"/>
          </w:cols>
          <w:pgMar w:left="990" w:top="1440" w:right="1040" w:bottom="0" w:gutter="0" w:footer="0" w:header="0"/>
          <w:type w:val="continuous"/>
        </w:sectPr>
      </w:pPr>
    </w:p>
    <w:bookmarkStart w:id="15" w:name="page16"/>
    <w:bookmarkEnd w:id="15"/>
    <w:p>
      <w:pPr>
        <w:ind w:left="900"/>
        <w:spacing w:after="0"/>
        <w:rPr>
          <w:sz w:val="20"/>
          <w:szCs w:val="20"/>
          <w:color w:val="auto"/>
        </w:rPr>
      </w:pPr>
      <w:r>
        <w:rPr>
          <w:rFonts w:ascii="Times New Roman" w:cs="Times New Roman" w:eastAsia="Times New Roman" w:hAnsi="Times New Roman"/>
          <w:sz w:val="20"/>
          <w:szCs w:val="20"/>
          <w:color w:val="050505"/>
        </w:rPr>
        <w:t>Our product pipeline is represented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5943600" cy="2799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3600" cy="2799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vertAlign w:val="superscript"/>
        </w:rPr>
        <w:t>1</w:t>
      </w:r>
      <w:r>
        <w:rPr>
          <w:rFonts w:ascii="Times New Roman" w:cs="Times New Roman" w:eastAsia="Times New Roman" w:hAnsi="Times New Roman"/>
          <w:sz w:val="16"/>
          <w:szCs w:val="16"/>
          <w:color w:val="050505"/>
        </w:rPr>
        <w:t>Phase 2 designed to be registrational</w:t>
      </w:r>
    </w:p>
    <w:p>
      <w:pPr>
        <w:spacing w:after="0" w:line="200" w:lineRule="exact"/>
        <w:rPr>
          <w:sz w:val="20"/>
          <w:szCs w:val="20"/>
          <w:color w:val="auto"/>
        </w:rPr>
      </w:pPr>
    </w:p>
    <w:p>
      <w:pPr>
        <w:spacing w:after="0" w:line="3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Anti-CD19 Oncology Development Program</w:t>
      </w:r>
    </w:p>
    <w:p>
      <w:pPr>
        <w:spacing w:after="0" w:line="139"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050505"/>
        </w:rPr>
        <w:t>CD19 is an antigen expressed on the surface of B cells, including on B cells that are malignant. B cells are considered non-essential tissue, as they are not absolutely required for patient survival. We believe CD19 is a validated target for the treatment of B cell leukemias and lymphomas. Multiple autologous anti-CD19 CAR T therapies have shown promising results and have been approved by the FDA as therapies in multiple blood cancers, including relapsed/refractory (R/R) LBCL, as further described below under "—Competition".</w:t>
      </w:r>
    </w:p>
    <w:p>
      <w:pPr>
        <w:spacing w:after="0" w:line="87"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050505"/>
        </w:rPr>
        <w:t>Historically, under our Servier Agreement, we have worked with Servier to develop several CD19 product candidates, including UCART19, ALLO-501 and cema-cel. On September 15, 2022, Servier sent us a notice of discontinuation of its involvement in the development of all CD19 Products pursuant to the Servier Agreement. On May 10, 2024, we entered into an Amendment and Settlement Agreement (the Servier Amendment) with Servier which restructures our relationship under the Servier Agreement. Under the Servier Amendment the parties agreed that co-development performed by the Company and Servier under the Servier Agreement, including co-development relating to CD19 Products, ceased as of December 15, 2022. In December 2025, the Centre de Médiation et d'Arbitrage de Paris issued a decision in an arbitration between Cellectis and Servier relating to Servier’s discontinuation of development. In that decision, the arbitration panel terminated Servier’s license to UCART19v1 and ALLO-501, which were essentially the same product, and as a result our license to ALLO-501 was also terminated. We had previously in 2021 terminated further development of ALLO</w:t>
      </w:r>
      <w:r>
        <w:rPr>
          <w:rFonts w:ascii="Arial" w:cs="Arial" w:eastAsia="Arial" w:hAnsi="Arial"/>
          <w:sz w:val="20"/>
          <w:szCs w:val="20"/>
          <w:b w:val="1"/>
          <w:bCs w:val="1"/>
          <w:color w:val="050505"/>
        </w:rPr>
        <w:t>-</w:t>
      </w:r>
      <w:r>
        <w:rPr>
          <w:rFonts w:ascii="Times New Roman" w:cs="Times New Roman" w:eastAsia="Times New Roman" w:hAnsi="Times New Roman"/>
          <w:sz w:val="20"/>
          <w:szCs w:val="20"/>
          <w:color w:val="050505"/>
        </w:rPr>
        <w:t>501 in favor of ALLO</w:t>
      </w:r>
      <w:r>
        <w:rPr>
          <w:rFonts w:ascii="Arial" w:cs="Arial" w:eastAsia="Arial" w:hAnsi="Arial"/>
          <w:sz w:val="20"/>
          <w:szCs w:val="20"/>
          <w:b w:val="1"/>
          <w:bCs w:val="1"/>
          <w:color w:val="050505"/>
        </w:rPr>
        <w:t>-</w:t>
      </w:r>
      <w:r>
        <w:rPr>
          <w:rFonts w:ascii="Times New Roman" w:cs="Times New Roman" w:eastAsia="Times New Roman" w:hAnsi="Times New Roman"/>
          <w:sz w:val="20"/>
          <w:szCs w:val="20"/>
          <w:color w:val="050505"/>
        </w:rPr>
        <w:t>501A, now known as cema</w:t>
      </w:r>
      <w:r>
        <w:rPr>
          <w:rFonts w:ascii="Arial" w:cs="Arial" w:eastAsia="Arial" w:hAnsi="Arial"/>
          <w:sz w:val="20"/>
          <w:szCs w:val="20"/>
          <w:b w:val="1"/>
          <w:bCs w:val="1"/>
          <w:color w:val="050505"/>
        </w:rPr>
        <w:t>-</w:t>
      </w:r>
      <w:r>
        <w:rPr>
          <w:rFonts w:ascii="Times New Roman" w:cs="Times New Roman" w:eastAsia="Times New Roman" w:hAnsi="Times New Roman"/>
          <w:sz w:val="20"/>
          <w:szCs w:val="20"/>
          <w:color w:val="050505"/>
        </w:rPr>
        <w:t>cel, in view of ALLO</w:t>
      </w:r>
      <w:r>
        <w:rPr>
          <w:rFonts w:ascii="Arial" w:cs="Arial" w:eastAsia="Arial" w:hAnsi="Arial"/>
          <w:sz w:val="20"/>
          <w:szCs w:val="20"/>
          <w:b w:val="1"/>
          <w:bCs w:val="1"/>
          <w:color w:val="050505"/>
        </w:rPr>
        <w:t>-</w:t>
      </w:r>
      <w:r>
        <w:rPr>
          <w:rFonts w:ascii="Times New Roman" w:cs="Times New Roman" w:eastAsia="Times New Roman" w:hAnsi="Times New Roman"/>
          <w:sz w:val="20"/>
          <w:szCs w:val="20"/>
          <w:color w:val="050505"/>
        </w:rPr>
        <w:t>501A’s optimized construct and manufacturing process, including removal of the rituximab-activated safety switch and promoter modifications that improved CAR expression, product consistency, and clinical scalability without altering the CAR itself. This termination of our rights with respect to ALLO-501 does not impact our license with respect to cema-cel, and we continue to have no plans to further develop ALLO-501.</w:t>
      </w:r>
    </w:p>
    <w:p>
      <w:pPr>
        <w:spacing w:after="0" w:line="92"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050505"/>
        </w:rPr>
        <w:t>We have been, and continue to be, responsible for the manufacture and clinical development of cema-cel. Cema-cel is manufactured to express a CAR that is designed to target CD19 and gene edited to lack TCRα and CD52 to minimize the risk of GvHD and enable use of anti-CD52 monoclonal antibodies to create a window of CAR T cell persistence in the patient, which is illustrated below.</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12</w:t>
      </w:r>
    </w:p>
    <w:p>
      <w:pPr>
        <w:sectPr>
          <w:pgSz w:w="12240" w:h="15840" w:orient="portrait"/>
          <w:cols w:equalWidth="0" w:num="1">
            <w:col w:w="10240"/>
          </w:cols>
          <w:pgMar w:left="1000" w:top="793" w:right="100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3108960</wp:posOffset>
            </wp:positionH>
            <wp:positionV relativeFrom="page">
              <wp:posOffset>542925</wp:posOffset>
            </wp:positionV>
            <wp:extent cx="1554480" cy="255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54480" cy="255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Lead Target Indication: Non-Hodgkin Lymphoma (NHL)</w:t>
      </w:r>
    </w:p>
    <w:p>
      <w:pPr>
        <w:spacing w:after="0" w:line="139"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050505"/>
        </w:rPr>
        <w:t>NHL is a hematologic cancer originating from lymphocytes. It is the most common hematological malignancy in the United States, with 80,620 new cases estimated to be diagnosed and 20,140 deaths estimated in 2024, according to the American Cancer Society. Over 60 NHL subtypes have been identified, and each subtype represents different neoplastic lymphoid cells (T, B or NK cells) that have arrested at different stages of differentiation. According to the American Cancer Society, B-cell lymphomas make up approximately 85% of NHL cases in the United States.</w:t>
      </w:r>
    </w:p>
    <w:p>
      <w:pPr>
        <w:spacing w:after="0" w:line="87"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20"/>
          <w:szCs w:val="20"/>
          <w:color w:val="050505"/>
        </w:rPr>
        <w:t>B-cell NHL itself represents a group of different neoplasms that not only differ in pathology, but also response to therapy and prognosis. NHL can be rapidly growing (aggressive), such as LBCLs, or it can be slow growing, or indolent, such as follicular lymphoma (FL).</w:t>
      </w:r>
    </w:p>
    <w:p>
      <w:pPr>
        <w:spacing w:after="0" w:line="75"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The R-CHOP chemotherapy combination (rituximab, cyclophosphamide, doxorubicin, vincristine, and prednisone), introduced in the early 2000s, remains the standard of care for newly diagnosed LBCL and can yield five-year survival rates of approximately 55-60%. Unfortunately, the remaining LBCL patients relapse or have treatment-refractory disease and require additional therapy. Historically, treatment options have included salvage chemotherapy followed by high-dose therapy and autologous stem-cell transplantation in eligible patients, as well as autologous anti-CD19 CAR T therapy. A retrospective analysis of patients with R/R LBCL, who were not treated with autologous CAR T therapy reported an objective response rate of 26% (complete response (CR): 7%, partial response: 18%) and median overall survival of 6.3 months. In recent years, additional therapies have been approved for patients with relapsed or refractory disease, including antibody-drug conjugates such as polatuzumab vedotin and loncastuximab tesirine, the CD19-directed antibody tafasitamab in combination with lenalidomide, and CD20-directed bispecific antibodies such as epcoritamab and glofitamab. Despite these advances, outcomes for many patients with relapsed or refractory LBCL remain poor.</w:t>
      </w:r>
    </w:p>
    <w:p>
      <w:pPr>
        <w:spacing w:after="0" w:line="89"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050505"/>
        </w:rPr>
        <w:t>Autologous CAR T therapy has made significant advances in addressing R/R NHL, and has moved to earlier lines of therapy, as further described below under — "Competition".</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Results from the Phase 1 ALLO-501 ALPHA Trial and the Phase 1 cema-cel ALPHA2 Trial</w:t>
      </w:r>
    </w:p>
    <w:p>
      <w:pPr>
        <w:spacing w:after="0" w:line="13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On February 13, 2025, we announced long-term follow up data from the Phase 1 ALPHA trial of ALLO-501 and from the Phase 1 ALPHA2 trial of cema-cel in R/R LBCL which was published in the Journal of Clinical Oncology. The ALPHA/ ALPHA2 studies were single-arm, multicenter, open-label, Phase 1 trials. As of the data cutoff date (September 26, 2024), 33 CD19 CAR T-naive patients with R/R LBCL were treated in ALPHA/ALPHA2 with cema-cel/ALLO-501 manufactured with the process selected for use in pivotal studies.</w:t>
      </w:r>
    </w:p>
    <w:p>
      <w:pPr>
        <w:spacing w:after="0" w:line="84"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The overall Response Rate (ORR) and Complete Response (CR) rate in the ALPHA/ALPHA2 trials were comparable with those observed in patients with R/R LBCL after two or more lines of systemic therapy who received treatment with approved autologous CD19 CAR T cell products. All treatment regimens studied demonstrated clinical benefit. The selected Phase 2 regimen (fludarabine/cyclophosphamide lymphodepletion with 90 mg of ALLO-647 (FCA90) followed by a single dose of CAR+ cells) yielded the highest ORR and CR of 67% and 58%, respectively. Five of 12 patients in this group achieved CR that lasted at least 6 months.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793750</wp:posOffset>
                </wp:positionH>
                <wp:positionV relativeFrom="paragraph">
                  <wp:posOffset>88265</wp:posOffset>
                </wp:positionV>
                <wp:extent cx="0" cy="26987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0">
                          <a:solidFill>
                            <a:srgbClr val="050505"/>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6.95pt" to="62.5pt,28.2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793750</wp:posOffset>
                </wp:positionH>
                <wp:positionV relativeFrom="paragraph">
                  <wp:posOffset>88265</wp:posOffset>
                </wp:positionV>
                <wp:extent cx="0" cy="26987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6.95pt" to="62.5pt,28.2pt" o:allowincell="f" strokecolor="#050505" strokeweight="1pt"/>
            </w:pict>
          </mc:Fallback>
        </mc:AlternateContent>
        <mc:AlternateContent>
          <mc:Choice Requires="wps">
            <w:drawing>
              <wp:anchor simplePos="0" relativeHeight="251657728" behindDoc="1" locked="0" layoutInCell="0" allowOverlap="1">
                <wp:simplePos x="0" y="0"/>
                <wp:positionH relativeFrom="column">
                  <wp:posOffset>2784475</wp:posOffset>
                </wp:positionH>
                <wp:positionV relativeFrom="paragraph">
                  <wp:posOffset>88265</wp:posOffset>
                </wp:positionV>
                <wp:extent cx="0" cy="26987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0">
                          <a:solidFill>
                            <a:srgbClr val="050505"/>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25pt,6.95pt" to="219.25pt,28.2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2784475</wp:posOffset>
                </wp:positionH>
                <wp:positionV relativeFrom="paragraph">
                  <wp:posOffset>88265</wp:posOffset>
                </wp:positionV>
                <wp:extent cx="0" cy="26987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25pt,6.95pt" to="219.25pt,28.2pt" o:allowincell="f" strokecolor="#050505" strokeweight="1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88265</wp:posOffset>
                </wp:positionV>
                <wp:extent cx="0" cy="26987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0">
                          <a:solidFill>
                            <a:srgbClr val="050505"/>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6.95pt" to="426.25pt,28.2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88265</wp:posOffset>
                </wp:positionV>
                <wp:extent cx="0" cy="26987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9875"/>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6.95pt" to="426.25pt,28.2pt" o:allowincell="f" strokecolor="#050505" strokeweight="1pt"/>
            </w:pict>
          </mc:Fallback>
        </mc:AlternateContent>
        <mc:AlternateContent>
          <mc:Choice Requires="wps">
            <w:drawing>
              <wp:anchor simplePos="0" relativeHeight="251657728" behindDoc="1" locked="0" layoutInCell="0" allowOverlap="1">
                <wp:simplePos x="0" y="0"/>
                <wp:positionH relativeFrom="column">
                  <wp:posOffset>787400</wp:posOffset>
                </wp:positionH>
                <wp:positionV relativeFrom="paragraph">
                  <wp:posOffset>94615</wp:posOffset>
                </wp:positionV>
                <wp:extent cx="46323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2325"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7.45pt" to="426.75pt,7.45pt" o:allowincell="f" strokecolor="#050505" strokeweight="1pt"/>
            </w:pict>
          </mc:Fallback>
        </mc:AlternateContent>
      </w:r>
    </w:p>
    <w:p>
      <w:pPr>
        <w:spacing w:after="0" w:line="1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050505"/>
        </w:rPr>
        <w:t>Patients Treated with Phase 2 Regimen (n=12)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106680</wp:posOffset>
                </wp:positionV>
                <wp:extent cx="46323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2325"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8.4pt" to="426.75pt,8.4pt" o:allowincell="f" strokecolor="#050505" strokeweight="1pt"/>
            </w:pict>
          </mc:Fallback>
        </mc:AlternateContent>
      </w:r>
    </w:p>
    <w:p>
      <w:pPr>
        <w:sectPr>
          <w:pgSz w:w="12240" w:h="15840" w:orient="portrait"/>
          <w:cols w:equalWidth="0" w:num="1">
            <w:col w:w="10200"/>
          </w:cols>
          <w:pgMar w:left="1000" w:top="1440"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13</w:t>
      </w:r>
    </w:p>
    <w:p>
      <w:pPr>
        <w:sectPr>
          <w:pgSz w:w="12240" w:h="15840" w:orient="portrait"/>
          <w:cols w:equalWidth="0" w:num="1">
            <w:col w:w="10200"/>
          </w:cols>
          <w:pgMar w:left="1000" w:top="1440" w:right="1040" w:bottom="0" w:gutter="0" w:footer="0" w:header="0"/>
          <w:type w:val="continuous"/>
        </w:sectPr>
      </w:pPr>
    </w:p>
    <w:bookmarkStart w:id="17" w:name="page18"/>
    <w:bookmarkEnd w:id="17"/>
    <w:tbl>
      <w:tblPr>
        <w:tblLayout w:type="fixed"/>
        <w:tblInd w:w="1250" w:type="dxa"/>
        <w:tblCellMar>
          <w:top w:w="0" w:type="dxa"/>
          <w:left w:w="0" w:type="dxa"/>
          <w:bottom w:w="0" w:type="dxa"/>
          <w:right w:w="0" w:type="dxa"/>
        </w:tblCellMar>
      </w:tblPr>
      <w:tr>
        <w:trPr>
          <w:trHeight w:val="300"/>
        </w:trPr>
        <w:tc>
          <w:tcPr>
            <w:tcW w:w="3160" w:type="dxa"/>
            <w:vAlign w:val="bottom"/>
            <w:tcBorders>
              <w:top w:val="single" w:sz="8" w:color="050505"/>
              <w:left w:val="single" w:sz="8" w:color="050505"/>
              <w:bottom w:val="single" w:sz="8" w:color="050505"/>
              <w:right w:val="single" w:sz="8" w:color="050505"/>
            </w:tcBorders>
          </w:tcPr>
          <w:p>
            <w:pPr>
              <w:ind w:left="60"/>
              <w:spacing w:after="0"/>
              <w:rPr>
                <w:sz w:val="20"/>
                <w:szCs w:val="20"/>
                <w:color w:val="auto"/>
              </w:rPr>
            </w:pPr>
            <w:r>
              <w:rPr>
                <w:rFonts w:ascii="Times New Roman" w:cs="Times New Roman" w:eastAsia="Times New Roman" w:hAnsi="Times New Roman"/>
                <w:sz w:val="20"/>
                <w:szCs w:val="20"/>
                <w:color w:val="050505"/>
              </w:rPr>
              <w:t>Overall Response Rate (ORR), n (%)</w:t>
            </w:r>
          </w:p>
        </w:tc>
        <w:tc>
          <w:tcPr>
            <w:tcW w:w="4140" w:type="dxa"/>
            <w:vAlign w:val="bottom"/>
            <w:tcBorders>
              <w:top w:val="single" w:sz="8" w:color="050505"/>
              <w:bottom w:val="single" w:sz="8" w:color="050505"/>
              <w:right w:val="single" w:sz="8" w:color="050505"/>
            </w:tcBorders>
          </w:tcPr>
          <w:p>
            <w:pPr>
              <w:jc w:val="right"/>
              <w:ind w:right="1740"/>
              <w:spacing w:after="0"/>
              <w:rPr>
                <w:sz w:val="20"/>
                <w:szCs w:val="20"/>
                <w:color w:val="auto"/>
              </w:rPr>
            </w:pPr>
            <w:r>
              <w:rPr>
                <w:rFonts w:ascii="Times New Roman" w:cs="Times New Roman" w:eastAsia="Times New Roman" w:hAnsi="Times New Roman"/>
                <w:sz w:val="20"/>
                <w:szCs w:val="20"/>
                <w:b w:val="1"/>
                <w:bCs w:val="1"/>
                <w:color w:val="050505"/>
              </w:rPr>
              <w:t>8 (67)</w:t>
            </w:r>
          </w:p>
        </w:tc>
      </w:tr>
      <w:tr>
        <w:trPr>
          <w:trHeight w:val="280"/>
        </w:trPr>
        <w:tc>
          <w:tcPr>
            <w:tcW w:w="3160" w:type="dxa"/>
            <w:vAlign w:val="bottom"/>
            <w:tcBorders>
              <w:left w:val="single" w:sz="8" w:color="050505"/>
              <w:bottom w:val="single" w:sz="8" w:color="050505"/>
              <w:right w:val="single" w:sz="8" w:color="050505"/>
            </w:tcBorders>
          </w:tcPr>
          <w:p>
            <w:pPr>
              <w:ind w:left="60"/>
              <w:spacing w:after="0"/>
              <w:rPr>
                <w:sz w:val="20"/>
                <w:szCs w:val="20"/>
                <w:color w:val="auto"/>
              </w:rPr>
            </w:pPr>
            <w:r>
              <w:rPr>
                <w:rFonts w:ascii="Times New Roman" w:cs="Times New Roman" w:eastAsia="Times New Roman" w:hAnsi="Times New Roman"/>
                <w:sz w:val="20"/>
                <w:szCs w:val="20"/>
                <w:color w:val="050505"/>
              </w:rPr>
              <w:t>Complete Response (CR), n (%)</w:t>
            </w:r>
          </w:p>
        </w:tc>
        <w:tc>
          <w:tcPr>
            <w:tcW w:w="4140" w:type="dxa"/>
            <w:vAlign w:val="bottom"/>
            <w:tcBorders>
              <w:bottom w:val="single" w:sz="8" w:color="050505"/>
              <w:right w:val="single" w:sz="8" w:color="050505"/>
            </w:tcBorders>
          </w:tcPr>
          <w:p>
            <w:pPr>
              <w:jc w:val="right"/>
              <w:ind w:right="1740"/>
              <w:spacing w:after="0"/>
              <w:rPr>
                <w:sz w:val="20"/>
                <w:szCs w:val="20"/>
                <w:color w:val="auto"/>
              </w:rPr>
            </w:pPr>
            <w:r>
              <w:rPr>
                <w:rFonts w:ascii="Times New Roman" w:cs="Times New Roman" w:eastAsia="Times New Roman" w:hAnsi="Times New Roman"/>
                <w:sz w:val="20"/>
                <w:szCs w:val="20"/>
                <w:b w:val="1"/>
                <w:bCs w:val="1"/>
                <w:color w:val="050505"/>
              </w:rPr>
              <w:t>7 (58)</w:t>
            </w:r>
          </w:p>
        </w:tc>
      </w:tr>
      <w:tr>
        <w:trPr>
          <w:trHeight w:val="280"/>
        </w:trPr>
        <w:tc>
          <w:tcPr>
            <w:tcW w:w="3160" w:type="dxa"/>
            <w:vAlign w:val="bottom"/>
            <w:tcBorders>
              <w:left w:val="single" w:sz="8" w:color="050505"/>
              <w:bottom w:val="single" w:sz="8" w:color="050505"/>
              <w:right w:val="single" w:sz="8" w:color="050505"/>
            </w:tcBorders>
          </w:tcPr>
          <w:p>
            <w:pPr>
              <w:ind w:left="60"/>
              <w:spacing w:after="0"/>
              <w:rPr>
                <w:sz w:val="20"/>
                <w:szCs w:val="20"/>
                <w:color w:val="auto"/>
              </w:rPr>
            </w:pPr>
            <w:r>
              <w:rPr>
                <w:rFonts w:ascii="Times New Roman" w:cs="Times New Roman" w:eastAsia="Times New Roman" w:hAnsi="Times New Roman"/>
                <w:sz w:val="20"/>
                <w:szCs w:val="20"/>
                <w:color w:val="050505"/>
              </w:rPr>
              <w:t>6 Month CR Rate, n (%)</w:t>
            </w:r>
          </w:p>
        </w:tc>
        <w:tc>
          <w:tcPr>
            <w:tcW w:w="4140" w:type="dxa"/>
            <w:vAlign w:val="bottom"/>
            <w:tcBorders>
              <w:bottom w:val="single" w:sz="8" w:color="050505"/>
              <w:right w:val="single" w:sz="8" w:color="050505"/>
            </w:tcBorders>
          </w:tcPr>
          <w:p>
            <w:pPr>
              <w:jc w:val="right"/>
              <w:ind w:right="1740"/>
              <w:spacing w:after="0"/>
              <w:rPr>
                <w:sz w:val="20"/>
                <w:szCs w:val="20"/>
                <w:color w:val="auto"/>
              </w:rPr>
            </w:pPr>
            <w:r>
              <w:rPr>
                <w:rFonts w:ascii="Times New Roman" w:cs="Times New Roman" w:eastAsia="Times New Roman" w:hAnsi="Times New Roman"/>
                <w:sz w:val="20"/>
                <w:szCs w:val="20"/>
                <w:b w:val="1"/>
                <w:bCs w:val="1"/>
                <w:color w:val="050505"/>
              </w:rPr>
              <w:t>5 (42)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793750</wp:posOffset>
                </wp:positionH>
                <wp:positionV relativeFrom="paragraph">
                  <wp:posOffset>-577850</wp:posOffset>
                </wp:positionV>
                <wp:extent cx="0" cy="57150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0"/>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45.4999pt" to="6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2784475</wp:posOffset>
                </wp:positionH>
                <wp:positionV relativeFrom="paragraph">
                  <wp:posOffset>-577850</wp:posOffset>
                </wp:positionV>
                <wp:extent cx="0" cy="5715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0"/>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25pt,-45.4999pt" to="219.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-577850</wp:posOffset>
                </wp:positionV>
                <wp:extent cx="0" cy="5715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0"/>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45.4999pt" to="426.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793750</wp:posOffset>
                </wp:positionH>
                <wp:positionV relativeFrom="paragraph">
                  <wp:posOffset>-577850</wp:posOffset>
                </wp:positionV>
                <wp:extent cx="46196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45.4999pt" to="426.25pt,-4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793750</wp:posOffset>
                </wp:positionH>
                <wp:positionV relativeFrom="paragraph">
                  <wp:posOffset>-387350</wp:posOffset>
                </wp:positionV>
                <wp:extent cx="46196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30.4999pt" to="426.25pt,-3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793750</wp:posOffset>
                </wp:positionH>
                <wp:positionV relativeFrom="paragraph">
                  <wp:posOffset>-196850</wp:posOffset>
                </wp:positionV>
                <wp:extent cx="46196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15.4999pt" to="426.25pt,-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793750</wp:posOffset>
                </wp:positionH>
                <wp:positionV relativeFrom="paragraph">
                  <wp:posOffset>-6350</wp:posOffset>
                </wp:positionV>
                <wp:extent cx="46196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19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pt,-0.4999pt" to="426.25pt,-0.4999pt" o:allowincell="f" strokecolor="#000000" strokeweight="0pt"/>
            </w:pict>
          </mc:Fallback>
        </mc:AlternateConten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Patients who achieved a CR had excellent outcomes with a median DOR, PFS (progression free survival) and OS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23.1 months, 24 months, and not reached, respectively. For patients receiving the selected Phase 2 regimen, median DOR was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23.1 months and median OS was not reached.</w:t>
      </w:r>
    </w:p>
    <w:p>
      <w:pPr>
        <w:spacing w:after="0" w:line="110" w:lineRule="exact"/>
        <w:rPr>
          <w:sz w:val="20"/>
          <w:szCs w:val="20"/>
          <w:color w:val="auto"/>
        </w:rPr>
      </w:pPr>
    </w:p>
    <w:p>
      <w:pPr>
        <w:ind w:right="180" w:firstLine="720"/>
        <w:spacing w:after="0" w:line="255" w:lineRule="auto"/>
        <w:rPr>
          <w:sz w:val="20"/>
          <w:szCs w:val="20"/>
          <w:color w:val="auto"/>
        </w:rPr>
      </w:pPr>
      <w:r>
        <w:rPr>
          <w:rFonts w:ascii="Times New Roman" w:cs="Times New Roman" w:eastAsia="Times New Roman" w:hAnsi="Times New Roman"/>
          <w:sz w:val="20"/>
          <w:szCs w:val="20"/>
          <w:color w:val="050505"/>
        </w:rPr>
        <w:t>The safety profile, including incidence of cytopenias and infections, was manageable and consistent with that of approved autologous CD19 CAR T cell therapies. There were no dose-limiting toxicities, graft-versus-host disease (GvHD), immune effector cell-associated neurotoxicity syndrome (ICANS), or high-grade cytokine release syndrome (CRS). The most common any-grade treatment emergent adverse events (TEAE) (≥25%) were neutropenia (85%), anemia (67%), thrombocytopenia (58%), infusion-related reactions (IRRs; 58%), fatigue (52%), and pyrexia (49%), nausea (39%), lymphopenia (36%), hypotension (36%), peripheral edema (33%), decreased white blood cell count (30%), CMV reactivation (30%), decreased appetite (30%), chills (30%), and hypoxia (27%).</w:t>
      </w:r>
    </w:p>
    <w:p>
      <w:pPr>
        <w:spacing w:after="0" w:line="90" w:lineRule="exact"/>
        <w:rPr>
          <w:sz w:val="20"/>
          <w:szCs w:val="20"/>
          <w:color w:val="auto"/>
        </w:rPr>
      </w:pPr>
    </w:p>
    <w:p>
      <w:pPr>
        <w:ind w:right="200" w:firstLine="720"/>
        <w:spacing w:after="0" w:line="309" w:lineRule="auto"/>
        <w:rPr>
          <w:sz w:val="20"/>
          <w:szCs w:val="20"/>
          <w:color w:val="auto"/>
        </w:rPr>
      </w:pPr>
      <w:r>
        <w:rPr>
          <w:rFonts w:ascii="Times New Roman" w:cs="Times New Roman" w:eastAsia="Times New Roman" w:hAnsi="Times New Roman"/>
          <w:sz w:val="19"/>
          <w:szCs w:val="19"/>
          <w:color w:val="050505"/>
        </w:rPr>
        <w:t>The median time to start of treatment was two days from study enrollment. In contrast, autologous CAR T cell products require wait times often longer than 1 month despite incremental advancements in manufacturing and supply chains.</w:t>
      </w:r>
    </w:p>
    <w:p>
      <w:pPr>
        <w:spacing w:after="0" w:line="3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050505"/>
        </w:rPr>
        <w:t>A growing body of evidence indicates that treatment with CAR T at times when the disease burden is low leads to improved safety and efficacy outcomes and this study reported similar findings. Among patients with baseline tumor burden &lt;1000 mm² or normal serum lactate dehydrogenase (LDH), a blood test that indicates disease activity, the CR rate was 100% (6/6) and 82% (9/11), respectively. These CR rates in this subpopulation support cema-cel as a promising therapeutic option in patients with minimum residual disease (MRD), the population currently being studied in the ALPHA3 trial.</w:t>
      </w:r>
    </w:p>
    <w:p>
      <w:pPr>
        <w:spacing w:after="0" w:line="84"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These results serve as the foundation for the ongoing ALPHA3 trial, which is evaluating cema-cel as a consolidation therapy in LBCL patients who are in remission following 1L treatment but remain positive for MRD as detected by an ultrasensitive ctDNA based blood test, Foresight Diagnostics’ investigational CLARITY™ , powered by PhasED-Seq™. These patients have extremely low disease burden, a key subgroup who demonstrated excellent disease outcomes in the ALPHA/ ALPHA2 trials.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Clinical Development Plan - Non-Hodgkin Lymphoma (NHL)</w:t>
      </w:r>
    </w:p>
    <w:p>
      <w:pPr>
        <w:spacing w:after="0" w:line="139" w:lineRule="exact"/>
        <w:rPr>
          <w:sz w:val="20"/>
          <w:szCs w:val="20"/>
          <w:color w:val="auto"/>
        </w:rPr>
      </w:pPr>
    </w:p>
    <w:p>
      <w:pPr>
        <w:ind w:firstLine="720"/>
        <w:spacing w:after="0" w:line="262" w:lineRule="auto"/>
        <w:rPr>
          <w:sz w:val="20"/>
          <w:szCs w:val="20"/>
          <w:color w:val="auto"/>
        </w:rPr>
      </w:pPr>
      <w:r>
        <w:rPr>
          <w:rFonts w:ascii="Times New Roman" w:cs="Times New Roman" w:eastAsia="Times New Roman" w:hAnsi="Times New Roman"/>
          <w:sz w:val="20"/>
          <w:szCs w:val="20"/>
          <w:color w:val="050505"/>
        </w:rPr>
        <w:t>We are the sponsor of the ALPHA trial of ALLO-501 and ALPHA2 trial of cema-cel, each for patients with R/R NHL or CLL. The ALPHA trial is a Phase 1 clinical trial of ALLO-501 in patients with R/R LBCL and R/R FL. We completed accrual in the ALPHA trial in 2021 and are following patients as part of long-term follow-up. The ALPHA2 trial was initiated as a Phase 1/2 clinical trial for cema-cel in the second quarter of 2020. The Phase 1 portion of the ALPHA2 trial was designed to assess the safety and tolerability at increasing dose levels of cema-cel in patients with R/R LBCL. In the fourth quarter of 2022, we proceeded to the Phase 2 portion of the ALPHA2 trial in adult patients with R/R LBCL. We are the sponsor of the EXPAND trial of ALLO-647, which was intended to demonstrate the overall contribution of ALLO-647 to the risk-benefit ratio of the lymphodepletion regimen for cema-cel.</w:t>
      </w:r>
    </w:p>
    <w:p>
      <w:pPr>
        <w:spacing w:after="0" w:line="8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In January 2024 we announced that we would deprioritize the ALPHA2 R/R LBCL and EXPAND trials to focus on our ALPHA3 trial, which seeks to embed cema-cel as part of a 1L consolidation strategy. We have deprioritized the ALPHA2 R/R LBCL trial primarily because the ALPHA3 trial, if successful, could significantly impact the need for cell therapy in later lines of treatment, including the third line (3L) patients being studied in our ALPHA2 trial. The ALPHA3 trial is an open-label, Phase 2, multicenter clinical trial evaluating the safety and efficacy of cema-cel in adult patients with LBCL who have completed R-CHOP for other standard regimen and have attained a remission, but who test positive for MRD. The ALPHA3 trial will randomize approximately 220 patients who achieve a complete or partial response to 1L therapy, but who test positive for MRD at their end-of-therapy PET/CT assessment. The patients will be randomized to either treatment with cema-cel or the current standard of care, which is observation. The design, with a primary endpoint of EFS, initially included two lymphodepletion arms (one with standard fludarabine and cyclophosphamide plus ALLO-647 (FCA) and one without ALLO-647 (FC)). Following a Grade 5 treatment-related serious adverse event observed in the FCA arm, in August 2025 we announced the discontinuation of dosing in the FCA arm, and we terminated further development of ALLO-647. Thereafter, the trial design was amended and ALPHA3 is now proceeding with just the FC arm and the control arm (observation).</w:t>
      </w:r>
    </w:p>
    <w:p>
      <w:pPr>
        <w:spacing w:after="0" w:line="88"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The ALPHA3 trial leverages an investigational diagnostic test developed by Foresight Diagnostics to identify patients who have MRD at the completion of 1L chemoimmunotherapy. Although 1L R-CHOP is curative for many with LBCL, as noted above, approximately 30% of patients treated will relapse. Under the current standard of care, there is no way to determine which patients are at greater risk of relapse after initially responding to 1L treatment, and so the standard of care has been simply to “watch and wait” for the disease to relapse. Foresight Diagnostics, however, has developed a liquid biopsy</w:t>
      </w:r>
    </w:p>
    <w:p>
      <w:pPr>
        <w:sectPr>
          <w:pgSz w:w="12240" w:h="15840" w:orient="portrait"/>
          <w:cols w:equalWidth="0" w:num="1">
            <w:col w:w="10240"/>
          </w:cols>
          <w:pgMar w:left="1000" w:top="825" w:right="100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14</w:t>
      </w:r>
    </w:p>
    <w:p>
      <w:pPr>
        <w:sectPr>
          <w:pgSz w:w="12240" w:h="15840" w:orient="portrait"/>
          <w:cols w:equalWidth="0" w:num="1">
            <w:col w:w="10240"/>
          </w:cols>
          <w:pgMar w:left="1000" w:top="825" w:right="1000" w:bottom="0" w:gutter="0" w:footer="0" w:header="0"/>
          <w:type w:val="continuous"/>
        </w:sectPr>
      </w:pPr>
    </w:p>
    <w:bookmarkStart w:id="18" w:name="page19"/>
    <w:bookmarkEnd w:id="18"/>
    <w:p>
      <w:pPr>
        <w:ind w:right="20"/>
        <w:spacing w:after="0" w:line="245" w:lineRule="auto"/>
        <w:rPr>
          <w:sz w:val="20"/>
          <w:szCs w:val="20"/>
          <w:color w:val="auto"/>
        </w:rPr>
      </w:pPr>
      <w:r>
        <w:rPr>
          <w:rFonts w:ascii="Times New Roman" w:cs="Times New Roman" w:eastAsia="Times New Roman" w:hAnsi="Times New Roman"/>
          <w:sz w:val="20"/>
          <w:szCs w:val="20"/>
          <w:color w:val="050505"/>
        </w:rPr>
        <w:t>testing platform for the measurement of MRD. Based on Foresight Diagnostics’ published data, we believe that the Foresight Diagnostics’ assay is highly sensitive and predictive of which patients are likely to relapse. By incorporating the Foresight Diagnostics assay into our ALPHA3 trial design, we believe that we can identify the patient population most at risk for relapse and treat those patients with cema-cel. In February 2025, we entered into an Amended and Restated Strategic Collaboration Agreement with Foresight Diagnostics which expands our collaboration to enable the development of Foresight Diagnostics’ CLARITY</w:t>
      </w:r>
      <w:r>
        <w:rPr>
          <w:rFonts w:ascii="Times New Roman" w:cs="Times New Roman" w:eastAsia="Times New Roman" w:hAnsi="Times New Roman"/>
          <w:sz w:val="26"/>
          <w:szCs w:val="26"/>
          <w:color w:val="050505"/>
          <w:vertAlign w:val="superscript"/>
        </w:rPr>
        <w:t>TM</w:t>
      </w:r>
      <w:r>
        <w:rPr>
          <w:rFonts w:ascii="Times New Roman" w:cs="Times New Roman" w:eastAsia="Times New Roman" w:hAnsi="Times New Roman"/>
          <w:sz w:val="20"/>
          <w:szCs w:val="20"/>
          <w:color w:val="050505"/>
        </w:rPr>
        <w:t xml:space="preserve"> MRD assay as a companion diagnostic in the EU, UK, Canada and Australia in support of Allogene’s clinical development of cema-cel. In December 2025, Foresight Diagnostics was acquired by Natera; however, it continues to operate as a standalone division of Natera and to execute its role in the ALPHA3 trial. To date, the acquisition has not impacted Foresight Diagnostics’ ability to meet its testing commitments or had any negative effect on the execution of the ALPHA3 trial, including enrollment and trial timelines.</w:t>
      </w:r>
    </w:p>
    <w:p>
      <w:pPr>
        <w:spacing w:after="0" w:line="102"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ALPHA3 takes advantage of cema-cel as a one-time, off-the-shelf treatment that can be administered immediately upon discovery of MRD following six cycles of R-CHOP, potentially positioning cema-cel to become the standard “7th cycle” of frontline treatment available to all eligible patients with MRD. ALPHA3 builds on our belief that administration of CAR T therapies to patients with low disease burden improves both safety and efficacy outcomes. Cema-cel’s Phase 1 safety profile, with low rates of CRS and immune effector cell-associated neurotoxicity syndrome (ICANS), already permits its use in the outpatient setting in R/R patients and may further improve in patients with no radiological evidence of disease. The ALPHA3 trial was initiated in 2024 and enrollment is currently ongoing with over 60 sites activated in the United States and Canada. We expect to activate additional sites in Australia and South Korea in mid-2026. We have met with European Union (EU) regulatory authorities and have received scientific advice to assist us with finalizing our regulatory strategy for opening the trial in the EU, and operational feasibility assessments for the EU remain ongoing.</w:t>
      </w:r>
    </w:p>
    <w:p>
      <w:pPr>
        <w:spacing w:after="0" w:line="96"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An interim futility analysis is expected to occur in April 2026 which will compare MRD clearance rates between cema-cel after standard fludarabine and cyclophosphamide (FC) lymphodepletion versus observation (12 patients in each arm). The update will also include a summary of safety outcomes and additional information about screening and treatment patterns across the trial site footprint. Clearance of MRD in 25–30% more patients assigned to the cema-cel arm compared to those in the observation arm may indicate a proof of concept that early treatment of MRD+ disease could meaningfully improve long term outcomes.</w:t>
      </w:r>
    </w:p>
    <w:p>
      <w:pPr>
        <w:spacing w:after="0" w:line="88"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050505"/>
        </w:rPr>
        <w:t>We anticipate that enrollment in ALPHA3 will be completed by the end of 2027. Assuming favorable outcomes and subject to FDA discussions, we plan to seek FDA approval of cema-cel based on the ALPHA3 trial. Additionally, assuming favorable outcomes, we anticipate that the ALPHA3 data set could be used to support EU regulatory approval regardless of whether the ALPHA3 trial is expanded into the EU. The EMA has granted Marketing Authorizations for products, even when their clinical development programs did not involve any European sites. These approvals are based on thorough evaluations of the products’ safety, efficacy, and quality. This practice encompasses a wide range of indications and modalities, including those classified as Advanced Therapy Medicinal Products by the EMA.</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Anti-CD70 Oncology Development Program</w:t>
      </w:r>
    </w:p>
    <w:p>
      <w:pPr>
        <w:spacing w:after="0" w:line="139" w:lineRule="exact"/>
        <w:rPr>
          <w:sz w:val="20"/>
          <w:szCs w:val="20"/>
          <w:color w:val="auto"/>
        </w:rPr>
      </w:pPr>
    </w:p>
    <w:p>
      <w:pPr>
        <w:ind w:right="100" w:firstLine="720"/>
        <w:spacing w:after="0" w:line="270" w:lineRule="auto"/>
        <w:rPr>
          <w:sz w:val="20"/>
          <w:szCs w:val="20"/>
          <w:color w:val="auto"/>
        </w:rPr>
      </w:pPr>
      <w:r>
        <w:rPr>
          <w:rFonts w:ascii="Times New Roman" w:cs="Times New Roman" w:eastAsia="Times New Roman" w:hAnsi="Times New Roman"/>
          <w:sz w:val="20"/>
          <w:szCs w:val="20"/>
          <w:color w:val="050505"/>
        </w:rPr>
        <w:t>CD70 is an antigen expressed on several types of cancer cells, with strong expression in RCC and limited off-tumor expression. CD70 is selectively expressed in a portion of other solid tumors and blood cancers. While CD70 can be expressed on activated T cells, ALLO-316 was associated with minimal or no fratricide in preclinical studies, meaning that ALLO-316 cells did not mediate the targeted killing of other ALLO-316 cells. Accordingly, we believe progressing allogeneic CAR T cell products directed against CD70 could be promising in solid tumor indications as well as hematological malignancies.</w:t>
      </w:r>
    </w:p>
    <w:p>
      <w:pPr>
        <w:spacing w:after="0" w:line="7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ALLO-316 is manufactured to express a CAR that is designed to target CD70 and gene edited to lack expression of the TCR to minimize the risk of GvHD. We also inactivated CD52, which was intended to enable use of CD52 monoclonal antibodies to potentially permit a window of persistence of CAR T cells in the patient. Although the CD52 edit remains in ALLO-316, we have discontinued dosing ALLO-316 in combination with an anti</w:t>
      </w:r>
      <w:r>
        <w:rPr>
          <w:rFonts w:ascii="Arial" w:cs="Arial" w:eastAsia="Arial" w:hAnsi="Arial"/>
          <w:sz w:val="20"/>
          <w:szCs w:val="20"/>
          <w:b w:val="1"/>
          <w:bCs w:val="1"/>
          <w:color w:val="050505"/>
        </w:rPr>
        <w:t>-</w:t>
      </w:r>
      <w:r>
        <w:rPr>
          <w:rFonts w:ascii="Times New Roman" w:cs="Times New Roman" w:eastAsia="Times New Roman" w:hAnsi="Times New Roman"/>
          <w:sz w:val="20"/>
          <w:szCs w:val="20"/>
          <w:color w:val="050505"/>
        </w:rPr>
        <w:t>CD52 monoclonal antibody as we now do not believe it is a necessary component of the lymphodepletion regimen for ALLO-316. In addition, rituximab and CD34 recognition domains have been incorporated in between the scFv and the linker domain, as illustrated below. The rituximab recognition domains allow targeting of cells with rituximab in the event that silencing of CAR T cell activity is desired. The CD34 domain confers recognition by an anti-CD34 antibody, and may be used as a surface marker to monitor ALLO-316 in patients by flow cytometry.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15</w:t>
      </w:r>
    </w:p>
    <w:p>
      <w:pPr>
        <w:sectPr>
          <w:pgSz w:w="12240" w:h="15840" w:orient="portrait"/>
          <w:cols w:equalWidth="0" w:num="1">
            <w:col w:w="10240"/>
          </w:cols>
          <w:pgMar w:left="1000" w:top="793" w:right="100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3108960</wp:posOffset>
            </wp:positionH>
            <wp:positionV relativeFrom="page">
              <wp:posOffset>542925</wp:posOffset>
            </wp:positionV>
            <wp:extent cx="1554480" cy="256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54480" cy="256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720"/>
        <w:spacing w:after="0" w:line="281" w:lineRule="auto"/>
        <w:rPr>
          <w:sz w:val="20"/>
          <w:szCs w:val="20"/>
          <w:color w:val="auto"/>
        </w:rPr>
      </w:pPr>
      <w:r>
        <w:rPr>
          <w:rFonts w:ascii="Times New Roman" w:cs="Times New Roman" w:eastAsia="Times New Roman" w:hAnsi="Times New Roman"/>
          <w:sz w:val="20"/>
          <w:szCs w:val="20"/>
          <w:color w:val="050505"/>
        </w:rPr>
        <w:t>In the first half of 2021, we initiated Phase 1 TRAVERSE clinical trial of ALLO-316 in adult patients with advanced or metastatic ccRCC.</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Lead Target Indication: Clear Cell Renal Cell Carcinoma</w:t>
      </w:r>
    </w:p>
    <w:p>
      <w:pPr>
        <w:spacing w:after="0" w:line="129" w:lineRule="exact"/>
        <w:rPr>
          <w:sz w:val="20"/>
          <w:szCs w:val="20"/>
          <w:color w:val="auto"/>
        </w:rPr>
      </w:pPr>
    </w:p>
    <w:p>
      <w:pPr>
        <w:jc w:val="both"/>
        <w:ind w:right="360" w:firstLine="720"/>
        <w:spacing w:after="0" w:line="266" w:lineRule="auto"/>
        <w:rPr>
          <w:sz w:val="20"/>
          <w:szCs w:val="20"/>
          <w:color w:val="auto"/>
        </w:rPr>
      </w:pPr>
      <w:r>
        <w:rPr>
          <w:rFonts w:ascii="Times New Roman" w:cs="Times New Roman" w:eastAsia="Times New Roman" w:hAnsi="Times New Roman"/>
          <w:sz w:val="20"/>
          <w:szCs w:val="20"/>
          <w:color w:val="050505"/>
        </w:rPr>
        <w:t>ccRCC is the most common subtype of renal cancer. Approximately 81,800 new cases of renal cell carcinoma are estimated to be diagnosed in the United States and 14,890 deaths are estimated in 2023, according to the American Cancer Society. The five-year survival rate for patients with advanced kidney cancer is less than 15%.</w:t>
      </w:r>
    </w:p>
    <w:p>
      <w:pPr>
        <w:spacing w:after="0" w:line="75"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050505"/>
        </w:rPr>
        <w:t>Systemic therapy (including immunotherapy and molecularly targeted agents), surgery, and radiation therapy all may have a role in the treatment paradigm depending on the extent of disease, sites of involvement, and patient-specific factors. While vascular endothelial growth factor (VEGF)-directed therapies (e.g. sunitinib) represented a first-line standard for over a decade, these therapies have been quickly supplanted by combination therapies incorporating PD-1 immune-checkpoint inhibition as the backbone.</w:t>
      </w:r>
    </w:p>
    <w:p>
      <w:pPr>
        <w:spacing w:after="0" w:line="8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050505"/>
        </w:rPr>
        <w:t>The combination of VEGF and immune check-point inhibitors, such as axitinib and pembrolizumab, respectively, is often used in the first line setting and has shown a median progression-free survival of 15.1 months with an ORR of 59.3% and CR rate of 5.8%. Patients who progress on immune checkpoint-based combination therapies can be treated with agents including cabozantinib, lenvatinib with everolimus, tivozanib, belzutifan or other therapies.</w:t>
      </w:r>
    </w:p>
    <w:p>
      <w:pPr>
        <w:spacing w:after="0" w:line="6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In October 2024, we announced that we received Regenerative Medicine Advanced Therapy (RMAT) designation for ALLO-316 for adult patients with advanced or metastatic RCC. The RMAT designation was based on Phase 1 clinical data from the TRAVERSE trial indicating the potential of ALLO-316 to address the unmet need for patients with difficult-to-treat RCC who have failed multiple standard RCC therapies, including an immune checkpoint inhibitor and a VEGF-targeting therapy.</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Results from the Phase 1 ALLO-316 TRAVERSE Trial</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On June 1, 2025, we announced updated data from the Phase 1 TRAVERSE trial of ALLO-316 in patients with advanced or metastatic RCC whose tumors had progressed on or who are intolerant to standard therapies, including an immune checkpoint inhibitor and a VEGF-targeting therapy. The data were presented at the 2025 ASCO Annual Meeting and focused on the Phase 1b expansion cohort evaluating ALLO-316 at DL2 (80 million CAR T cells) following a standard lymphodepletion regimen of fludarabine (30 mg/m2/day) and cyclophosphamide (500 mg/m2/day) for three days. The median time from enrollment to the start of therapy was four days.</w:t>
      </w:r>
    </w:p>
    <w:p>
      <w:pPr>
        <w:spacing w:after="0" w:line="88" w:lineRule="exact"/>
        <w:rPr>
          <w:sz w:val="20"/>
          <w:szCs w:val="20"/>
          <w:color w:val="auto"/>
        </w:rPr>
      </w:pPr>
    </w:p>
    <w:p>
      <w:pPr>
        <w:ind w:right="180" w:firstLine="720"/>
        <w:spacing w:after="0" w:line="260" w:lineRule="auto"/>
        <w:rPr>
          <w:sz w:val="20"/>
          <w:szCs w:val="20"/>
          <w:color w:val="auto"/>
        </w:rPr>
      </w:pPr>
      <w:r>
        <w:rPr>
          <w:rFonts w:ascii="Times New Roman" w:cs="Times New Roman" w:eastAsia="Times New Roman" w:hAnsi="Times New Roman"/>
          <w:sz w:val="20"/>
          <w:szCs w:val="20"/>
          <w:color w:val="050505"/>
        </w:rPr>
        <w:t>In the Phase 1b expansion cohort, 22 patients whose tumors had progressed on multiple prior therapies were treated with lymphodepletion and 20 were treated with ALLO-316. All patients had tumors resistant to immune checkpoint blockers and at least one tyrosine kinase inhibitor (TKI), 82% had ≥2+ prior TKIs, and 41% had prior belzutifan. Sixteen of the ALLO-316 treated patients had a high CD70 Tumor Proportion Score (TPS &gt;50%).</w:t>
      </w:r>
    </w:p>
    <w:p>
      <w:pPr>
        <w:spacing w:after="0" w:line="83" w:lineRule="exact"/>
        <w:rPr>
          <w:sz w:val="20"/>
          <w:szCs w:val="20"/>
          <w:color w:val="auto"/>
        </w:rPr>
      </w:pPr>
    </w:p>
    <w:p>
      <w:pPr>
        <w:ind w:right="240" w:firstLine="720"/>
        <w:spacing w:after="0" w:line="260" w:lineRule="auto"/>
        <w:rPr>
          <w:sz w:val="20"/>
          <w:szCs w:val="20"/>
          <w:color w:val="auto"/>
        </w:rPr>
      </w:pPr>
      <w:r>
        <w:rPr>
          <w:rFonts w:ascii="Times New Roman" w:cs="Times New Roman" w:eastAsia="Times New Roman" w:hAnsi="Times New Roman"/>
          <w:sz w:val="20"/>
          <w:szCs w:val="20"/>
          <w:color w:val="050505"/>
        </w:rPr>
        <w:t>A single dose of ALLO-316 stabilized or reversed disease progression in the majority of patients. In the 16 patients with CD70 TPS ≥50%, the trial demonstrated a Confirmed Overall Response Rate (ORR) of 31%. Of the five confirmed responders, four maintain ongoing responses, with one in sustained remission for over 12 months. The median duration of response (mDOR) has not yet been reached, indicating the potential for long-term disease control.</w:t>
      </w:r>
    </w:p>
    <w:p>
      <w:pPr>
        <w:sectPr>
          <w:pgSz w:w="12240" w:h="15840" w:orient="portrait"/>
          <w:cols w:equalWidth="0" w:num="1">
            <w:col w:w="10160"/>
          </w:cols>
          <w:pgMar w:left="1000" w:top="1440" w:right="10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050505"/>
        </w:rPr>
        <w:t>16</w:t>
      </w:r>
    </w:p>
    <w:p>
      <w:pPr>
        <w:sectPr>
          <w:pgSz w:w="12240" w:h="15840" w:orient="portrait"/>
          <w:cols w:equalWidth="0" w:num="1">
            <w:col w:w="10160"/>
          </w:cols>
          <w:pgMar w:left="1000" w:top="1440" w:right="1080" w:bottom="0" w:gutter="0" w:footer="0" w:header="0"/>
          <w:type w:val="continuous"/>
        </w:sectPr>
      </w:pPr>
    </w:p>
    <w:bookmarkStart w:id="20" w:name="page21"/>
    <w:bookmarkEnd w:id="20"/>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The updated results continue to demonstrate the potential of an allogeneic CAR T product candidate to treat CD70-expressing RCC and highlight the impact of our proprietary Dagger® technology in enabling robust CAR T-cell expansion and persistence in solid tumors.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050505"/>
        </w:rPr>
        <w:t>Response Rates by CD70 Status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441325</wp:posOffset>
                </wp:positionH>
                <wp:positionV relativeFrom="paragraph">
                  <wp:posOffset>43180</wp:posOffset>
                </wp:positionV>
                <wp:extent cx="0" cy="72707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7075"/>
                        </a:xfrm>
                        <a:prstGeom prst="line">
                          <a:avLst/>
                        </a:prstGeom>
                        <a:solidFill>
                          <a:srgbClr val="FFFFFF"/>
                        </a:solidFill>
                        <a:ln w="0">
                          <a:solidFill>
                            <a:srgbClr val="050505"/>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5pt,3.4pt" to="34.75pt,60.65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3765550</wp:posOffset>
                </wp:positionH>
                <wp:positionV relativeFrom="paragraph">
                  <wp:posOffset>43180</wp:posOffset>
                </wp:positionV>
                <wp:extent cx="0" cy="72707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7075"/>
                        </a:xfrm>
                        <a:prstGeom prst="line">
                          <a:avLst/>
                        </a:prstGeom>
                        <a:solidFill>
                          <a:srgbClr val="FFFFFF"/>
                        </a:solidFill>
                        <a:ln w="0">
                          <a:solidFill>
                            <a:srgbClr val="050505"/>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pt,3.4pt" to="296.5pt,60.65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6061075</wp:posOffset>
                </wp:positionH>
                <wp:positionV relativeFrom="paragraph">
                  <wp:posOffset>43180</wp:posOffset>
                </wp:positionV>
                <wp:extent cx="0" cy="72707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7075"/>
                        </a:xfrm>
                        <a:prstGeom prst="line">
                          <a:avLst/>
                        </a:prstGeom>
                        <a:solidFill>
                          <a:srgbClr val="FFFFFF"/>
                        </a:solidFill>
                        <a:ln w="0">
                          <a:solidFill>
                            <a:srgbClr val="050505"/>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25pt,3.4pt" to="477.25pt,60.65pt" o:allowincell="f" strokecolor="#050505" strokeweight="0pt"/>
            </w:pict>
          </mc:Fallback>
        </mc:AlternateContent>
      </w:r>
    </w:p>
    <w:p>
      <w:pPr>
        <w:spacing w:after="0" w:line="29" w:lineRule="exact"/>
        <w:rPr>
          <w:sz w:val="20"/>
          <w:szCs w:val="20"/>
          <w:color w:val="auto"/>
        </w:rPr>
      </w:pPr>
    </w:p>
    <w:tbl>
      <w:tblPr>
        <w:tblLayout w:type="fixed"/>
        <w:tblInd w:w="690" w:type="dxa"/>
        <w:tblCellMar>
          <w:top w:w="0" w:type="dxa"/>
          <w:left w:w="0" w:type="dxa"/>
          <w:bottom w:w="0" w:type="dxa"/>
          <w:right w:w="0" w:type="dxa"/>
        </w:tblCellMar>
      </w:tblPr>
      <w:tr>
        <w:trPr>
          <w:trHeight w:val="300"/>
        </w:trPr>
        <w:tc>
          <w:tcPr>
            <w:tcW w:w="5260" w:type="dxa"/>
            <w:vAlign w:val="bottom"/>
            <w:tcBorders>
              <w:top w:val="single" w:sz="8" w:color="050505"/>
              <w:left w:val="single" w:sz="8" w:color="050505"/>
              <w:bottom w:val="single" w:sz="8" w:color="050505"/>
              <w:right w:val="single" w:sz="8" w:color="050505"/>
            </w:tcBorders>
          </w:tcPr>
          <w:p>
            <w:pPr>
              <w:ind w:left="1280"/>
              <w:spacing w:after="0"/>
              <w:rPr>
                <w:sz w:val="20"/>
                <w:szCs w:val="20"/>
                <w:color w:val="auto"/>
              </w:rPr>
            </w:pPr>
            <w:r>
              <w:rPr>
                <w:rFonts w:ascii="Times New Roman" w:cs="Times New Roman" w:eastAsia="Times New Roman" w:hAnsi="Times New Roman"/>
                <w:sz w:val="20"/>
                <w:szCs w:val="20"/>
                <w:b w:val="1"/>
                <w:bCs w:val="1"/>
                <w:color w:val="050505"/>
              </w:rPr>
              <w:t>Response Rates by CD70 Status</w:t>
            </w:r>
          </w:p>
        </w:tc>
        <w:tc>
          <w:tcPr>
            <w:tcW w:w="3620" w:type="dxa"/>
            <w:vAlign w:val="bottom"/>
            <w:tcBorders>
              <w:top w:val="single" w:sz="8" w:color="050505"/>
              <w:bottom w:val="single" w:sz="8" w:color="050505"/>
              <w:right w:val="single" w:sz="8" w:color="050505"/>
            </w:tcBorders>
            <w:gridSpan w:val="2"/>
          </w:tcPr>
          <w:p>
            <w:pPr>
              <w:ind w:left="780"/>
              <w:spacing w:after="0"/>
              <w:rPr>
                <w:sz w:val="20"/>
                <w:szCs w:val="20"/>
                <w:color w:val="auto"/>
              </w:rPr>
            </w:pPr>
            <w:r>
              <w:rPr>
                <w:rFonts w:ascii="Times New Roman" w:cs="Times New Roman" w:eastAsia="Times New Roman" w:hAnsi="Times New Roman"/>
                <w:sz w:val="20"/>
                <w:szCs w:val="20"/>
                <w:color w:val="050505"/>
              </w:rPr>
              <w:t>CD70+ patients Phase 1b</w:t>
            </w:r>
          </w:p>
        </w:tc>
      </w:tr>
      <w:tr>
        <w:trPr>
          <w:trHeight w:val="227"/>
        </w:trPr>
        <w:tc>
          <w:tcPr>
            <w:tcW w:w="5260" w:type="dxa"/>
            <w:vAlign w:val="bottom"/>
            <w:tcBorders>
              <w:left w:val="single" w:sz="8" w:color="050505"/>
              <w:right w:val="single" w:sz="8" w:color="050505"/>
            </w:tcBorders>
          </w:tcPr>
          <w:p>
            <w:pPr>
              <w:ind w:left="60"/>
              <w:spacing w:after="0" w:line="228" w:lineRule="exact"/>
              <w:rPr>
                <w:sz w:val="20"/>
                <w:szCs w:val="20"/>
                <w:color w:val="auto"/>
              </w:rPr>
            </w:pPr>
            <w:r>
              <w:rPr>
                <w:rFonts w:ascii="Times New Roman" w:cs="Times New Roman" w:eastAsia="Times New Roman" w:hAnsi="Times New Roman"/>
                <w:sz w:val="20"/>
                <w:szCs w:val="20"/>
                <w:color w:val="050505"/>
              </w:rPr>
              <w:t>ORR (confirmed CR or PR per RECIST v1.1), n/N (%)</w:t>
            </w:r>
          </w:p>
        </w:tc>
        <w:tc>
          <w:tcPr>
            <w:tcW w:w="17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050505"/>
              </w:rPr>
              <w:t>5/20</w:t>
            </w:r>
          </w:p>
        </w:tc>
        <w:tc>
          <w:tcPr>
            <w:tcW w:w="1900" w:type="dxa"/>
            <w:vAlign w:val="bottom"/>
            <w:tcBorders>
              <w:right w:val="single" w:sz="8" w:color="050505"/>
            </w:tcBorders>
          </w:tcPr>
          <w:p>
            <w:pPr>
              <w:ind w:left="40"/>
              <w:spacing w:after="0" w:line="228" w:lineRule="exact"/>
              <w:rPr>
                <w:sz w:val="20"/>
                <w:szCs w:val="20"/>
                <w:color w:val="auto"/>
              </w:rPr>
            </w:pPr>
            <w:r>
              <w:rPr>
                <w:rFonts w:ascii="Times New Roman" w:cs="Times New Roman" w:eastAsia="Times New Roman" w:hAnsi="Times New Roman"/>
                <w:sz w:val="20"/>
                <w:szCs w:val="20"/>
                <w:color w:val="050505"/>
              </w:rPr>
              <w:t>(25%)</w:t>
            </w:r>
          </w:p>
        </w:tc>
      </w:tr>
      <w:tr>
        <w:trPr>
          <w:trHeight w:val="233"/>
        </w:trPr>
        <w:tc>
          <w:tcPr>
            <w:tcW w:w="5260" w:type="dxa"/>
            <w:vAlign w:val="bottom"/>
            <w:tcBorders>
              <w:left w:val="single" w:sz="8" w:color="050505"/>
              <w:right w:val="single" w:sz="8" w:color="050505"/>
            </w:tcBorders>
          </w:tcPr>
          <w:p>
            <w:pPr>
              <w:ind w:left="60"/>
              <w:spacing w:after="0" w:line="230" w:lineRule="exact"/>
              <w:rPr>
                <w:sz w:val="20"/>
                <w:szCs w:val="20"/>
                <w:color w:val="auto"/>
              </w:rPr>
            </w:pPr>
            <w:r>
              <w:rPr>
                <w:rFonts w:ascii="Times New Roman" w:cs="Times New Roman" w:eastAsia="Times New Roman" w:hAnsi="Times New Roman"/>
                <w:sz w:val="20"/>
                <w:szCs w:val="20"/>
                <w:color w:val="050505"/>
              </w:rPr>
              <w:t xml:space="preserve">CD70 TPS </w:t>
            </w:r>
            <w:r>
              <w:rPr>
                <w:rFonts w:ascii="MS Mincho" w:cs="MS Mincho" w:eastAsia="MS Mincho" w:hAnsi="MS Mincho"/>
                <w:sz w:val="20"/>
                <w:szCs w:val="20"/>
                <w:b w:val="1"/>
                <w:bCs w:val="1"/>
                <w:color w:val="050505"/>
              </w:rPr>
              <w:t>≥</w:t>
            </w:r>
            <w:r>
              <w:rPr>
                <w:rFonts w:ascii="Times New Roman" w:cs="Times New Roman" w:eastAsia="Times New Roman" w:hAnsi="Times New Roman"/>
                <w:sz w:val="20"/>
                <w:szCs w:val="20"/>
                <w:color w:val="050505"/>
              </w:rPr>
              <w:t>50%</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5/16</w:t>
            </w:r>
          </w:p>
        </w:tc>
        <w:tc>
          <w:tcPr>
            <w:tcW w:w="1900" w:type="dxa"/>
            <w:vAlign w:val="bottom"/>
            <w:tcBorders>
              <w:right w:val="single" w:sz="8" w:color="050505"/>
            </w:tcBorders>
          </w:tcPr>
          <w:p>
            <w:pPr>
              <w:ind w:left="40"/>
              <w:spacing w:after="0"/>
              <w:rPr>
                <w:sz w:val="20"/>
                <w:szCs w:val="20"/>
                <w:color w:val="auto"/>
              </w:rPr>
            </w:pPr>
            <w:r>
              <w:rPr>
                <w:rFonts w:ascii="Times New Roman" w:cs="Times New Roman" w:eastAsia="Times New Roman" w:hAnsi="Times New Roman"/>
                <w:sz w:val="20"/>
                <w:szCs w:val="20"/>
                <w:color w:val="050505"/>
              </w:rPr>
              <w:t>(31%)</w:t>
            </w:r>
          </w:p>
        </w:tc>
      </w:tr>
      <w:tr>
        <w:trPr>
          <w:trHeight w:val="260"/>
        </w:trPr>
        <w:tc>
          <w:tcPr>
            <w:tcW w:w="5260" w:type="dxa"/>
            <w:vAlign w:val="bottom"/>
            <w:tcBorders>
              <w:left w:val="single" w:sz="8" w:color="050505"/>
              <w:right w:val="single" w:sz="8" w:color="050505"/>
            </w:tcBorders>
          </w:tcPr>
          <w:p>
            <w:pPr>
              <w:ind w:left="60"/>
              <w:spacing w:after="0"/>
              <w:rPr>
                <w:sz w:val="20"/>
                <w:szCs w:val="20"/>
                <w:color w:val="auto"/>
              </w:rPr>
            </w:pPr>
            <w:r>
              <w:rPr>
                <w:rFonts w:ascii="Times New Roman" w:cs="Times New Roman" w:eastAsia="Times New Roman" w:hAnsi="Times New Roman"/>
                <w:sz w:val="20"/>
                <w:szCs w:val="20"/>
                <w:color w:val="050505"/>
              </w:rPr>
              <w:t>CD70 TPS &lt;50%</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0/4</w:t>
            </w:r>
          </w:p>
        </w:tc>
        <w:tc>
          <w:tcPr>
            <w:tcW w:w="1900" w:type="dxa"/>
            <w:vAlign w:val="bottom"/>
            <w:tcBorders>
              <w:right w:val="single" w:sz="8" w:color="050505"/>
            </w:tcBorders>
          </w:tcPr>
          <w:p>
            <w:pPr>
              <w:ind w:left="40"/>
              <w:spacing w:after="0"/>
              <w:rPr>
                <w:sz w:val="20"/>
                <w:szCs w:val="20"/>
                <w:color w:val="auto"/>
              </w:rPr>
            </w:pPr>
            <w:r>
              <w:rPr>
                <w:rFonts w:ascii="Times New Roman" w:cs="Times New Roman" w:eastAsia="Times New Roman" w:hAnsi="Times New Roman"/>
                <w:sz w:val="20"/>
                <w:szCs w:val="20"/>
                <w:color w:val="050505"/>
              </w:rPr>
              <w:t>(0%)</w:t>
            </w:r>
          </w:p>
        </w:tc>
      </w:tr>
      <w:tr>
        <w:trPr>
          <w:trHeight w:val="84"/>
        </w:trPr>
        <w:tc>
          <w:tcPr>
            <w:tcW w:w="5260" w:type="dxa"/>
            <w:vAlign w:val="bottom"/>
            <w:tcBorders>
              <w:left w:val="single" w:sz="8" w:color="050505"/>
              <w:bottom w:val="single" w:sz="8" w:color="050505"/>
              <w:right w:val="single" w:sz="8" w:color="050505"/>
            </w:tcBorders>
          </w:tcPr>
          <w:p>
            <w:pPr>
              <w:spacing w:after="0"/>
              <w:rPr>
                <w:sz w:val="7"/>
                <w:szCs w:val="7"/>
                <w:color w:val="auto"/>
              </w:rPr>
            </w:pPr>
          </w:p>
        </w:tc>
        <w:tc>
          <w:tcPr>
            <w:tcW w:w="1720" w:type="dxa"/>
            <w:vAlign w:val="bottom"/>
            <w:tcBorders>
              <w:bottom w:val="single" w:sz="8" w:color="050505"/>
            </w:tcBorders>
          </w:tcPr>
          <w:p>
            <w:pPr>
              <w:spacing w:after="0"/>
              <w:rPr>
                <w:sz w:val="7"/>
                <w:szCs w:val="7"/>
                <w:color w:val="auto"/>
              </w:rPr>
            </w:pPr>
          </w:p>
        </w:tc>
        <w:tc>
          <w:tcPr>
            <w:tcW w:w="1900" w:type="dxa"/>
            <w:vAlign w:val="bottom"/>
            <w:tcBorders>
              <w:bottom w:val="single" w:sz="8" w:color="050505"/>
              <w:right w:val="single" w:sz="8" w:color="050505"/>
            </w:tcBorders>
          </w:tcPr>
          <w:p>
            <w:pPr>
              <w:spacing w:after="0"/>
              <w:rPr>
                <w:sz w:val="7"/>
                <w:szCs w:val="7"/>
                <w:color w:val="auto"/>
              </w:rPr>
            </w:pPr>
          </w:p>
        </w:tc>
      </w:tr>
    </w:tbl>
    <w:p>
      <w:pPr>
        <w:spacing w:after="0" w:line="148"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050505"/>
        </w:rPr>
        <w:t>Across the overall Phase 1 TRAVERSE study population, treatment-emergent adverse events were common and primarily hematologic in nature. Adverse events commonly associated with CAR T-cell therapy and lymphodepleting chemotherapy, including infections, CRS, ICANS and hyperinflammatory syndromes such as IEC-HS, were observed. In earlier dose-finding cohorts outside the Phase 1b expansion cohort, fatal treatment-related adverse events were reported, including Grade 5 cardiogenic shock, Grade 5 sepsis and Grade 5 failure to thrive. Following review of these events, the study protocol was amended to incorporate additional diagnostic criteria and management guidance for IEC-HS and enrollment resumed with the regimen subsequently evaluated in the Phase 1b expansion cohort.</w:t>
      </w:r>
    </w:p>
    <w:p>
      <w:pPr>
        <w:spacing w:after="0" w:line="3"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050505"/>
        </w:rPr>
        <w:t>The safety profile of ALLO-316 in the Phase 1b cohort was generally consistent with lymphodepletion and an active CAR T product. The most frequent Grade ≥3 events were hematologic and there were no treatment-related Grade 5 events reported in the Phase 1b cohort. The most common all-grade adverse events were cytokine release syndrome (CRS) (68%; with no Grade ≥3 events), neutropenia (68%), decreased white blood cell count (68%), anemia (59%), and thrombocytopenia (55%). Immune effector cell-associated neurotoxicity syndrome (ICANS) occurred in 18% of patients (with no Grade ≥3 events) and no graft-versus-host disease (GvHD) occurred. Improved recognition of immune effector cell-associated hemophagocytic lymphohistiocytosis-like syndrome (IEC-HS) led to diagnosis in 36% of patients, with two patients (9%) experiencing a Grade 3 (one patient) or Grade 4 (one patient) event that subsequently improved with management. No treatment-related Grade 5 events were reported in patients treated in the Phase 1b cohort.</w:t>
      </w:r>
    </w:p>
    <w:p>
      <w:pPr>
        <w:spacing w:after="0" w:line="88" w:lineRule="exact"/>
        <w:rPr>
          <w:sz w:val="20"/>
          <w:szCs w:val="20"/>
          <w:color w:val="auto"/>
        </w:rPr>
      </w:pPr>
    </w:p>
    <w:p>
      <w:pPr>
        <w:jc w:val="center"/>
        <w:ind w:left="1040" w:right="2400"/>
        <w:spacing w:after="0" w:line="268" w:lineRule="auto"/>
        <w:rPr>
          <w:sz w:val="20"/>
          <w:szCs w:val="20"/>
          <w:color w:val="auto"/>
        </w:rPr>
      </w:pPr>
      <w:r>
        <w:rPr>
          <w:rFonts w:ascii="Times New Roman" w:cs="Times New Roman" w:eastAsia="Times New Roman" w:hAnsi="Times New Roman"/>
          <w:sz w:val="20"/>
          <w:szCs w:val="20"/>
          <w:b w:val="1"/>
          <w:bCs w:val="1"/>
          <w:color w:val="050505"/>
        </w:rPr>
        <w:t>Most Prevalent Treatment-Emergent Adverse Events (TEAEs) (&gt;20% Any Grade Incidence) and Adverse Events of Special Interest (AESI)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-635</wp:posOffset>
            </wp:positionV>
            <wp:extent cx="4854575" cy="396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extLst>
                    </a:blip>
                    <a:srcRect/>
                    <a:stretch>
                      <a:fillRect/>
                    </a:stretch>
                  </pic:blipFill>
                  <pic:spPr bwMode="auto">
                    <a:xfrm>
                      <a:off x="0" y="0"/>
                      <a:ext cx="4854575" cy="3968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836295</wp:posOffset>
                </wp:positionH>
                <wp:positionV relativeFrom="paragraph">
                  <wp:posOffset>5080</wp:posOffset>
                </wp:positionV>
                <wp:extent cx="0" cy="362267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22675"/>
                        </a:xfrm>
                        <a:prstGeom prst="line">
                          <a:avLst/>
                        </a:prstGeom>
                        <a:solidFill>
                          <a:srgbClr val="FFFFFF"/>
                        </a:solidFill>
                        <a:ln w="0">
                          <a:solidFill>
                            <a:srgbClr val="050505"/>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0.4pt" to="65.85pt,285.65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3836670</wp:posOffset>
                </wp:positionH>
                <wp:positionV relativeFrom="paragraph">
                  <wp:posOffset>5080</wp:posOffset>
                </wp:positionV>
                <wp:extent cx="0" cy="362267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22675"/>
                        </a:xfrm>
                        <a:prstGeom prst="line">
                          <a:avLst/>
                        </a:prstGeom>
                        <a:solidFill>
                          <a:srgbClr val="FFFFFF"/>
                        </a:solidFill>
                        <a:ln w="0">
                          <a:solidFill>
                            <a:srgbClr val="050505"/>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1pt,0.4pt" to="302.1pt,285.65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5665470</wp:posOffset>
                </wp:positionH>
                <wp:positionV relativeFrom="paragraph">
                  <wp:posOffset>5080</wp:posOffset>
                </wp:positionV>
                <wp:extent cx="0" cy="362267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22675"/>
                        </a:xfrm>
                        <a:prstGeom prst="line">
                          <a:avLst/>
                        </a:prstGeom>
                        <a:solidFill>
                          <a:srgbClr val="FFFFFF"/>
                        </a:solidFill>
                        <a:ln w="0">
                          <a:solidFill>
                            <a:srgbClr val="050505"/>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1pt,0.4pt" to="446.1pt,285.65pt" o:allowincell="f" strokecolor="#050505" strokeweight="0pt"/>
            </w:pict>
          </mc:Fallback>
        </mc:AlternateContent>
      </w:r>
    </w:p>
    <w:tbl>
      <w:tblPr>
        <w:tblLayout w:type="fixed"/>
        <w:tblInd w:w="1310" w:type="dxa"/>
        <w:tblCellMar>
          <w:top w:w="0" w:type="dxa"/>
          <w:left w:w="0" w:type="dxa"/>
          <w:bottom w:w="0" w:type="dxa"/>
          <w:right w:w="0" w:type="dxa"/>
        </w:tblCellMar>
      </w:tblPr>
      <w:tr>
        <w:trPr>
          <w:trHeight w:val="273"/>
        </w:trPr>
        <w:tc>
          <w:tcPr>
            <w:tcW w:w="4760" w:type="dxa"/>
            <w:vAlign w:val="bottom"/>
            <w:tcBorders>
              <w:top w:val="single" w:sz="8" w:color="050505"/>
              <w:left w:val="single" w:sz="8" w:color="050505"/>
              <w:right w:val="single" w:sz="8" w:color="050505"/>
            </w:tcBorders>
          </w:tcPr>
          <w:p>
            <w:pPr>
              <w:ind w:left="80"/>
              <w:spacing w:after="0"/>
              <w:rPr>
                <w:sz w:val="20"/>
                <w:szCs w:val="20"/>
                <w:color w:val="auto"/>
              </w:rPr>
            </w:pPr>
            <w:r>
              <w:rPr>
                <w:rFonts w:ascii="Times New Roman" w:cs="Times New Roman" w:eastAsia="Times New Roman" w:hAnsi="Times New Roman"/>
                <w:sz w:val="20"/>
                <w:szCs w:val="20"/>
                <w:b w:val="1"/>
                <w:bCs w:val="1"/>
                <w:color w:val="050505"/>
              </w:rPr>
              <w:t>TEAEs ≥20% incidence in Phase 1b, n (%)</w:t>
            </w:r>
          </w:p>
        </w:tc>
        <w:tc>
          <w:tcPr>
            <w:tcW w:w="2880" w:type="dxa"/>
            <w:vAlign w:val="bottom"/>
            <w:tcBorders>
              <w:top w:val="single" w:sz="8" w:color="050505"/>
              <w:bottom w:val="single" w:sz="8" w:color="050505"/>
              <w:right w:val="single" w:sz="8" w:color="050505"/>
            </w:tcBorders>
            <w:gridSpan w:val="3"/>
          </w:tcPr>
          <w:p>
            <w:pPr>
              <w:ind w:left="640"/>
              <w:spacing w:after="0"/>
              <w:rPr>
                <w:sz w:val="20"/>
                <w:szCs w:val="20"/>
                <w:color w:val="auto"/>
              </w:rPr>
            </w:pPr>
            <w:r>
              <w:rPr>
                <w:rFonts w:ascii="Times New Roman" w:cs="Times New Roman" w:eastAsia="Times New Roman" w:hAnsi="Times New Roman"/>
                <w:sz w:val="20"/>
                <w:szCs w:val="20"/>
                <w:b w:val="1"/>
                <w:bCs w:val="1"/>
                <w:color w:val="050505"/>
              </w:rPr>
              <w:t>Phase 1b (n = 22)†</w:t>
            </w:r>
          </w:p>
        </w:tc>
      </w:tr>
      <w:tr>
        <w:trPr>
          <w:trHeight w:val="280"/>
        </w:trPr>
        <w:tc>
          <w:tcPr>
            <w:tcW w:w="4760" w:type="dxa"/>
            <w:vAlign w:val="bottom"/>
            <w:tcBorders>
              <w:left w:val="single" w:sz="8" w:color="050505"/>
              <w:bottom w:val="single" w:sz="8" w:color="050505"/>
              <w:right w:val="single" w:sz="8" w:color="050505"/>
            </w:tcBorders>
          </w:tcPr>
          <w:p>
            <w:pPr>
              <w:spacing w:after="0"/>
              <w:rPr>
                <w:sz w:val="24"/>
                <w:szCs w:val="24"/>
                <w:color w:val="auto"/>
              </w:rPr>
            </w:pPr>
          </w:p>
        </w:tc>
        <w:tc>
          <w:tcPr>
            <w:tcW w:w="1440" w:type="dxa"/>
            <w:vAlign w:val="bottom"/>
            <w:tcBorders>
              <w:bottom w:val="single" w:sz="8" w:color="050505"/>
              <w:right w:val="single" w:sz="8" w:color="050505"/>
            </w:tcBorders>
          </w:tcPr>
          <w:p>
            <w:pPr>
              <w:ind w:left="260"/>
              <w:spacing w:after="0"/>
              <w:rPr>
                <w:sz w:val="20"/>
                <w:szCs w:val="20"/>
                <w:color w:val="auto"/>
              </w:rPr>
            </w:pPr>
            <w:r>
              <w:rPr>
                <w:rFonts w:ascii="Times New Roman" w:cs="Times New Roman" w:eastAsia="Times New Roman" w:hAnsi="Times New Roman"/>
                <w:sz w:val="20"/>
                <w:szCs w:val="20"/>
                <w:color w:val="050505"/>
              </w:rPr>
              <w:t>All Grades</w:t>
            </w:r>
          </w:p>
        </w:tc>
        <w:tc>
          <w:tcPr>
            <w:tcW w:w="1440" w:type="dxa"/>
            <w:vAlign w:val="bottom"/>
            <w:tcBorders>
              <w:bottom w:val="single" w:sz="8" w:color="050505"/>
              <w:right w:val="single" w:sz="8" w:color="050505"/>
            </w:tcBorders>
            <w:gridSpan w:val="2"/>
          </w:tcPr>
          <w:p>
            <w:pPr>
              <w:ind w:left="320"/>
              <w:spacing w:after="0"/>
              <w:rPr>
                <w:sz w:val="20"/>
                <w:szCs w:val="20"/>
                <w:color w:val="auto"/>
              </w:rPr>
            </w:pPr>
            <w:r>
              <w:rPr>
                <w:rFonts w:ascii="Times New Roman" w:cs="Times New Roman" w:eastAsia="Times New Roman" w:hAnsi="Times New Roman"/>
                <w:sz w:val="20"/>
                <w:szCs w:val="20"/>
                <w:color w:val="050505"/>
              </w:rPr>
              <w:t>Grade ≥3</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Neutropenia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15 (68)</w:t>
            </w:r>
          </w:p>
        </w:tc>
        <w:tc>
          <w:tcPr>
            <w:tcW w:w="6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w:t>
            </w:r>
          </w:p>
        </w:tc>
        <w:tc>
          <w:tcPr>
            <w:tcW w:w="800" w:type="dxa"/>
            <w:vAlign w:val="bottom"/>
            <w:tcBorders>
              <w:bottom w:val="single" w:sz="8" w:color="050505"/>
              <w:right w:val="single" w:sz="8" w:color="050505"/>
            </w:tcBorders>
          </w:tcPr>
          <w:p>
            <w:pPr>
              <w:ind w:left="20"/>
              <w:spacing w:after="0"/>
              <w:rPr>
                <w:sz w:val="20"/>
                <w:szCs w:val="20"/>
                <w:color w:val="auto"/>
              </w:rPr>
            </w:pPr>
            <w:r>
              <w:rPr>
                <w:rFonts w:ascii="Times New Roman" w:cs="Times New Roman" w:eastAsia="Times New Roman" w:hAnsi="Times New Roman"/>
                <w:sz w:val="20"/>
                <w:szCs w:val="20"/>
                <w:color w:val="050505"/>
              </w:rPr>
              <w:t>(68)</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White blood cell count decreased</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15 (68)</w:t>
            </w:r>
          </w:p>
        </w:tc>
        <w:tc>
          <w:tcPr>
            <w:tcW w:w="6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w:t>
            </w:r>
          </w:p>
        </w:tc>
        <w:tc>
          <w:tcPr>
            <w:tcW w:w="800" w:type="dxa"/>
            <w:vAlign w:val="bottom"/>
            <w:tcBorders>
              <w:bottom w:val="single" w:sz="8" w:color="050505"/>
              <w:right w:val="single" w:sz="8" w:color="050505"/>
            </w:tcBorders>
          </w:tcPr>
          <w:p>
            <w:pPr>
              <w:ind w:left="20"/>
              <w:spacing w:after="0"/>
              <w:rPr>
                <w:sz w:val="20"/>
                <w:szCs w:val="20"/>
                <w:color w:val="auto"/>
              </w:rPr>
            </w:pPr>
            <w:r>
              <w:rPr>
                <w:rFonts w:ascii="Times New Roman" w:cs="Times New Roman" w:eastAsia="Times New Roman" w:hAnsi="Times New Roman"/>
                <w:sz w:val="20"/>
                <w:szCs w:val="20"/>
                <w:color w:val="050505"/>
              </w:rPr>
              <w:t>(68)</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Anemia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13 (59)</w:t>
            </w:r>
          </w:p>
        </w:tc>
        <w:tc>
          <w:tcPr>
            <w:tcW w:w="1440" w:type="dxa"/>
            <w:vAlign w:val="bottom"/>
            <w:tcBorders>
              <w:bottom w:val="single" w:sz="8" w:color="050505"/>
              <w:right w:val="single" w:sz="8" w:color="050505"/>
            </w:tcBorders>
            <w:gridSpan w:val="2"/>
          </w:tcPr>
          <w:p>
            <w:pPr>
              <w:jc w:val="center"/>
              <w:spacing w:after="0"/>
              <w:rPr>
                <w:sz w:val="20"/>
                <w:szCs w:val="20"/>
                <w:color w:val="auto"/>
              </w:rPr>
            </w:pPr>
            <w:r>
              <w:rPr>
                <w:rFonts w:ascii="Times New Roman" w:cs="Times New Roman" w:eastAsia="Times New Roman" w:hAnsi="Times New Roman"/>
                <w:sz w:val="20"/>
                <w:szCs w:val="20"/>
                <w:color w:val="050505"/>
                <w:w w:val="99"/>
              </w:rPr>
              <w:t>9 (41)</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Thrombocytopenia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12 (55)</w:t>
            </w:r>
          </w:p>
        </w:tc>
        <w:tc>
          <w:tcPr>
            <w:tcW w:w="1440" w:type="dxa"/>
            <w:vAlign w:val="bottom"/>
            <w:tcBorders>
              <w:bottom w:val="single" w:sz="8" w:color="050505"/>
              <w:right w:val="single" w:sz="8" w:color="050505"/>
            </w:tcBorders>
            <w:gridSpan w:val="2"/>
          </w:tcPr>
          <w:p>
            <w:pPr>
              <w:jc w:val="center"/>
              <w:spacing w:after="0"/>
              <w:rPr>
                <w:sz w:val="20"/>
                <w:szCs w:val="20"/>
                <w:color w:val="auto"/>
              </w:rPr>
            </w:pPr>
            <w:r>
              <w:rPr>
                <w:rFonts w:ascii="Times New Roman" w:cs="Times New Roman" w:eastAsia="Times New Roman" w:hAnsi="Times New Roman"/>
                <w:sz w:val="20"/>
                <w:szCs w:val="20"/>
                <w:color w:val="050505"/>
                <w:w w:val="99"/>
              </w:rPr>
              <w:t>6 (27)</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Nausea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8 (36)</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ALT increased</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7 (32)</w:t>
            </w:r>
          </w:p>
        </w:tc>
        <w:tc>
          <w:tcPr>
            <w:tcW w:w="6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w:t>
            </w:r>
          </w:p>
        </w:tc>
        <w:tc>
          <w:tcPr>
            <w:tcW w:w="800" w:type="dxa"/>
            <w:vAlign w:val="bottom"/>
            <w:tcBorders>
              <w:bottom w:val="single" w:sz="8" w:color="050505"/>
              <w:right w:val="single" w:sz="8" w:color="050505"/>
            </w:tcBorders>
          </w:tcPr>
          <w:p>
            <w:pPr>
              <w:ind w:left="20"/>
              <w:spacing w:after="0"/>
              <w:rPr>
                <w:sz w:val="20"/>
                <w:szCs w:val="20"/>
                <w:color w:val="auto"/>
              </w:rPr>
            </w:pPr>
            <w:r>
              <w:rPr>
                <w:rFonts w:ascii="Times New Roman" w:cs="Times New Roman" w:eastAsia="Times New Roman" w:hAnsi="Times New Roman"/>
                <w:sz w:val="20"/>
                <w:szCs w:val="20"/>
                <w:color w:val="050505"/>
              </w:rPr>
              <w:t>(9)</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Peripheral edema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7 (32)</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Pyrexia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7 (32)</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Arthralgia</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6 (27)</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AST increased</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6 (27)</w:t>
            </w:r>
          </w:p>
        </w:tc>
        <w:tc>
          <w:tcPr>
            <w:tcW w:w="6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w:t>
            </w:r>
          </w:p>
        </w:tc>
        <w:tc>
          <w:tcPr>
            <w:tcW w:w="800" w:type="dxa"/>
            <w:vAlign w:val="bottom"/>
            <w:tcBorders>
              <w:bottom w:val="single" w:sz="8" w:color="050505"/>
              <w:right w:val="single" w:sz="8" w:color="050505"/>
            </w:tcBorders>
          </w:tcPr>
          <w:p>
            <w:pPr>
              <w:ind w:left="20"/>
              <w:spacing w:after="0"/>
              <w:rPr>
                <w:sz w:val="20"/>
                <w:szCs w:val="20"/>
                <w:color w:val="auto"/>
              </w:rPr>
            </w:pPr>
            <w:r>
              <w:rPr>
                <w:rFonts w:ascii="Times New Roman" w:cs="Times New Roman" w:eastAsia="Times New Roman" w:hAnsi="Times New Roman"/>
                <w:sz w:val="20"/>
                <w:szCs w:val="20"/>
                <w:color w:val="050505"/>
              </w:rPr>
              <w:t>(9)</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Fatigue</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5 (23)</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Headache</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5 (23)</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80"/>
              <w:spacing w:after="0"/>
              <w:rPr>
                <w:sz w:val="20"/>
                <w:szCs w:val="20"/>
                <w:color w:val="auto"/>
              </w:rPr>
            </w:pPr>
            <w:r>
              <w:rPr>
                <w:rFonts w:ascii="Times New Roman" w:cs="Times New Roman" w:eastAsia="Times New Roman" w:hAnsi="Times New Roman"/>
                <w:sz w:val="20"/>
                <w:szCs w:val="20"/>
                <w:color w:val="050505"/>
              </w:rPr>
              <w:t>AEs of Special Interest</w:t>
            </w:r>
          </w:p>
        </w:tc>
        <w:tc>
          <w:tcPr>
            <w:tcW w:w="1440" w:type="dxa"/>
            <w:vAlign w:val="bottom"/>
            <w:tcBorders>
              <w:bottom w:val="single" w:sz="8" w:color="050505"/>
              <w:right w:val="single" w:sz="8" w:color="050505"/>
            </w:tcBorders>
          </w:tcPr>
          <w:p>
            <w:pPr>
              <w:ind w:left="40"/>
              <w:spacing w:after="0"/>
              <w:rPr>
                <w:sz w:val="20"/>
                <w:szCs w:val="20"/>
                <w:color w:val="auto"/>
              </w:rPr>
            </w:pPr>
            <w:r>
              <w:rPr>
                <w:rFonts w:ascii="Times New Roman" w:cs="Times New Roman" w:eastAsia="Times New Roman" w:hAnsi="Times New Roman"/>
                <w:sz w:val="20"/>
                <w:szCs w:val="20"/>
                <w:color w:val="050505"/>
              </w:rPr>
              <w:t>Any Grade</w:t>
            </w:r>
          </w:p>
        </w:tc>
        <w:tc>
          <w:tcPr>
            <w:tcW w:w="1440" w:type="dxa"/>
            <w:vAlign w:val="bottom"/>
            <w:tcBorders>
              <w:bottom w:val="single" w:sz="8" w:color="050505"/>
              <w:right w:val="single" w:sz="8" w:color="050505"/>
            </w:tcBorders>
            <w:gridSpan w:val="2"/>
          </w:tcPr>
          <w:p>
            <w:pPr>
              <w:ind w:left="40"/>
              <w:spacing w:after="0"/>
              <w:rPr>
                <w:sz w:val="20"/>
                <w:szCs w:val="20"/>
                <w:color w:val="auto"/>
              </w:rPr>
            </w:pPr>
            <w:r>
              <w:rPr>
                <w:rFonts w:ascii="Times New Roman" w:cs="Times New Roman" w:eastAsia="Times New Roman" w:hAnsi="Times New Roman"/>
                <w:sz w:val="20"/>
                <w:szCs w:val="20"/>
                <w:color w:val="050505"/>
              </w:rPr>
              <w:t>Grade ≥3</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CRS</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15 (68)</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Infection</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10 (45)</w:t>
            </w:r>
          </w:p>
        </w:tc>
        <w:tc>
          <w:tcPr>
            <w:tcW w:w="1440" w:type="dxa"/>
            <w:vAlign w:val="bottom"/>
            <w:tcBorders>
              <w:bottom w:val="single" w:sz="8" w:color="050505"/>
              <w:right w:val="single" w:sz="8" w:color="050505"/>
            </w:tcBorders>
            <w:gridSpan w:val="2"/>
          </w:tcPr>
          <w:p>
            <w:pPr>
              <w:jc w:val="center"/>
              <w:spacing w:after="0"/>
              <w:rPr>
                <w:sz w:val="20"/>
                <w:szCs w:val="20"/>
                <w:color w:val="auto"/>
              </w:rPr>
            </w:pPr>
            <w:r>
              <w:rPr>
                <w:rFonts w:ascii="Times New Roman" w:cs="Times New Roman" w:eastAsia="Times New Roman" w:hAnsi="Times New Roman"/>
                <w:sz w:val="20"/>
                <w:szCs w:val="20"/>
                <w:color w:val="050505"/>
                <w:w w:val="99"/>
              </w:rPr>
              <w:t>8 (36)</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IEC-HS</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8 (36)</w:t>
            </w:r>
          </w:p>
        </w:tc>
        <w:tc>
          <w:tcPr>
            <w:tcW w:w="1440" w:type="dxa"/>
            <w:vAlign w:val="bottom"/>
            <w:tcBorders>
              <w:bottom w:val="single" w:sz="8" w:color="050505"/>
              <w:right w:val="single" w:sz="8" w:color="050505"/>
            </w:tcBorders>
            <w:gridSpan w:val="2"/>
          </w:tcPr>
          <w:p>
            <w:pPr>
              <w:jc w:val="center"/>
              <w:spacing w:after="0"/>
              <w:rPr>
                <w:sz w:val="20"/>
                <w:szCs w:val="20"/>
                <w:color w:val="auto"/>
              </w:rPr>
            </w:pPr>
            <w:r>
              <w:rPr>
                <w:rFonts w:ascii="Times New Roman" w:cs="Times New Roman" w:eastAsia="Times New Roman" w:hAnsi="Times New Roman"/>
                <w:sz w:val="20"/>
                <w:szCs w:val="20"/>
                <w:color w:val="050505"/>
                <w:w w:val="99"/>
              </w:rPr>
              <w:t>2 (9)††</w:t>
            </w:r>
          </w:p>
        </w:tc>
      </w:tr>
      <w:tr>
        <w:trPr>
          <w:trHeight w:val="280"/>
        </w:trPr>
        <w:tc>
          <w:tcPr>
            <w:tcW w:w="4760" w:type="dxa"/>
            <w:vAlign w:val="bottom"/>
            <w:tcBorders>
              <w:left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ICANS</w:t>
            </w:r>
          </w:p>
        </w:tc>
        <w:tc>
          <w:tcPr>
            <w:tcW w:w="1440" w:type="dxa"/>
            <w:vAlign w:val="bottom"/>
            <w:tcBorders>
              <w:bottom w:val="single" w:sz="8" w:color="050505"/>
              <w:right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4 (18)</w:t>
            </w:r>
          </w:p>
        </w:tc>
        <w:tc>
          <w:tcPr>
            <w:tcW w:w="6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right w:val="single" w:sz="8" w:color="050505"/>
            </w:tcBorders>
          </w:tcPr>
          <w:p>
            <w:pPr>
              <w:jc w:val="center"/>
              <w:ind w:right="560"/>
              <w:spacing w:after="0"/>
              <w:rPr>
                <w:sz w:val="20"/>
                <w:szCs w:val="20"/>
                <w:color w:val="auto"/>
              </w:rPr>
            </w:pPr>
            <w:r>
              <w:rPr>
                <w:rFonts w:ascii="Times New Roman" w:cs="Times New Roman" w:eastAsia="Times New Roman" w:hAnsi="Times New Roman"/>
                <w:sz w:val="20"/>
                <w:szCs w:val="20"/>
                <w:color w:val="050505"/>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-970915</wp:posOffset>
            </wp:positionV>
            <wp:extent cx="4854575" cy="215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extLst>
                        <a:ext uri="{28A0092B-C50C-407E-A947-70E740481C1C}"/>
                      </a:extLst>
                    </a:blip>
                    <a:srcRect/>
                    <a:stretch>
                      <a:fillRect/>
                    </a:stretch>
                  </pic:blipFill>
                  <pic:spPr bwMode="auto">
                    <a:xfrm>
                      <a:off x="0" y="0"/>
                      <a:ext cx="4854575" cy="215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4751070</wp:posOffset>
                </wp:positionH>
                <wp:positionV relativeFrom="paragraph">
                  <wp:posOffset>-3441700</wp:posOffset>
                </wp:positionV>
                <wp:extent cx="0" cy="34417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41700"/>
                        </a:xfrm>
                        <a:prstGeom prst="line">
                          <a:avLst/>
                        </a:prstGeom>
                        <a:solidFill>
                          <a:srgbClr val="FFFFFF"/>
                        </a:solidFill>
                        <a:ln w="0">
                          <a:solidFill>
                            <a:srgbClr val="050505"/>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271pt" to="374.1pt,0pt" o:allowincell="f" strokecolor="#050505" strokeweight="0pt"/>
            </w:pict>
          </mc:Fallback>
        </mc:AlternateConten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17</w:t>
      </w:r>
    </w:p>
    <w:p>
      <w:pPr>
        <w:sectPr>
          <w:pgSz w:w="12240" w:h="15840" w:orient="portrait"/>
          <w:cols w:equalWidth="0" w:num="1">
            <w:col w:w="10200"/>
          </w:cols>
          <w:pgMar w:left="1000" w:top="793" w:right="1040" w:bottom="0" w:gutter="0" w:footer="0" w:header="0"/>
          <w:type w:val="continuous"/>
        </w:sectPr>
      </w:pPr>
    </w:p>
    <w:bookmarkStart w:id="21" w:name="page22"/>
    <w:bookmarkEnd w:id="21"/>
    <w:tbl>
      <w:tblPr>
        <w:tblLayout w:type="fixed"/>
        <w:tblInd w:w="1300" w:type="dxa"/>
        <w:tblCellMar>
          <w:top w:w="0" w:type="dxa"/>
          <w:left w:w="0" w:type="dxa"/>
          <w:bottom w:w="0" w:type="dxa"/>
          <w:right w:w="0" w:type="dxa"/>
        </w:tblCellMar>
      </w:tblPr>
      <w:tr>
        <w:trPr>
          <w:trHeight w:val="300"/>
        </w:trPr>
        <w:tc>
          <w:tcPr>
            <w:tcW w:w="4760" w:type="dxa"/>
            <w:vAlign w:val="bottom"/>
            <w:tcBorders>
              <w:top w:val="single" w:sz="8" w:color="050505"/>
              <w:bottom w:val="single" w:sz="8" w:color="050505"/>
              <w:right w:val="single" w:sz="8" w:color="050505"/>
            </w:tcBorders>
          </w:tcPr>
          <w:p>
            <w:pPr>
              <w:ind w:left="240"/>
              <w:spacing w:after="0"/>
              <w:rPr>
                <w:sz w:val="20"/>
                <w:szCs w:val="20"/>
                <w:color w:val="auto"/>
              </w:rPr>
            </w:pPr>
            <w:r>
              <w:rPr>
                <w:rFonts w:ascii="Times New Roman" w:cs="Times New Roman" w:eastAsia="Times New Roman" w:hAnsi="Times New Roman"/>
                <w:sz w:val="20"/>
                <w:szCs w:val="20"/>
                <w:color w:val="050505"/>
              </w:rPr>
              <w:t>Graft-versus-host disease</w:t>
            </w:r>
          </w:p>
        </w:tc>
        <w:tc>
          <w:tcPr>
            <w:tcW w:w="1440" w:type="dxa"/>
            <w:vAlign w:val="bottom"/>
            <w:tcBorders>
              <w:top w:val="single" w:sz="8" w:color="050505"/>
              <w:bottom w:val="single" w:sz="8" w:color="050505"/>
              <w:right w:val="single" w:sz="8" w:color="050505"/>
            </w:tcBorders>
          </w:tcPr>
          <w:p>
            <w:pPr>
              <w:jc w:val="right"/>
              <w:ind w:right="580"/>
              <w:spacing w:after="0"/>
              <w:rPr>
                <w:sz w:val="20"/>
                <w:szCs w:val="20"/>
                <w:color w:val="auto"/>
              </w:rPr>
            </w:pPr>
            <w:r>
              <w:rPr>
                <w:rFonts w:ascii="Times New Roman" w:cs="Times New Roman" w:eastAsia="Times New Roman" w:hAnsi="Times New Roman"/>
                <w:sz w:val="20"/>
                <w:szCs w:val="20"/>
                <w:color w:val="050505"/>
              </w:rPr>
              <w:t>0</w:t>
            </w:r>
          </w:p>
        </w:tc>
        <w:tc>
          <w:tcPr>
            <w:tcW w:w="1440" w:type="dxa"/>
            <w:vAlign w:val="bottom"/>
            <w:tcBorders>
              <w:top w:val="single" w:sz="8" w:color="050505"/>
              <w:bottom w:val="single" w:sz="8" w:color="050505"/>
            </w:tcBorders>
          </w:tcPr>
          <w:p>
            <w:pPr>
              <w:jc w:val="right"/>
              <w:ind w:right="580"/>
              <w:spacing w:after="0"/>
              <w:rPr>
                <w:sz w:val="20"/>
                <w:szCs w:val="20"/>
                <w:color w:val="auto"/>
              </w:rPr>
            </w:pPr>
            <w:r>
              <w:rPr>
                <w:rFonts w:ascii="Times New Roman" w:cs="Times New Roman" w:eastAsia="Times New Roman" w:hAnsi="Times New Roman"/>
                <w:sz w:val="20"/>
                <w:szCs w:val="20"/>
                <w:color w:val="050505"/>
              </w:rPr>
              <w:t>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1471295</wp:posOffset>
                </wp:positionH>
                <wp:positionV relativeFrom="page">
                  <wp:posOffset>536575</wp:posOffset>
                </wp:positionV>
                <wp:extent cx="0" cy="124142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1425"/>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5.85pt,42.25pt" to="115.85pt,140pt" o:allowincell="f" strokecolor="#050505"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6300470</wp:posOffset>
                </wp:positionH>
                <wp:positionV relativeFrom="page">
                  <wp:posOffset>536575</wp:posOffset>
                </wp:positionV>
                <wp:extent cx="0" cy="124142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41425"/>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1pt,42.25pt" to="496.1pt,140pt" o:allowincell="f" strokecolor="#050505" strokeweight="1pt">
                <w10:wrap anchorx="page" anchory="page"/>
              </v:line>
            </w:pict>
          </mc:Fallback>
        </mc:AlternateContent>
        <mc:AlternateContent>
          <mc:Choice Requires="wps">
            <w:drawing>
              <wp:anchor simplePos="0" relativeHeight="251657728" behindDoc="1" locked="0" layoutInCell="0" allowOverlap="1">
                <wp:simplePos x="0" y="0"/>
                <wp:positionH relativeFrom="column">
                  <wp:posOffset>836295</wp:posOffset>
                </wp:positionH>
                <wp:positionV relativeFrom="paragraph">
                  <wp:posOffset>-196850</wp:posOffset>
                </wp:positionV>
                <wp:extent cx="0" cy="122872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15.4999pt" to="65.85pt,8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3836670</wp:posOffset>
                </wp:positionH>
                <wp:positionV relativeFrom="paragraph">
                  <wp:posOffset>-196850</wp:posOffset>
                </wp:positionV>
                <wp:extent cx="0" cy="1905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1pt,-15.4999pt" to="302.1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4751070</wp:posOffset>
                </wp:positionH>
                <wp:positionV relativeFrom="paragraph">
                  <wp:posOffset>-196850</wp:posOffset>
                </wp:positionV>
                <wp:extent cx="0" cy="1905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0500"/>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1pt,-15.4999pt" to="374.1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5665470</wp:posOffset>
                </wp:positionH>
                <wp:positionV relativeFrom="paragraph">
                  <wp:posOffset>-196850</wp:posOffset>
                </wp:positionV>
                <wp:extent cx="0" cy="122872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1pt,-15.4999pt" to="446.1pt,8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836295</wp:posOffset>
                </wp:positionH>
                <wp:positionV relativeFrom="paragraph">
                  <wp:posOffset>-196850</wp:posOffset>
                </wp:positionV>
                <wp:extent cx="48291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15.4999pt" to="446.1pt,-15.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836295</wp:posOffset>
                </wp:positionH>
                <wp:positionV relativeFrom="paragraph">
                  <wp:posOffset>-6350</wp:posOffset>
                </wp:positionV>
                <wp:extent cx="48291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0.4999pt" to="446.1pt,-0.4999pt" o:allowincell="f" strokecolor="#000000" strokeweight="0pt"/>
            </w:pict>
          </mc:Fallback>
        </mc:AlternateContent>
      </w:r>
    </w:p>
    <w:p>
      <w:pPr>
        <w:ind w:left="1380" w:right="1680"/>
        <w:spacing w:after="0" w:line="265" w:lineRule="auto"/>
        <w:rPr>
          <w:sz w:val="20"/>
          <w:szCs w:val="20"/>
          <w:color w:val="auto"/>
        </w:rPr>
      </w:pPr>
      <w:r>
        <w:rPr>
          <w:rFonts w:ascii="Times New Roman" w:cs="Times New Roman" w:eastAsia="Times New Roman" w:hAnsi="Times New Roman"/>
          <w:sz w:val="20"/>
          <w:szCs w:val="20"/>
          <w:color w:val="050505"/>
        </w:rPr>
        <w:t>IEC-HS includes the preferred terms immune effector cell-associated HLH-like syndrome and Hemophagocytic lymphohistiocytosis.</w:t>
      </w:r>
    </w:p>
    <w:p>
      <w:pPr>
        <w:spacing w:after="0" w:line="16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050505"/>
        </w:rPr>
        <w:t>†Includes 2 patients who received lymphodepletion but did not receive ALLO-316</w:t>
      </w:r>
    </w:p>
    <w:p>
      <w:pPr>
        <w:spacing w:after="0" w:line="218" w:lineRule="exact"/>
        <w:rPr>
          <w:sz w:val="20"/>
          <w:szCs w:val="20"/>
          <w:color w:val="auto"/>
        </w:rPr>
      </w:pPr>
    </w:p>
    <w:p>
      <w:pPr>
        <w:jc w:val="both"/>
        <w:ind w:left="1380" w:right="1480" w:hanging="10"/>
        <w:spacing w:after="0" w:line="291" w:lineRule="auto"/>
        <w:tabs>
          <w:tab w:leader="none" w:pos="1630" w:val="left"/>
        </w:tabs>
        <w:numPr>
          <w:ilvl w:val="0"/>
          <w:numId w:val="22"/>
        </w:numPr>
        <w:rPr>
          <w:rFonts w:ascii="Times New Roman" w:cs="Times New Roman" w:eastAsia="Times New Roman" w:hAnsi="Times New Roman"/>
          <w:sz w:val="19"/>
          <w:szCs w:val="19"/>
          <w:color w:val="050505"/>
        </w:rPr>
      </w:pPr>
      <w:r>
        <w:rPr>
          <w:rFonts w:ascii="Times New Roman" w:cs="Times New Roman" w:eastAsia="Times New Roman" w:hAnsi="Times New Roman"/>
          <w:sz w:val="19"/>
          <w:szCs w:val="19"/>
          <w:color w:val="050505"/>
        </w:rPr>
        <w:t>One patient experienced G4 IEC-HS based on GI bleeding with subsequent improvement and 1 patient experienced G3 IEC-HS based on hypotension managed without pressors 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836295</wp:posOffset>
                </wp:positionH>
                <wp:positionV relativeFrom="paragraph">
                  <wp:posOffset>-17780</wp:posOffset>
                </wp:positionV>
                <wp:extent cx="48291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85pt,-1.3999pt" to="446.1pt,-1.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829945</wp:posOffset>
                </wp:positionH>
                <wp:positionV relativeFrom="paragraph">
                  <wp:posOffset>-17780</wp:posOffset>
                </wp:positionV>
                <wp:extent cx="48418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1875"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35pt,-1.3999pt" to="446.6pt,-1.3999pt" o:allowincell="f" strokecolor="#050505" strokeweight="1pt"/>
            </w:pict>
          </mc:Fallback>
        </mc:AlternateConten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Clinical Development Plan</w:t>
      </w:r>
    </w:p>
    <w:p>
      <w:pPr>
        <w:spacing w:after="0" w:line="139" w:lineRule="exact"/>
        <w:rPr>
          <w:sz w:val="20"/>
          <w:szCs w:val="20"/>
          <w:color w:val="auto"/>
        </w:rPr>
      </w:pPr>
    </w:p>
    <w:p>
      <w:pPr>
        <w:ind w:right="740" w:firstLine="720"/>
        <w:spacing w:after="0" w:line="266" w:lineRule="auto"/>
        <w:rPr>
          <w:sz w:val="20"/>
          <w:szCs w:val="20"/>
          <w:color w:val="auto"/>
        </w:rPr>
      </w:pPr>
      <w:r>
        <w:rPr>
          <w:rFonts w:ascii="Times New Roman" w:cs="Times New Roman" w:eastAsia="Times New Roman" w:hAnsi="Times New Roman"/>
          <w:sz w:val="20"/>
          <w:szCs w:val="20"/>
          <w:color w:val="050505"/>
        </w:rPr>
        <w:t>The TRAVERSE trial is an open-label, Phase 1, single arm, multicenter clinical trial evaluating the safety and tolerability of ALLO-316 in adult patients with advanced or metastatic ccRCC. Anti-tumor activity, cell kinetics, pharmacodynamics, and correlation of outcome with tumor CD70 expression are evaluated as secondary objectives.</w:t>
      </w:r>
    </w:p>
    <w:p>
      <w:pPr>
        <w:spacing w:after="0" w:line="75"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050505"/>
        </w:rPr>
        <w:t>We have developed an investigational in vitro companion diagnostic (IVD) assay designed for use in determining CD70 expression levels for patient selection in TRAVERSE. The trial deployed the IVD assay for the purposes of identifying patients most likely to benefit from ALLO-316.</w:t>
      </w:r>
    </w:p>
    <w:p>
      <w:pPr>
        <w:spacing w:after="0" w:line="75"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During the advancement of the TRAVERSE trial with ALLO-316, we have observed allogeneic CAR T cell expansion and persistence driven by CD70 CAR that allows elimination of alloreactive host lymphocytes. This biology has brought the potential for clinical efficacy not often seen in patients with R/R RCC but has also resulted in a hyperinflammatory response in some patients as CD70 CAR T cells expand and persist.</w:t>
      </w:r>
    </w:p>
    <w:p>
      <w:pPr>
        <w:spacing w:after="0" w:line="83"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050505"/>
        </w:rPr>
        <w:t>Leveraging recent advances in the management of hyperinflammation following autologous CAR T administration, we have developed a diagnostic and treatment algorithm similar to what our management team previously helped develop for CRS and ICANS associated with autologous CAR T. This algorithm may mitigate the treatment-associated hyperinflammatory response without compromising the CAR T function needed to eradicate solid tumors.</w:t>
      </w:r>
    </w:p>
    <w:p>
      <w:pPr>
        <w:spacing w:after="0" w:line="83" w:lineRule="exact"/>
        <w:rPr>
          <w:sz w:val="20"/>
          <w:szCs w:val="20"/>
          <w:color w:val="auto"/>
        </w:rPr>
      </w:pPr>
    </w:p>
    <w:p>
      <w:pPr>
        <w:ind w:right="600" w:firstLine="720"/>
        <w:spacing w:after="0" w:line="266" w:lineRule="auto"/>
        <w:rPr>
          <w:sz w:val="20"/>
          <w:szCs w:val="20"/>
          <w:color w:val="auto"/>
        </w:rPr>
      </w:pPr>
      <w:r>
        <w:rPr>
          <w:rFonts w:ascii="Times New Roman" w:cs="Times New Roman" w:eastAsia="Times New Roman" w:hAnsi="Times New Roman"/>
          <w:sz w:val="20"/>
          <w:szCs w:val="20"/>
          <w:color w:val="050505"/>
        </w:rPr>
        <w:t>Enrollment in the Phase 1b cohort has been completed and we are now pausing further standard dosing pending durability results for the enrolled patients. We continue to actively explore strategic opportunities, including potential partnerships, to advance this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Anti-CD19/CD70 Autoimmune Disease Development Program</w:t>
      </w:r>
    </w:p>
    <w:p>
      <w:pPr>
        <w:spacing w:after="0" w:line="13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Autoimmune disease (AID) can affect organs throughout the body. B cells and T cells are two key components of the immune system, each playing distinct roles in the body’s defense against pathogens and in maintaining immune tolerance. Occasionally, B cells and T cells work together to generate production of pathogenic autoantibodies, which are antibodies that target and react with a person’s own tissues or organs and can contribute to AID. Autoantibodies are critical to the pathogenesis of many AIDs. As a result, we believe that disruption of the B cell-T cell network could lead to an effective treatment of AIDs. As noted above, CD19 is an antigen expressed on the surface of B cells, including pathogenic autoreactive B cells. Activated T cells, which upregulate CD70, may contribute to B-cell autoantibody production and can cause direct tissue damage via an autoreactive T cell receptor. Indeed, CD70 expression has been shown to be elevated on some T cells of patients in certain AIDs, suggesting a pathogenic role for CD70+ T cells in AID. Accordingly, we believe progressing allogeneic CAR T cell therapies directed against CD19 and CD70 could be promising in AID indications.</w:t>
      </w:r>
    </w:p>
    <w:p>
      <w:pPr>
        <w:spacing w:after="0" w:line="96"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ALLO-329 is manufactured to express two independent CARs designed to target CD19 and CD70. As illustrated below, a single transgene encoding both the CD19 CAR and the CD70 CAR is targeted for insertion into the TRAC locus using site-specific integration, resulting in uniform expression of both CARs and the lack of TCR expression. ALLO-329 is designed to mediate the depletion of CD19+ B cells and pathogenic T cells that upregulate CD70 expression. CD70 is also upregulated on activated B cells and alloreactive lymphocytes. Therefore, ALLO-329 can also target pathogenic CD70+ B cells and prevent allorejection by eliminating CD70+ alloreactive lymphocytes in the patients. The anti-rejection features of ALLO-329 may help reduce or eliminate the need for lymphodepletion prior to treatment with ALLO-329.</w:t>
      </w:r>
    </w:p>
    <w:p>
      <w:pPr>
        <w:sectPr>
          <w:pgSz w:w="12240" w:h="15840" w:orient="portrait"/>
          <w:cols w:equalWidth="0" w:num="1">
            <w:col w:w="10240"/>
          </w:cols>
          <w:pgMar w:left="1000" w:top="82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18</w:t>
      </w:r>
    </w:p>
    <w:p>
      <w:pPr>
        <w:sectPr>
          <w:pgSz w:w="12240" w:h="15840" w:orient="portrait"/>
          <w:cols w:equalWidth="0" w:num="1">
            <w:col w:w="10240"/>
          </w:cols>
          <w:pgMar w:left="1000" w:top="825" w:right="1000" w:bottom="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3108960</wp:posOffset>
            </wp:positionH>
            <wp:positionV relativeFrom="page">
              <wp:posOffset>542925</wp:posOffset>
            </wp:positionV>
            <wp:extent cx="1554480" cy="2298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5448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Lead Target Indications: Systemic Lupus Erythematosus (SLE),</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Lupus Nephritis, Idiopathic Inflammatory Myopathies, and Systemic Sclerosis</w:t>
      </w:r>
    </w:p>
    <w:p>
      <w:pPr>
        <w:spacing w:after="0" w:line="139"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131313"/>
        </w:rPr>
        <w:t>In January 2025 we announced that the FDA had cleared our IND for a rheumatology basket study of ALLO-329, which we initiated in 2025. Our RESOLUTION trial will evaluate the safety and efficacy of ALLO-329 across multiple autoimmune diseases, including systemic lupus erythematosus (SLE) (including lupus nephritis), idiopathic inflammatory myopathies, and systemic sclerosis. SLE is a chronic, systemic autoimmune disease where the body's immune system mistakenly attacks its own tissues, and is characterized by immune dysregulation, autoantibody production, and inflammation affecting multiple organs. Lupus nephritis (LN) is a serious renal complication of SLE. In LN, the immune system targets the kidneys, leading to inflammation, glomerular damage, and potential renal failure. Idiopathic inflammatory myopathies (IIMs) are a group of rare autoimmune diseases characterized by chronic muscle inflammation and progressive weakness, mainly affecting proximal skeletal muscles. Systemic sclerosis (SSc) is a chronic autoimmune connective tissue disorder characterized by vascular dysfunction, immune dysregulation, and progressive fibrosis affecting the skin and internal organs (lungs, heart, kidneys, and gastrointestinal tract).</w:t>
      </w:r>
    </w:p>
    <w:p>
      <w:pPr>
        <w:spacing w:after="0" w:line="93"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131313"/>
        </w:rPr>
        <w:t>Approximately 330,000 cases of SLE (according to Decision Resources Group), 70,000 cases of IIM (according to The Myositis Association), and 100,000 cases of SSc (according to Bergamasco et al, Dove Medical Pres Limited) are estimated to be diagnosed in the United States. These autoimmune diseases generally require targeted immunosuppressive and symptom-specific treatments. SLE is primarily managed with hydroxychloroquine and NSAIDs for mild cases, while severe disease, such as lupus nephritis, necessitates immunosuppressants like mycophenolate mofetil or cyclophosphamide, with biologics such as belimumab and anifrolumab for refractory cases. IIM (including polymyositis and dermatomyositis) is typically treated with high-dose corticosteroids, often combined with methotrexate or azathioprine, while severe or refractory cases may require IVIG or rituximab. SSc management focuses on symptom control, with calcium channel blockers for Raynaud’s phenomenon, mycophenolate mofetil for interstitial lung disease, and vasodilators like sildenafil or bosentan for pulmonary arterial hypertension. Current treatments for SLE, IIM, and SSc have significant limitations, including broad immunosuppression, long-term toxicity, delayed onset of action, disease progression despite therapy, frequent dosing and refractory cases.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Clinical Development Plan</w:t>
      </w:r>
    </w:p>
    <w:p>
      <w:pPr>
        <w:spacing w:after="0" w:line="139"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131313"/>
        </w:rPr>
        <w:t>We are developing ALLO-329, an allogeneic CAR T cell product candidate targeting both CD19 and CD70 for the treatment of certain autoimmune diseases. Inclusion of an anti-CD70 CAR in ALLO-329 is designed to reduce or eliminate the need for standard chemotherapy by preventing premature rejection while also targeting CD70+ activated lymphocytes, which may play a direct role in AID pathogenesis. The Phase 1 RESOLUTION trial is a 3+3 dose-escalation study enrolling patients across SLE, IIMs, and SSc. The trial is evaluating up to four dose levels, beginning at 20 million CAR T cells, in two parallel dose escalation pathways: one receiving low-intensity lymphodepletion and one receiving no lymphodepletion. For context, competitive CAR T programs are evaluating dose levels ranging from approximately 150 million cells (autologous) to nearly 1 billion cells (allogeneic) and several utilize multi-drug (eg cyclophosphamide + fludarabine) lymphodepletion.</w:t>
      </w:r>
    </w:p>
    <w:p>
      <w:pPr>
        <w:spacing w:after="0" w:line="93"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131313"/>
        </w:rPr>
        <w:t>On April 27, 2025, we announced that ALLO-329 had received three Fast Track Designations (FTD) from the FDA for the treatment of adult patients with SLE, IIM, and SSc. Initial proof-of-concept data from the first patients treated in the first dosing cohorts in both dose escalation pathways are expected in June 2026. The planned data update is expected to include early clinical outcomes and supporting translational data, including disease-related biomarkers, CAR T expansion, and immune reconstitution.</w:t>
      </w:r>
    </w:p>
    <w:p>
      <w:pPr>
        <w:sectPr>
          <w:pgSz w:w="12240" w:h="15840" w:orient="portrait"/>
          <w:cols w:equalWidth="0" w:num="1">
            <w:col w:w="10240"/>
          </w:cols>
          <w:pgMar w:left="1000" w:top="1440" w:right="100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19</w:t>
      </w:r>
    </w:p>
    <w:p>
      <w:pPr>
        <w:sectPr>
          <w:pgSz w:w="12240" w:h="15840" w:orient="portrait"/>
          <w:cols w:equalWidth="0" w:num="1">
            <w:col w:w="10240"/>
          </w:cols>
          <w:pgMar w:left="1000" w:top="1440" w:right="1000" w:bottom="0" w:gutter="0" w:footer="0" w:header="0"/>
          <w:type w:val="continuous"/>
        </w:sectPr>
      </w:pPr>
    </w:p>
    <w:bookmarkStart w:id="23" w:name="page24"/>
    <w:bookmarkEnd w:id="23"/>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Future Opportunities</w:t>
      </w:r>
    </w:p>
    <w:p>
      <w:pPr>
        <w:spacing w:after="0" w:line="139"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 xml:space="preserve">Currently, we remain focused on our three key programs described above. As we advance those programs, we may seek to utilize our allogeneic platform to pursue additional targets of interest, particularly through strategic partnerships. These include the additional targets currently in our pipeline as well as other targets that might be validated in the future, either of which we may seek to combine with our Dagger® technology. For example, we have been developing allogeneic </w:t>
      </w:r>
      <w:r>
        <w:rPr>
          <w:rFonts w:ascii="Times New Roman" w:cs="Times New Roman" w:eastAsia="Times New Roman" w:hAnsi="Times New Roman"/>
          <w:sz w:val="20"/>
          <w:szCs w:val="20"/>
          <w:color w:val="131313"/>
        </w:rPr>
        <w:t>CAR</w:t>
      </w:r>
      <w:r>
        <w:rPr>
          <w:rFonts w:ascii="Times New Roman" w:cs="Times New Roman" w:eastAsia="Times New Roman" w:hAnsi="Times New Roman"/>
          <w:sz w:val="20"/>
          <w:szCs w:val="20"/>
          <w:color w:val="050505"/>
        </w:rPr>
        <w:t xml:space="preserve"> T cell product candidates targeting B-cell maturation antigen (BCMA) for treatment of multiple myeloma (ALLO-715), FLT3 for the treatment of acute myeloid leukemia (ALLO-819), DLL3 for the treatment of small cell lung cancer (ALLO-213), and Claudin 18.2 for the treatment of gastric and pancreatic cancer (ALLO-182).</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Our Manufacturing Strategy</w:t>
      </w:r>
    </w:p>
    <w:p>
      <w:pPr>
        <w:spacing w:after="0" w:line="137"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050505"/>
        </w:rPr>
        <w:t>We have invested resources to optimize our manufacturing process, including the development of improved analytical methods and instrumentation. We plan to continue to invest in process science, product characterization and manufacturing to continuously improve our manufacturing processes, production and supply chain capabilities over time.</w:t>
      </w:r>
    </w:p>
    <w:p>
      <w:pPr>
        <w:spacing w:after="0" w:line="75" w:lineRule="exact"/>
        <w:rPr>
          <w:sz w:val="20"/>
          <w:szCs w:val="20"/>
          <w:color w:val="auto"/>
        </w:rPr>
      </w:pPr>
    </w:p>
    <w:p>
      <w:pPr>
        <w:ind w:right="60" w:firstLine="720"/>
        <w:spacing w:after="0" w:line="264" w:lineRule="auto"/>
        <w:rPr>
          <w:sz w:val="20"/>
          <w:szCs w:val="20"/>
          <w:color w:val="auto"/>
        </w:rPr>
      </w:pPr>
      <w:r>
        <w:rPr>
          <w:rFonts w:ascii="Times New Roman" w:cs="Times New Roman" w:eastAsia="Times New Roman" w:hAnsi="Times New Roman"/>
          <w:sz w:val="20"/>
          <w:szCs w:val="20"/>
          <w:color w:val="050505"/>
        </w:rPr>
        <w:t>Our product candidates are designed and manufactured via platforms comprised of defined unit operations and technologies. Processes are developed from small to larger scales, incorporating compliant procedures to create cGMP conditions. Although we have a platform-based manufacturing model, each product is unique and for each new product candidate, a developmental phase is necessary to individually customize each engineering step and to create a robust procedure that can later be implemented in a cGMP environment to ensure the production of clinical batches. This work is performed in our process development environment to evaluate and assess variability in each step of the process in order to define the most reliable production conditions.</w:t>
      </w:r>
    </w:p>
    <w:p>
      <w:pPr>
        <w:spacing w:after="0" w:line="77"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050505"/>
        </w:rPr>
        <w:t>We are currently utilizing Cell Forge 1 (CF1), our state-of-the-art cell therapy manufacturing facility in Newark, California to manufacture our product candidates. We also utilize separate third-party contractors to manufacture cGMP raw materials that are used for the manufacturing of our product candidates, such as viral vectors that are used to deliver the applicable CAR gene into the T cells. We believe all materials and components utilized in the production of the cell line, viral vector and final T cell product are available from qualified suppliers and suitable for pivotal process development in readiness for registration and commercialization.</w:t>
      </w:r>
    </w:p>
    <w:p>
      <w:pPr>
        <w:spacing w:after="0" w:line="88"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050505"/>
        </w:rPr>
        <w:t>Although we are utilizing CF1 for clinical manufacturing, we may continue to rely on CDMOs and other third parties for the manufacturing and processing of our product candidates in the future. We believe the use of contract manufacturing and testing for our first clinical product candidates has allowed us to rapidly prepare for clinical trials in accordance with our development plans. We plan to maintain a robust supply chain with redundant sources of supply comprised of both internal and external infrastructure. We expect CF1 and third-party manufacturers will be capable of providing and processing sufficient quantities of our product candidates to meet anticipated clinical trial demands.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Strategic Agreements</w:t>
      </w:r>
    </w:p>
    <w:p>
      <w:pPr>
        <w:spacing w:after="0" w:line="137"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Allogene Overland Biopharm (CY) Limited (Allogene Overland), later renamed Overland Therapeutics Inc. (Overland Therapeutics), was initially established as a joint venture by us and Overland Pharmaceuticals (CY) Inc. (Overland) pursuant to a Share Purchase Agreement (Share Purchase Agreement), dated December 14, 2020. Concurrently, on December 14, 2020, we entered into a License Agreement (License Agreement) with Allogene Overland for the purpose of developing, manufacturing and commercializing certain allogeneic CAR T cell therapies (JV Licensed Products) for patients in greater China, Taiwan, South Korea and Singapore (the JV Territory).</w:t>
      </w:r>
    </w:p>
    <w:p>
      <w:pPr>
        <w:spacing w:after="0" w:line="8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On May 24, 2024, we, Overland, and Allogene Overland entered into a Share Exchange Agreement (Share Exchange Agreement) pursuant to which Overland’s cell therapy business merged into Allogene Overland (the Organizational Restructuring).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 In connection with the Organizational Restructuring, on May 24, 2024, we and Allogene Overland PRC, entered into a First Amendment to the License Agreement (the License Amendment) to amend and supplement certain provisions of the License Agreement. Under the License Amendment, we continue to grant Allogene Overland PRC an exclusive license to develop, manufacture, and commercialize the JV Licensed Products in the JV Territory, with us retaining exclusive rights to the JV Licensed Products outside the JV Territory</w:t>
      </w:r>
    </w:p>
    <w:p>
      <w:pPr>
        <w:spacing w:after="0" w:line="96" w:lineRule="exact"/>
        <w:rPr>
          <w:sz w:val="20"/>
          <w:szCs w:val="20"/>
          <w:color w:val="auto"/>
        </w:rPr>
      </w:pPr>
    </w:p>
    <w:p>
      <w:pPr>
        <w:ind w:firstLine="720"/>
        <w:spacing w:after="0" w:line="309" w:lineRule="auto"/>
        <w:rPr>
          <w:sz w:val="20"/>
          <w:szCs w:val="20"/>
          <w:color w:val="auto"/>
        </w:rPr>
      </w:pPr>
      <w:r>
        <w:rPr>
          <w:rFonts w:ascii="Times New Roman" w:cs="Times New Roman" w:eastAsia="Times New Roman" w:hAnsi="Times New Roman"/>
          <w:sz w:val="19"/>
          <w:szCs w:val="19"/>
          <w:color w:val="050505"/>
        </w:rPr>
        <w:t>We have also entered into multiple additional strategic agreements and collaborations, including an Asset Contribution Agreement with Pfizer (the Pfizer Agreement), a License Agreement with Cellectis (the Cellectis Agreement), the Servier</w:t>
      </w:r>
    </w:p>
    <w:p>
      <w:pPr>
        <w:sectPr>
          <w:pgSz w:w="12240" w:h="15840" w:orient="portrait"/>
          <w:cols w:equalWidth="0" w:num="1">
            <w:col w:w="10220"/>
          </w:cols>
          <w:pgMar w:left="1000" w:top="78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20</w:t>
      </w:r>
    </w:p>
    <w:p>
      <w:pPr>
        <w:sectPr>
          <w:pgSz w:w="12240" w:h="15840" w:orient="portrait"/>
          <w:cols w:equalWidth="0" w:num="1">
            <w:col w:w="10220"/>
          </w:cols>
          <w:pgMar w:left="1000" w:top="784" w:right="1020" w:bottom="0" w:gutter="0" w:footer="0" w:header="0"/>
          <w:type w:val="continuous"/>
        </w:sectPr>
      </w:pPr>
    </w:p>
    <w:bookmarkStart w:id="24" w:name="page25"/>
    <w:bookmarkEnd w:id="24"/>
    <w:p>
      <w:pPr>
        <w:ind w:left="10" w:right="600"/>
        <w:spacing w:after="0" w:line="281" w:lineRule="auto"/>
        <w:rPr>
          <w:sz w:val="20"/>
          <w:szCs w:val="20"/>
          <w:color w:val="auto"/>
        </w:rPr>
      </w:pPr>
      <w:r>
        <w:rPr>
          <w:rFonts w:ascii="Times New Roman" w:cs="Times New Roman" w:eastAsia="Times New Roman" w:hAnsi="Times New Roman"/>
          <w:sz w:val="20"/>
          <w:szCs w:val="20"/>
          <w:color w:val="050505"/>
        </w:rPr>
        <w:t>Agreement, a Collaboration and License Agreement (the Notch Agreement) with Notch Therapeutics Inc. (Notch), and a Strategic Collaboration Agreement with Foresight Diagnostics.</w:t>
      </w:r>
    </w:p>
    <w:p>
      <w:pPr>
        <w:spacing w:after="0" w:line="61" w:lineRule="exact"/>
        <w:rPr>
          <w:sz w:val="20"/>
          <w:szCs w:val="20"/>
          <w:color w:val="auto"/>
        </w:rPr>
      </w:pPr>
    </w:p>
    <w:p>
      <w:pPr>
        <w:ind w:left="10" w:right="880" w:firstLine="720"/>
        <w:spacing w:after="0" w:line="281" w:lineRule="auto"/>
        <w:rPr>
          <w:sz w:val="20"/>
          <w:szCs w:val="20"/>
          <w:color w:val="auto"/>
        </w:rPr>
      </w:pPr>
      <w:r>
        <w:rPr>
          <w:rFonts w:ascii="Times New Roman" w:cs="Times New Roman" w:eastAsia="Times New Roman" w:hAnsi="Times New Roman"/>
          <w:sz w:val="20"/>
          <w:szCs w:val="20"/>
          <w:color w:val="050505"/>
        </w:rPr>
        <w:t>For additional information regarding our significant agreements refer to Note 6 in our consolidated financial statements appearing elsewhere in this Annual Report.</w:t>
      </w:r>
    </w:p>
    <w:p>
      <w:pPr>
        <w:spacing w:after="0" w:line="2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50505"/>
        </w:rPr>
        <w:t>Intellectual Property</w:t>
      </w:r>
    </w:p>
    <w:p>
      <w:pPr>
        <w:spacing w:after="0" w:line="137" w:lineRule="exact"/>
        <w:rPr>
          <w:sz w:val="20"/>
          <w:szCs w:val="20"/>
          <w:color w:val="auto"/>
        </w:rPr>
      </w:pPr>
    </w:p>
    <w:p>
      <w:pPr>
        <w:ind w:left="10" w:right="200" w:firstLine="720"/>
        <w:spacing w:after="0" w:line="256" w:lineRule="auto"/>
        <w:rPr>
          <w:sz w:val="20"/>
          <w:szCs w:val="20"/>
          <w:color w:val="auto"/>
        </w:rPr>
      </w:pPr>
      <w:r>
        <w:rPr>
          <w:rFonts w:ascii="Times New Roman" w:cs="Times New Roman" w:eastAsia="Times New Roman" w:hAnsi="Times New Roman"/>
          <w:sz w:val="20"/>
          <w:szCs w:val="20"/>
          <w:color w:val="050505"/>
        </w:rPr>
        <w:t>Our commercial success depends in part on our ability to obtain and maintain proprietary protection for our product candidates, as well as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filing or in-licensing U.S. and foreign patents and applications related to our technology, inventions, and improvements that are important to the development and implementation of our business.</w:t>
      </w:r>
    </w:p>
    <w:p>
      <w:pPr>
        <w:spacing w:after="0" w:line="88" w:lineRule="exact"/>
        <w:rPr>
          <w:sz w:val="20"/>
          <w:szCs w:val="20"/>
          <w:color w:val="auto"/>
        </w:rPr>
      </w:pPr>
    </w:p>
    <w:p>
      <w:pPr>
        <w:ind w:left="10" w:firstLine="720"/>
        <w:spacing w:after="0" w:line="254" w:lineRule="auto"/>
        <w:rPr>
          <w:sz w:val="20"/>
          <w:szCs w:val="20"/>
          <w:color w:val="auto"/>
        </w:rPr>
      </w:pPr>
      <w:r>
        <w:rPr>
          <w:rFonts w:ascii="Times New Roman" w:cs="Times New Roman" w:eastAsia="Times New Roman" w:hAnsi="Times New Roman"/>
          <w:sz w:val="20"/>
          <w:szCs w:val="20"/>
          <w:color w:val="050505"/>
        </w:rPr>
        <w:t>We also rely on trademarks, trade secrets, know-how, continuing technological innovation, confidentiality agreements, and invention assignment agreements to develop and maintain our proprietary position. The confidentiality agreements are designed to protect our proprietary information and the invention assignment agreements are designed to grant us ownership of technologies that are developed for us by our employees, consultants, or other third parties. We seek to preserve the integrity and confidentiality of our data and trade secrets by maintaining physical security of our premises and physical and electronic security of our information technology systems. While we have confidence in our agreements and security measures, either may be breached, and we may not have adequate remedies. In addition, our trade secrets may otherwise become known or independently discovered by competitors.</w:t>
      </w:r>
    </w:p>
    <w:p>
      <w:pPr>
        <w:spacing w:after="0" w:line="93" w:lineRule="exact"/>
        <w:rPr>
          <w:sz w:val="20"/>
          <w:szCs w:val="20"/>
          <w:color w:val="auto"/>
        </w:rPr>
      </w:pPr>
    </w:p>
    <w:p>
      <w:pPr>
        <w:ind w:left="10" w:firstLine="720"/>
        <w:spacing w:after="0" w:line="260" w:lineRule="auto"/>
        <w:rPr>
          <w:sz w:val="20"/>
          <w:szCs w:val="20"/>
          <w:color w:val="auto"/>
        </w:rPr>
      </w:pPr>
      <w:r>
        <w:rPr>
          <w:rFonts w:ascii="Times New Roman" w:cs="Times New Roman" w:eastAsia="Times New Roman" w:hAnsi="Times New Roman"/>
          <w:sz w:val="20"/>
          <w:szCs w:val="20"/>
          <w:color w:val="050505"/>
        </w:rPr>
        <w:t>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using and manufacturing the same.</w:t>
      </w:r>
    </w:p>
    <w:p>
      <w:pPr>
        <w:spacing w:after="0" w:line="83" w:lineRule="exact"/>
        <w:rPr>
          <w:sz w:val="20"/>
          <w:szCs w:val="20"/>
          <w:color w:val="auto"/>
        </w:rPr>
      </w:pPr>
    </w:p>
    <w:p>
      <w:pPr>
        <w:ind w:left="10" w:right="20" w:firstLine="720"/>
        <w:spacing w:after="0" w:line="246" w:lineRule="auto"/>
        <w:rPr>
          <w:sz w:val="20"/>
          <w:szCs w:val="20"/>
          <w:color w:val="auto"/>
        </w:rPr>
      </w:pPr>
      <w:r>
        <w:rPr>
          <w:rFonts w:ascii="Times New Roman" w:cs="Times New Roman" w:eastAsia="Times New Roman" w:hAnsi="Times New Roman"/>
          <w:sz w:val="20"/>
          <w:szCs w:val="20"/>
          <w:color w:val="050505"/>
        </w:rPr>
        <w:t>We are actively building our intellectual property portfolio around our product candidates and our discovery programs, based on our own intellectual property as well as licensed intellectual property. Following the execution of the Pfizer Agreement, we are the owner of, co-owner of, or the licensee of multiple patents and patent applications in the United States and worldwide. These licensed assets include rights to the Cellectis TALEN</w:t>
      </w:r>
      <w:r>
        <w:rPr>
          <w:rFonts w:ascii="Times New Roman" w:cs="Times New Roman" w:eastAsia="Times New Roman" w:hAnsi="Times New Roman"/>
          <w:sz w:val="25"/>
          <w:szCs w:val="25"/>
          <w:color w:val="050505"/>
          <w:vertAlign w:val="superscript"/>
        </w:rPr>
        <w:t>®</w:t>
      </w:r>
      <w:r>
        <w:rPr>
          <w:rFonts w:ascii="Times New Roman" w:cs="Times New Roman" w:eastAsia="Times New Roman" w:hAnsi="Times New Roman"/>
          <w:sz w:val="20"/>
          <w:szCs w:val="20"/>
          <w:color w:val="050505"/>
        </w:rPr>
        <w:t xml:space="preserve"> gene-editing technology to engineer T cells that lack functional TCRs and to inactivate the CD52 gene in donor cells. We have exclusive worldwide rights to these patents for certain antigen targets, including BCMA, CD70, FLT3, DLL3 and Claudin 18.2, and have U.S., EU, and UK rights to these patents for cema-cel. We also have rights to Cellectis intellectual property for technology covering an engineered T cell therapy combining CD52 gene knockout in combination with an anti-CD52 antibody for certain products directed against certain antigen targets. For our lead programs, our patent rights are generally composed of patents and pending patent applications that are solely owned by us, co-owned with Servier, co-owned with Cellectis, co-owned with Pfizer, exclusively licensed from Pfizer, exclusively licensed from Servier, or exclusively licensed from Cellectis.</w:t>
      </w:r>
    </w:p>
    <w:p>
      <w:pPr>
        <w:spacing w:after="0" w:line="8" w:lineRule="exact"/>
        <w:rPr>
          <w:sz w:val="20"/>
          <w:szCs w:val="20"/>
          <w:color w:val="auto"/>
        </w:rPr>
      </w:pPr>
    </w:p>
    <w:p>
      <w:pPr>
        <w:ind w:left="10" w:right="40" w:firstLine="720"/>
        <w:spacing w:after="0" w:line="248" w:lineRule="auto"/>
        <w:rPr>
          <w:sz w:val="20"/>
          <w:szCs w:val="20"/>
          <w:color w:val="auto"/>
        </w:rPr>
      </w:pPr>
      <w:r>
        <w:rPr>
          <w:rFonts w:ascii="Times New Roman" w:cs="Times New Roman" w:eastAsia="Times New Roman" w:hAnsi="Times New Roman"/>
          <w:sz w:val="19"/>
          <w:szCs w:val="19"/>
          <w:color w:val="050505"/>
        </w:rPr>
        <w:t>Our patent portfolio includes protection for our clinical-stage product candidates, ALLO-501, cema-cel, ALLO-316, ALLO-329, ALLO-715, and ALLO-605, as well as our research-stage candidates. With respect to cema-cel, we have an exclusive license from Servier to patent rights in the United States covering compositions of matter of and methods of making and using cema-cel. With respect to ALLO-715, ALLO-605 and ALLO-316, we have an exclusive license from Pfizer to patent rights covering ALLO-715, ALLO-605, and ALLO-316 in the United States and in foreign jurisdictions. These rights cover compositions of matter of and methods of making and using ALLO-715, ALLO-605 and ALLO-316. We also have patent</w:t>
      </w:r>
    </w:p>
    <w:p>
      <w:pPr>
        <w:spacing w:after="0" w:line="5" w:lineRule="exact"/>
        <w:rPr>
          <w:sz w:val="20"/>
          <w:szCs w:val="20"/>
          <w:color w:val="auto"/>
        </w:rPr>
      </w:pPr>
    </w:p>
    <w:p>
      <w:pPr>
        <w:ind w:left="10" w:right="200"/>
        <w:spacing w:after="0" w:line="224" w:lineRule="auto"/>
        <w:rPr>
          <w:sz w:val="20"/>
          <w:szCs w:val="20"/>
          <w:color w:val="auto"/>
        </w:rPr>
      </w:pPr>
      <w:r>
        <w:rPr>
          <w:rFonts w:ascii="Times New Roman" w:cs="Times New Roman" w:eastAsia="Times New Roman" w:hAnsi="Times New Roman"/>
          <w:sz w:val="19"/>
          <w:szCs w:val="19"/>
          <w:color w:val="050505"/>
        </w:rPr>
        <w:t>rights to the TurboCAR™ and Dagger</w:t>
      </w:r>
      <w:r>
        <w:rPr>
          <w:rFonts w:ascii="Times New Roman" w:cs="Times New Roman" w:eastAsia="Times New Roman" w:hAnsi="Times New Roman"/>
          <w:sz w:val="24"/>
          <w:szCs w:val="24"/>
          <w:color w:val="050505"/>
          <w:vertAlign w:val="superscript"/>
        </w:rPr>
        <w:t>®</w:t>
      </w:r>
      <w:r>
        <w:rPr>
          <w:rFonts w:ascii="Times New Roman" w:cs="Times New Roman" w:eastAsia="Times New Roman" w:hAnsi="Times New Roman"/>
          <w:sz w:val="19"/>
          <w:szCs w:val="19"/>
          <w:color w:val="050505"/>
        </w:rPr>
        <w:t xml:space="preserve"> technologies solely owned by us, including technology that covers the TurboCAR™ construct that is part of ALLO-605, and the Dagger</w:t>
      </w:r>
      <w:r>
        <w:rPr>
          <w:rFonts w:ascii="Times New Roman" w:cs="Times New Roman" w:eastAsia="Times New Roman" w:hAnsi="Times New Roman"/>
          <w:sz w:val="24"/>
          <w:szCs w:val="24"/>
          <w:color w:val="050505"/>
          <w:vertAlign w:val="superscript"/>
        </w:rPr>
        <w:t>®</w:t>
      </w:r>
      <w:r>
        <w:rPr>
          <w:rFonts w:ascii="Times New Roman" w:cs="Times New Roman" w:eastAsia="Times New Roman" w:hAnsi="Times New Roman"/>
          <w:sz w:val="19"/>
          <w:szCs w:val="19"/>
          <w:color w:val="050505"/>
        </w:rPr>
        <w:t xml:space="preserve"> construct that is part of ALLO-329. More generally, our patent portfolio and filing strategy is designed to provide multiple layers of protection by pursuing claims directed toward, for example: (1) antigen binding domains directed to the targets of our product candidates; (2) CAR constructs used in our product candidates;</w:t>
      </w:r>
    </w:p>
    <w:p>
      <w:pPr>
        <w:spacing w:after="0" w:line="4" w:lineRule="exact"/>
        <w:rPr>
          <w:sz w:val="20"/>
          <w:szCs w:val="20"/>
          <w:color w:val="auto"/>
        </w:rPr>
      </w:pPr>
    </w:p>
    <w:p>
      <w:pPr>
        <w:ind w:left="10" w:right="680" w:hanging="10"/>
        <w:spacing w:after="0" w:line="242" w:lineRule="auto"/>
        <w:tabs>
          <w:tab w:leader="none" w:pos="293" w:val="left"/>
        </w:tabs>
        <w:numPr>
          <w:ilvl w:val="0"/>
          <w:numId w:val="2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methods of treatment for therapeutic indications; (4) manufacturing processes, preconditioning methods, and dosing regimens; and (5) immune evasion and other gene and cell engineering technology.</w:t>
      </w:r>
    </w:p>
    <w:p>
      <w:pPr>
        <w:spacing w:after="0" w:line="82" w:lineRule="exact"/>
        <w:rPr>
          <w:sz w:val="20"/>
          <w:szCs w:val="20"/>
          <w:color w:val="auto"/>
        </w:rPr>
      </w:pPr>
    </w:p>
    <w:p>
      <w:pPr>
        <w:ind w:left="10" w:right="40" w:firstLine="720"/>
        <w:spacing w:after="0" w:line="254" w:lineRule="auto"/>
        <w:rPr>
          <w:sz w:val="20"/>
          <w:szCs w:val="20"/>
          <w:color w:val="auto"/>
        </w:rPr>
      </w:pPr>
      <w:r>
        <w:rPr>
          <w:rFonts w:ascii="Times New Roman" w:cs="Times New Roman" w:eastAsia="Times New Roman" w:hAnsi="Times New Roman"/>
          <w:sz w:val="20"/>
          <w:szCs w:val="20"/>
          <w:color w:val="050505"/>
        </w:rPr>
        <w:t>The term of individual patents depends upon the legal term of the patents in the countries in which they are obtained. In most countries in which we file, the patent term, generally, is 20 years from the date of filing of the first non-provisional application to which priority is claimed. In the United States, patent term may be lengthened by patent term adjustment, which compensates a patentee for administrative delays by the United States Patent and Trademark Office in granting a patent, or may be shortened if a patent is terminally disclaimed over an earlier-filed patent. In the United States, the term of a patent that covers an FDA-approved drug may also be eligible for a patent term extension of up to five years under the Hatch-Waxman Act, which is designed to compensate for the patent term lost during the FDA regulatory review process. The length of the patent term extension involves a complex calculation based on the length of time it takes for regulatory review. A patent term extension under the Hatch-Waxman Act cannot extend the remaining term of a patent beyond a total of 14 years from the date</w:t>
      </w:r>
    </w:p>
    <w:p>
      <w:pPr>
        <w:sectPr>
          <w:pgSz w:w="12240" w:h="15840" w:orient="portrait"/>
          <w:cols w:equalWidth="0" w:num="1">
            <w:col w:w="10250"/>
          </w:cols>
          <w:pgMar w:left="990" w:top="793" w:right="1000" w:bottom="0" w:gutter="0" w:footer="0" w:header="0"/>
        </w:sectPr>
      </w:pPr>
    </w:p>
    <w:p>
      <w:pPr>
        <w:spacing w:after="0" w:line="3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050505"/>
        </w:rPr>
        <w:t>21</w:t>
      </w:r>
    </w:p>
    <w:p>
      <w:pPr>
        <w:sectPr>
          <w:pgSz w:w="12240" w:h="15840" w:orient="portrait"/>
          <w:cols w:equalWidth="0" w:num="1">
            <w:col w:w="10250"/>
          </w:cols>
          <w:pgMar w:left="990" w:top="793" w:right="1000" w:bottom="0" w:gutter="0" w:footer="0" w:header="0"/>
          <w:type w:val="continuous"/>
        </w:sectPr>
      </w:pPr>
    </w:p>
    <w:bookmarkStart w:id="25" w:name="page26"/>
    <w:bookmarkEnd w:id="25"/>
    <w:p>
      <w:pPr>
        <w:ind w:right="280"/>
        <w:spacing w:after="0" w:line="260" w:lineRule="auto"/>
        <w:rPr>
          <w:sz w:val="20"/>
          <w:szCs w:val="20"/>
          <w:color w:val="auto"/>
        </w:rPr>
      </w:pPr>
      <w:r>
        <w:rPr>
          <w:rFonts w:ascii="Times New Roman" w:cs="Times New Roman" w:eastAsia="Times New Roman" w:hAnsi="Times New Roman"/>
          <w:sz w:val="20"/>
          <w:szCs w:val="20"/>
          <w:color w:val="050505"/>
        </w:rPr>
        <w:t>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certain other foreign jurisdictions to extend the term of a patent that covers an approved drug.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Competition</w:t>
      </w:r>
    </w:p>
    <w:p>
      <w:pPr>
        <w:spacing w:after="0" w:line="13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Oncology is a highly competitive market for drug development. If successfully developed, our products will compete with therapies that have been developed or are in development at biopharmaceutical companies, academic research institutions, governmental agencies and public and private research institutions. We anticipate increasing competition from existing and new cell-based therapies, including products that are both autologous and allogeneic in nature. We also anticipate competition from other therapeutic modalities, including antibodies, bispecific T cell engagers, antibody drug conjugates, and small molecule therapeutics. In particular, the rapid development and commercialization of bispecific antibodies and other “off-the-shelf” immune oncology products may reduce the number of patients eligible for, or willing to receive, cell therapy, may shift treatment sequencing and standards of care, and may intensify pricing and reimbursement pressures, any of which could adversely affect enrollment in our clinical trials and, if approved, the commercial adoption of our product candidates.</w:t>
      </w:r>
    </w:p>
    <w:p>
      <w:pPr>
        <w:spacing w:after="0" w:line="8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Autologous T cell therapies directed at CD19 have been commercialized by Novartis, Kite/Gilead and Bristol-Myers Squibb Company (BMS) and are witnessing increased adoption in the marketplace. In August 2017, Novartis obtained FDA approval to commercialize Kymriah® for the treatment of children and young adults with B-cell ALL that is refractory or has relapsed at least twice. In May 2018, Kymriah® received FDA approval for adults with certain types of LBCL who have not responded to, or who have relapsed after, at least two other types of systemic treatment (3rd-line LBCL), and in May 2022, Kymriah® received FDA approval for the treatment of adult patients with relapsed or refractory follicular lymphoma (FL) after two or more lines of systemic therapy. In October 2017, Kite/Gilead obtained FDA approval to commercialize Yescarta®, for the treatment of adult patients with 3rd-line LBCL. This was followed by approval of Yescarta® for R/R FL in March 2021 and approval of 2nd-line LBCL in April 2022. Kite has also received FDA approval for a second autologous CD19-directed T cell therapy, Tecartus®, for use in patients with R/R mantle cell lymphoma and adult patients with R/R B-cell ALL. In February 2021, BMS obtained FDA approval for its anti-CD19 autologous T cell therapy, Breyanzi® for the treatment of adults with 3rd-line LBCL. The Breyanzi® label was extended to 2nd-line LBCL in June 2022, R/R Chronic Lymphocytic Leukemia (CLL) in March 2024, R/R FL in May 2024, and R/R Mantle Cell Lymphoma (MCL) in May 2024. In November 2024, Autolus Therapeutics obtained FDA approval for its anti-CD19 autologous T cell therapy, Aucatzyl® (obecabtagene autoleucel), for adults with relapsed or refractory B-cell precursor ALL.</w:t>
      </w:r>
    </w:p>
    <w:p>
      <w:pPr>
        <w:spacing w:after="0" w:line="98"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Autologous cell therapies directed at BCMA have been commercialized by BMS and Janssen, a Johnson &amp; Johnson company. In March 2021, BMS and partner 2seventy bio, Inc. received FDA approval of Abecma®, an anti-BCMA autologous T cell therapy, for the treatment of adult patients with multiple myeloma who have received at least four prior therapies. Janssen and partner Legend Bio received approval for Carvykti®, an anti-BCMA autologous T cell therapy, for the same indication in February 2022. Both Abecma® and Carvykti® have succeeded in pivotal trials in earlier lines of R/R myeloma and have gained label extensions into this market in 2024.</w:t>
      </w:r>
    </w:p>
    <w:p>
      <w:pPr>
        <w:spacing w:after="0" w:line="88"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050505"/>
        </w:rPr>
        <w:t>Autologous T cell therapies are being developed by a number of additional companies, including but not limited to 2seventy bio, Inc., Adaptimmune Therapeutics PLC, Alaunos Therapeutics, Inc., Arcellx, Inc., Arsenal Biosciences, Inc., AstraZeneca plc, Autolus Therapeutics plc, Eureka Therapeutics, Inc., Galapagos NV, Gilead Sciences, Inc., Instil Bio, Inc., Iovance Biotherapeutics, Inc., Legend Biotech Corp., Lyell Immunopharma Inc., Mustang Bio, Inc., Triumvira Immunologics, and TScan Therapeutics, Inc.</w:t>
      </w:r>
    </w:p>
    <w:p>
      <w:pPr>
        <w:spacing w:after="0" w:line="84"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050505"/>
        </w:rPr>
        <w:t>Autologous CAR T therapy has made significant advances in addressing R/R NHL, and has moved to earlier lines of therapy, as further described above. We do not, however, believe that autologous CAR T therapy will be a viable option in the 1L consolidation setting because of the reduced T cell counts in patients who have recently completed 1L therapy as well as lengthy lead time for the individualized manufacturing process for autologous CAR T. Once it is determined that a patient is MRD positive following standard 1L treatment, we believe that the speed at which a patient is treated with CAR T therapy will enhance response rates. Published results of front-line chemotherapy outcomes suggest that MRD positive patients are likely to progress, and some patients may do so very quickly (i.e., within a matter of weeks after completing 1L therapy). Furthermore, data suggests that patients who have low burden of disease when they receive CAR T cells tend to have better safety and efficacy outcomes, including lower rates of CRS and more durable remissions. As a result, we believe that it will be important that patients receive CAR T therapy as soon as possible following an MRD positive diagnosis, which will not allow for the lengthy manufacturing process of autologous CAR T.</w:t>
      </w:r>
    </w:p>
    <w:p>
      <w:pPr>
        <w:spacing w:after="0" w:line="93"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050505"/>
        </w:rPr>
        <w:t>In addition, a number of companies are developing in vivo approaches intended to generate CAR T cells inside the patient by delivering genetic payloads (for example, mRNA encoding a CAR) to immune cells using delivery systems such as targeted lipid nanoparticles, with the goal of avoiding ex vivo cell collection and individualized manufacturing. These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22</w:t>
      </w:r>
    </w:p>
    <w:p>
      <w:pPr>
        <w:sectPr>
          <w:pgSz w:w="12240" w:h="15840" w:orient="portrait"/>
          <w:cols w:equalWidth="0" w:num="1">
            <w:col w:w="10240"/>
          </w:cols>
          <w:pgMar w:left="1000" w:top="793" w:right="1000" w:bottom="0" w:gutter="0" w:footer="0" w:header="0"/>
          <w:type w:val="continuous"/>
        </w:sectPr>
      </w:pPr>
    </w:p>
    <w:bookmarkStart w:id="26" w:name="page27"/>
    <w:bookmarkEnd w:id="26"/>
    <w:p>
      <w:pPr>
        <w:ind w:right="20"/>
        <w:spacing w:after="0" w:line="266" w:lineRule="auto"/>
        <w:rPr>
          <w:sz w:val="20"/>
          <w:szCs w:val="20"/>
          <w:color w:val="auto"/>
        </w:rPr>
      </w:pPr>
      <w:r>
        <w:rPr>
          <w:rFonts w:ascii="Times New Roman" w:cs="Times New Roman" w:eastAsia="Times New Roman" w:hAnsi="Times New Roman"/>
          <w:sz w:val="20"/>
          <w:szCs w:val="20"/>
          <w:color w:val="050505"/>
        </w:rPr>
        <w:t>approaches are early-stage and face significant development challenges (including targeted delivery, control of CAR expression and persistence, safety, and scalability of delivery platforms), but if successful, they could broaden use of CAR T therapy in both oncology and autoimmune disease and therefore may compete with our programs.</w:t>
      </w:r>
    </w:p>
    <w:p>
      <w:pPr>
        <w:spacing w:after="0" w:line="7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Allogeneic T cell products have yet to receive FDA approval though the number of companies developing allogeneic product candidates is substantial. These include AstraZeneca, plc, Atara Biotherapeutics, Inc., Beam Therapeutics, Inc., Caribou Biosciences, Inc., CRISPR Therapeutics AG, Editas Medicine, Inc., F. Hoffmann-La Roche AG, Fate Therapeutics, Inc., Gilead Sciences, Inc., Imugene Ltd., Intellia Therapeutics, Inc., Legend Biotech Corp., Precision Biosciences, Inc., and Sana Biotechnology, Inc. Some of the allogeneic T cell candidates under development target the same antigens that are part of our clinical pipeline, such as CD19, BCMA and CD70. Additionally, Cellectis has several fully-owned allogeneic CAR T programs that could compete with programs that fall outside our agreement with Cellectis.</w:t>
      </w:r>
    </w:p>
    <w:p>
      <w:pPr>
        <w:spacing w:after="0" w:line="90"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050505"/>
        </w:rPr>
        <w:t>There are also cell therapies under development that are based upon cell types other than the common type of T cells used by us and known as alpha/beta T cells. These include product candidates derived from natural killer cells, natural killer T cells, gamma/delta T cells and macrophage cells. Companies developing such therapies include Adicet Bio, Inc., Artiva Biotherapeutics, Inc., Carisma Therapeutics, Inc., Cytovia Therapeutics, Inc., Celularity, Inc., Century Therapeutics, Inc., Fate Therapeutics, Inc., Gamida Cell Ltd., In8bio, Inc., Lyell Immunopharma, Inc., Nkarta, Inc., Shoreline Bio, Inc., and Takeda Pharmaceutical Company Limited.</w:t>
      </w:r>
    </w:p>
    <w:p>
      <w:pPr>
        <w:spacing w:after="0" w:line="8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Competition may also arise from non-cell based immune oncology platforms. For instance, we may experience competition from companies, such as AbbVie, Inc., Amgen Inc., BMS, Compass Therapeutics, Inc., F. Hoffmann-La Roche AG, Genmab A/S, GlaxoSmithKline plc, Immunocore Holdings plc, Johnson &amp; Johnson, MacroGenics, Inc., Merck &amp; Co. Inc., Merus N.V., Pfizer, Regeneron Pharmaceuticals, Inc., and Xencor Inc., that are pursuing bispecific T cell engagers that target both the cancer antigen and T cell receptor, thus bringing both cancer cells and T cells in close proximity to maximize the likelihood of an immune response to the cancer cells. Bi-specific T cell engagers targeting BCMA for myeloma and CD20 for lymphoma have advanced rapidly in development, with initial FDA approvals beginning in 2022, and additional products approved since that time. These therapies may be administered without individualized cell collection and manufacturing, and in some settings may be used before, after, or instead of cell therapies. As a result, bispecific therapies may reduce the addressable patient population for our product candidates, compete for physician and patient preference based on convenience or risk-benefit profile, and contribute to increased pricing and reimbursement pressure. Additionally, companies, such as ADC Therapeutics SA, Amgen Inc., Daiichi Sankyo Company, Limited, Gilead Sciences, Inc., GlaxoSmithKline plc, ImmunoGen, Inc., Pfizer Inc., Regeneron Pharmaceuticals, Inc., and Sutro Biopharma, Inc. are pursuing antibody drug conjugates, which utilize the targeting ability of antibodies to deliver cell-killing agents directly to cancer cells.</w:t>
      </w:r>
    </w:p>
    <w:p>
      <w:pPr>
        <w:spacing w:after="0" w:line="99" w:lineRule="exact"/>
        <w:rPr>
          <w:sz w:val="20"/>
          <w:szCs w:val="20"/>
          <w:color w:val="auto"/>
        </w:rPr>
      </w:pPr>
    </w:p>
    <w:p>
      <w:pPr>
        <w:ind w:firstLine="720"/>
        <w:spacing w:after="0" w:line="264" w:lineRule="auto"/>
        <w:rPr>
          <w:sz w:val="20"/>
          <w:szCs w:val="20"/>
          <w:color w:val="auto"/>
        </w:rPr>
      </w:pPr>
      <w:r>
        <w:rPr>
          <w:rFonts w:ascii="Times New Roman" w:cs="Times New Roman" w:eastAsia="Times New Roman" w:hAnsi="Times New Roman"/>
          <w:sz w:val="20"/>
          <w:szCs w:val="20"/>
          <w:color w:val="050505"/>
        </w:rPr>
        <w:t>In addition to the significant competition noted above in oncology markets, as early data in the use of CAR T cell therapy for the treatment of autoimmune disease has been emerging since 2022, there have been many companies initiating autologous and/or allogeneic cell therapy development programs that would be in direct competition to our autoimmune program. For example, we may experience competition in these markets from companies such as Adicet Bio, Inc., Arcellx, Inc., Atara Biotherapeutics, Inc., Autolus Therapeutics plc, BMS, Cabaletta Bio, Inc., Caribou Biosciences, Inc., Cartesian Therapeutics, Inc., CRISPR Therapeutics AG, Fate Therapeutics, Inc., Gracell Biotechnologies, Inc., ImmPACT Bio USA, Inc., Kyverna Therapeutics, Inc., Nkarta, Inc., Novartis, Sana Biotechnology, Inc., and TG Therapeutics Inc.</w:t>
      </w:r>
    </w:p>
    <w:p>
      <w:pPr>
        <w:spacing w:after="0" w:line="77"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050505"/>
        </w:rPr>
        <w:t>Many of our competitors, either alone or with their collaboration partners,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w:t>
      </w:r>
    </w:p>
    <w:p>
      <w:pPr>
        <w:spacing w:after="0" w:line="83"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Our commercial potential could be reduced or eliminated if our competitors develop and commercialize products that are better tolerated,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 key competitive factors affecting the success of all of our programs are likely to be efficacy, safety, convenience, and cost of manufacturing.</w:t>
      </w:r>
    </w:p>
    <w:p>
      <w:pPr>
        <w:spacing w:after="0" w:line="88" w:lineRule="exact"/>
        <w:rPr>
          <w:sz w:val="20"/>
          <w:szCs w:val="20"/>
          <w:color w:val="auto"/>
        </w:rPr>
      </w:pPr>
    </w:p>
    <w:p>
      <w:pPr>
        <w:ind w:right="520" w:firstLine="720"/>
        <w:spacing w:after="0" w:line="266" w:lineRule="auto"/>
        <w:rPr>
          <w:sz w:val="20"/>
          <w:szCs w:val="20"/>
          <w:color w:val="auto"/>
        </w:rPr>
      </w:pPr>
      <w:r>
        <w:rPr>
          <w:rFonts w:ascii="Times New Roman" w:cs="Times New Roman" w:eastAsia="Times New Roman" w:hAnsi="Times New Roman"/>
          <w:sz w:val="20"/>
          <w:szCs w:val="20"/>
          <w:color w:val="050505"/>
        </w:rPr>
        <w:t>These competitors may also vie for a similar pool of qualified scientific and management talent, sites and patient populations for clinical trials, and investor capital, as well as for technologies complementary to, or necessary for, our programs.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23</w:t>
      </w:r>
    </w:p>
    <w:p>
      <w:pPr>
        <w:sectPr>
          <w:pgSz w:w="12240" w:h="15840" w:orient="portrait"/>
          <w:cols w:equalWidth="0" w:num="1">
            <w:col w:w="10240"/>
          </w:cols>
          <w:pgMar w:left="1000" w:top="793" w:right="100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050505"/>
        </w:rPr>
        <w:t>Government Regulation and Product Approval</w:t>
      </w:r>
    </w:p>
    <w:p>
      <w:pPr>
        <w:spacing w:after="0" w:line="13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As a biopharmaceutical company that operates in the United States, we are subject to extensive regulation. Our cell products will be regulated as biologics. With this classification, commercial production of our products will need to occur in registered facilities in compliance with cGMP for biologics. The FDA categorizes human cell- or tissue-based products as either minimally manipulated or more than minimally manipulated, and has determined that more than minimally manipulated products require clinical trials to demonstrate product safety and efficacy and the submission of a biologics license application (BLA) for marketing authorization. Our products are considered more than minimally manipulated and will require evaluation in clinical trials and the submission and approval of a BLA before we can market them.</w:t>
      </w:r>
    </w:p>
    <w:p>
      <w:pPr>
        <w:spacing w:after="0" w:line="90" w:lineRule="exact"/>
        <w:rPr>
          <w:sz w:val="20"/>
          <w:szCs w:val="20"/>
          <w:color w:val="auto"/>
        </w:rPr>
      </w:pPr>
    </w:p>
    <w:p>
      <w:pPr>
        <w:ind w:right="20" w:firstLine="720"/>
        <w:spacing w:after="0" w:line="268" w:lineRule="auto"/>
        <w:rPr>
          <w:sz w:val="20"/>
          <w:szCs w:val="20"/>
          <w:color w:val="auto"/>
        </w:rPr>
      </w:pPr>
      <w:r>
        <w:rPr>
          <w:rFonts w:ascii="Times New Roman" w:cs="Times New Roman" w:eastAsia="Times New Roman" w:hAnsi="Times New Roman"/>
          <w:sz w:val="19"/>
          <w:szCs w:val="19"/>
          <w:color w:val="050505"/>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U.S. Product Development Process</w:t>
      </w:r>
    </w:p>
    <w:p>
      <w:pPr>
        <w:spacing w:after="0" w:line="134"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In the United States, the FDA regulates pharmaceutical and biological products under the Federal Food, Drug and Cosmetic Act (FDCA), the Public Health Service Act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We have been placed on clinical hold previously and any future agency or judicial enforcement action could have a material adverse effect on us. The process required by the FDA before a biological product may be marketed in the United States generally involves the following:</w:t>
      </w:r>
    </w:p>
    <w:p>
      <w:pPr>
        <w:spacing w:after="0" w:line="93" w:lineRule="exact"/>
        <w:rPr>
          <w:sz w:val="20"/>
          <w:szCs w:val="20"/>
          <w:color w:val="auto"/>
        </w:rPr>
      </w:pPr>
    </w:p>
    <w:p>
      <w:pPr>
        <w:ind w:left="720" w:right="560" w:hanging="370"/>
        <w:spacing w:after="0" w:line="281" w:lineRule="auto"/>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completion of nonclinical laboratory tests and animal studies according to good laboratory practices (GLPs) and applicable requirements for the humane use of laboratory animals or other applicable regulations;</w:t>
      </w:r>
    </w:p>
    <w:p>
      <w:pPr>
        <w:spacing w:after="0" w:line="61"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submission to the FDA of an IND, which must become effective before human clinical trials may begin;</w:t>
      </w:r>
    </w:p>
    <w:p>
      <w:pPr>
        <w:spacing w:after="0" w:line="130" w:lineRule="exact"/>
        <w:rPr>
          <w:rFonts w:ascii="Times New Roman" w:cs="Times New Roman" w:eastAsia="Times New Roman" w:hAnsi="Times New Roman"/>
          <w:sz w:val="20"/>
          <w:szCs w:val="20"/>
          <w:color w:val="050505"/>
        </w:rPr>
      </w:pPr>
    </w:p>
    <w:p>
      <w:pPr>
        <w:ind w:left="720" w:right="160" w:hanging="370"/>
        <w:spacing w:after="0" w:line="281" w:lineRule="auto"/>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approval by an independent Institutional Review Board (IRB) or ethics committee at each clinical site before the trial is commenced;</w:t>
      </w:r>
    </w:p>
    <w:p>
      <w:pPr>
        <w:spacing w:after="0" w:line="61" w:lineRule="exact"/>
        <w:rPr>
          <w:rFonts w:ascii="Times New Roman" w:cs="Times New Roman" w:eastAsia="Times New Roman" w:hAnsi="Times New Roman"/>
          <w:sz w:val="20"/>
          <w:szCs w:val="20"/>
          <w:color w:val="050505"/>
        </w:rPr>
      </w:pPr>
    </w:p>
    <w:p>
      <w:pPr>
        <w:ind w:left="720" w:right="400" w:hanging="370"/>
        <w:spacing w:after="0" w:line="260" w:lineRule="auto"/>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performance of adequate and well-controlled human clinical trials according to the FDA’s regulations commonly referred to as good clinical practices (GCPs) and any additional requirements for the protection of human research patients and their health information, to establish the safety and efficacy of the proposed biological product for its intended use;</w:t>
      </w:r>
    </w:p>
    <w:p>
      <w:pPr>
        <w:spacing w:after="0" w:line="83" w:lineRule="exact"/>
        <w:rPr>
          <w:rFonts w:ascii="Times New Roman" w:cs="Times New Roman" w:eastAsia="Times New Roman" w:hAnsi="Times New Roman"/>
          <w:sz w:val="20"/>
          <w:szCs w:val="20"/>
          <w:color w:val="050505"/>
        </w:rPr>
      </w:pPr>
    </w:p>
    <w:p>
      <w:pPr>
        <w:ind w:left="720" w:right="420" w:hanging="370"/>
        <w:spacing w:after="0" w:line="266" w:lineRule="auto"/>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submission to the FDA of a BLA for marketing approval that includes substantial evidence of safety, purity, and potency from results of nonclinical testing and clinical trials, and which is validated as complete for review by the FDA;</w:t>
      </w:r>
    </w:p>
    <w:p>
      <w:pPr>
        <w:spacing w:after="0" w:line="75"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satisfactory completion of an FDA Advisory Committee review, if applicable;</w:t>
      </w:r>
    </w:p>
    <w:p>
      <w:pPr>
        <w:spacing w:after="0" w:line="130" w:lineRule="exact"/>
        <w:rPr>
          <w:rFonts w:ascii="Times New Roman" w:cs="Times New Roman" w:eastAsia="Times New Roman" w:hAnsi="Times New Roman"/>
          <w:sz w:val="20"/>
          <w:szCs w:val="20"/>
          <w:color w:val="050505"/>
        </w:rPr>
      </w:pPr>
    </w:p>
    <w:p>
      <w:pPr>
        <w:ind w:left="720" w:hanging="370"/>
        <w:spacing w:after="0" w:line="260" w:lineRule="auto"/>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 and, if applicable, the FDA’s current good tissue practices (GTPs) for the use of human cellular and tissue products;</w:t>
      </w:r>
    </w:p>
    <w:p>
      <w:pPr>
        <w:spacing w:after="0" w:line="83"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potential FDA audit of the nonclinical study and clinical trial sites that generated the data in support of the BLA; and</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FDA review and approval, or licensure, of the BLA.</w:t>
      </w:r>
    </w:p>
    <w:p>
      <w:pPr>
        <w:spacing w:after="0" w:line="130" w:lineRule="exact"/>
        <w:rPr>
          <w:sz w:val="20"/>
          <w:szCs w:val="20"/>
          <w:color w:val="auto"/>
        </w:rPr>
      </w:pPr>
    </w:p>
    <w:p>
      <w:pPr>
        <w:ind w:right="260" w:firstLine="720"/>
        <w:spacing w:after="0" w:line="309" w:lineRule="auto"/>
        <w:rPr>
          <w:sz w:val="20"/>
          <w:szCs w:val="20"/>
          <w:color w:val="auto"/>
        </w:rPr>
      </w:pPr>
      <w:r>
        <w:rPr>
          <w:rFonts w:ascii="Times New Roman" w:cs="Times New Roman" w:eastAsia="Times New Roman" w:hAnsi="Times New Roman"/>
          <w:sz w:val="19"/>
          <w:szCs w:val="19"/>
          <w:color w:val="050505"/>
        </w:rPr>
        <w:t>Before testing any biological product candidate, including our product candidates, in humans, the product candidate enters the preclinical testing stage. Preclinical tests, also referred to as nonclinical studies, include laboratory evaluations of</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24</w:t>
      </w:r>
    </w:p>
    <w:p>
      <w:pPr>
        <w:sectPr>
          <w:pgSz w:w="12240" w:h="15840" w:orient="portrait"/>
          <w:cols w:equalWidth="0" w:num="1">
            <w:col w:w="10240"/>
          </w:cols>
          <w:pgMar w:left="1000" w:top="786" w:right="1000" w:bottom="0" w:gutter="0" w:footer="0" w:header="0"/>
          <w:type w:val="continuous"/>
        </w:sectPr>
      </w:pPr>
    </w:p>
    <w:bookmarkStart w:id="28" w:name="page29"/>
    <w:bookmarkEnd w:id="28"/>
    <w:p>
      <w:pPr>
        <w:ind w:right="20"/>
        <w:spacing w:after="0" w:line="268" w:lineRule="auto"/>
        <w:rPr>
          <w:sz w:val="20"/>
          <w:szCs w:val="20"/>
          <w:color w:val="auto"/>
        </w:rPr>
      </w:pPr>
      <w:r>
        <w:rPr>
          <w:rFonts w:ascii="Times New Roman" w:cs="Times New Roman" w:eastAsia="Times New Roman" w:hAnsi="Times New Roman"/>
          <w:sz w:val="19"/>
          <w:szCs w:val="19"/>
          <w:color w:val="050505"/>
        </w:rPr>
        <w:t>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76"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050505"/>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Certain clinical trials involving human gene transfer research also must be overseen by an Institutional Biosafety Committee (IBC), a standing committee to provide peer review of the safety of research plans, procedures, personnel training and environmental risks of work involving recombinant DNA molecules. IBCs are typically assigned certain review responsibilities relating to the use of recombinant DNA molecules, including reviewing potential environmental risks, assessing containment levels, and evaluating the adequacy of facilities, personnel training, and compliance with the National Institutes of Health Guidelines. We may also engage an independent group of qualified experts organized by the clinical study sponsor, known as a data safety monitoring board, to provide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Human clinical trials are typically conducted in three sequential phases that may overlap or be combined:</w:t>
      </w:r>
    </w:p>
    <w:p>
      <w:pPr>
        <w:spacing w:after="0" w:line="126" w:lineRule="exact"/>
        <w:rPr>
          <w:sz w:val="20"/>
          <w:szCs w:val="20"/>
          <w:color w:val="auto"/>
        </w:rPr>
      </w:pPr>
    </w:p>
    <w:p>
      <w:pPr>
        <w:ind w:left="720" w:right="100" w:hanging="370"/>
        <w:spacing w:after="0" w:line="268" w:lineRule="auto"/>
        <w:tabs>
          <w:tab w:leader="none" w:pos="720" w:val="left"/>
        </w:tabs>
        <w:numPr>
          <w:ilvl w:val="0"/>
          <w:numId w:val="2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Phase 1. </w:t>
      </w:r>
      <w:r>
        <w:rPr>
          <w:rFonts w:ascii="Times New Roman" w:cs="Times New Roman" w:eastAsia="Times New Roman" w:hAnsi="Times New Roman"/>
          <w:sz w:val="20"/>
          <w:szCs w:val="20"/>
          <w:color w:val="050505"/>
        </w:rPr>
        <w:t>The biological product is initially introduced into healthy human subjects and tested for safety. In the case of</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some products for severe or life-threatening diseases, especially when the product may be too inherently toxic to ethically administer to healthy volunteers, the initial human testing is often conducted in patients.</w:t>
      </w:r>
    </w:p>
    <w:p>
      <w:pPr>
        <w:spacing w:after="0" w:line="69" w:lineRule="exact"/>
        <w:rPr>
          <w:rFonts w:ascii="Times New Roman" w:cs="Times New Roman" w:eastAsia="Times New Roman" w:hAnsi="Times New Roman"/>
          <w:sz w:val="20"/>
          <w:szCs w:val="20"/>
          <w:color w:val="050505"/>
        </w:rPr>
      </w:pPr>
    </w:p>
    <w:p>
      <w:pPr>
        <w:ind w:left="720" w:right="60" w:hanging="370"/>
        <w:spacing w:after="0" w:line="268" w:lineRule="auto"/>
        <w:tabs>
          <w:tab w:leader="none" w:pos="720" w:val="left"/>
        </w:tabs>
        <w:numPr>
          <w:ilvl w:val="0"/>
          <w:numId w:val="2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Phase 2. </w:t>
      </w:r>
      <w:r>
        <w:rPr>
          <w:rFonts w:ascii="Times New Roman" w:cs="Times New Roman" w:eastAsia="Times New Roman" w:hAnsi="Times New Roman"/>
          <w:sz w:val="20"/>
          <w:szCs w:val="20"/>
          <w:color w:val="050505"/>
        </w:rPr>
        <w:t>The biological product is evaluated in a limited patient population to identify possible adverse effects and</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safety risks, to preliminarily evaluate the efficacy of the product for specific targeted diseases and to determine dosage tolerance, optimal dosage and dosing schedule.</w:t>
      </w:r>
    </w:p>
    <w:p>
      <w:pPr>
        <w:spacing w:after="0" w:line="69" w:lineRule="exact"/>
        <w:rPr>
          <w:rFonts w:ascii="Times New Roman" w:cs="Times New Roman" w:eastAsia="Times New Roman" w:hAnsi="Times New Roman"/>
          <w:sz w:val="20"/>
          <w:szCs w:val="20"/>
          <w:color w:val="050505"/>
        </w:rPr>
      </w:pPr>
    </w:p>
    <w:p>
      <w:pPr>
        <w:ind w:left="720" w:right="80" w:hanging="370"/>
        <w:spacing w:after="0" w:line="268" w:lineRule="auto"/>
        <w:tabs>
          <w:tab w:leader="none" w:pos="720" w:val="left"/>
        </w:tabs>
        <w:numPr>
          <w:ilvl w:val="0"/>
          <w:numId w:val="2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b w:val="1"/>
          <w:bCs w:val="1"/>
          <w:i w:val="1"/>
          <w:iCs w:val="1"/>
          <w:color w:val="050505"/>
        </w:rPr>
        <w:t xml:space="preserve">Phase 3. </w:t>
      </w:r>
      <w:r>
        <w:rPr>
          <w:rFonts w:ascii="Times New Roman" w:cs="Times New Roman" w:eastAsia="Times New Roman" w:hAnsi="Times New Roman"/>
          <w:sz w:val="20"/>
          <w:szCs w:val="20"/>
          <w:color w:val="050505"/>
        </w:rPr>
        <w:t>Clinical trials are undertaken to further evaluate dosage, clinical efficacy, potency, and safety in an expanded</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patient population at geographically dispersed clinical trial sites. These clinical trials are intended to establish the overall risk to benefit ratio of the product and provide an adequate basis for product labeling.</w:t>
      </w:r>
    </w:p>
    <w:p>
      <w:pPr>
        <w:spacing w:after="0" w:line="7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 xml:space="preserve">Long term follow-up for all patients who get marketed product and post-approval clinical trials, sometimes referred to as Phase 4 clinical trials, may be required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20"/>
          <w:szCs w:val="20"/>
          <w:b w:val="1"/>
          <w:bCs w:val="1"/>
          <w:i w:val="1"/>
          <w:iCs w:val="1"/>
          <w:color w:val="050505"/>
        </w:rPr>
        <w:t>in vitro</w:t>
      </w:r>
      <w:r>
        <w:rPr>
          <w:rFonts w:ascii="Times New Roman" w:cs="Times New Roman" w:eastAsia="Times New Roman" w:hAnsi="Times New Roman"/>
          <w:sz w:val="20"/>
          <w:szCs w:val="20"/>
          <w:color w:val="050505"/>
        </w:rPr>
        <w:t xml:space="preserve">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25</w:t>
      </w:r>
    </w:p>
    <w:p>
      <w:pPr>
        <w:sectPr>
          <w:pgSz w:w="12240" w:h="15840" w:orient="portrait"/>
          <w:cols w:equalWidth="0" w:num="1">
            <w:col w:w="10240"/>
          </w:cols>
          <w:pgMar w:left="1000" w:top="793" w:right="1000" w:bottom="0" w:gutter="0" w:footer="0" w:header="0"/>
          <w:type w:val="continuous"/>
        </w:sectPr>
      </w:pPr>
    </w:p>
    <w:bookmarkStart w:id="29" w:name="page30"/>
    <w:bookmarkEnd w:id="29"/>
    <w:p>
      <w:pPr>
        <w:ind w:right="80"/>
        <w:spacing w:after="0" w:line="260" w:lineRule="auto"/>
        <w:rPr>
          <w:sz w:val="20"/>
          <w:szCs w:val="20"/>
          <w:color w:val="auto"/>
        </w:rPr>
      </w:pPr>
      <w:r>
        <w:rPr>
          <w:rFonts w:ascii="Times New Roman" w:cs="Times New Roman" w:eastAsia="Times New Roman" w:hAnsi="Times New Roman"/>
          <w:sz w:val="20"/>
          <w:szCs w:val="20"/>
          <w:color w:val="050505"/>
        </w:rPr>
        <w:t>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8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8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The FDA has continued to issue guidance specific to cellular and gene therapy (CGT) products. For example, in November 2024, the FDA issued draft guidance providing frequently asked questions on CGT product development, including common regulatory, chemistry, manufacturing and controls (CMC), and clinical issues, and in December 2023, the FDA issued draft guidance on potency assurance for CGT products that discusses a science- and risk-based strategy to help assure potency across the product lifecycle.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U.S. Review and Approval Processes</w:t>
      </w:r>
    </w:p>
    <w:p>
      <w:pPr>
        <w:spacing w:after="0" w:line="134" w:lineRule="exact"/>
        <w:rPr>
          <w:sz w:val="20"/>
          <w:szCs w:val="20"/>
          <w:color w:val="auto"/>
        </w:rPr>
      </w:pPr>
    </w:p>
    <w:p>
      <w:pPr>
        <w:ind w:right="80" w:firstLine="720"/>
        <w:spacing w:after="0" w:line="275" w:lineRule="auto"/>
        <w:rPr>
          <w:sz w:val="20"/>
          <w:szCs w:val="20"/>
          <w:color w:val="auto"/>
        </w:rPr>
      </w:pPr>
      <w:r>
        <w:rPr>
          <w:rFonts w:ascii="Times New Roman" w:cs="Times New Roman" w:eastAsia="Times New Roman" w:hAnsi="Times New Roman"/>
          <w:sz w:val="19"/>
          <w:szCs w:val="19"/>
          <w:color w:val="050505"/>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68"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050505"/>
        </w:rPr>
        <w:t>Under the Prescription Drug User Fee Act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8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Within 60 or 74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a REMS is needed, the sponsor of the BLA must submit a proposed REMS. The FDA will not approve a BLA without a REMS, if required.</w:t>
      </w:r>
    </w:p>
    <w:p>
      <w:pPr>
        <w:spacing w:after="0" w:line="93" w:lineRule="exact"/>
        <w:rPr>
          <w:sz w:val="20"/>
          <w:szCs w:val="20"/>
          <w:color w:val="auto"/>
        </w:rPr>
      </w:pPr>
    </w:p>
    <w:p>
      <w:pPr>
        <w:ind w:right="40" w:firstLine="720"/>
        <w:spacing w:after="0" w:line="270" w:lineRule="auto"/>
        <w:rPr>
          <w:sz w:val="20"/>
          <w:szCs w:val="20"/>
          <w:color w:val="auto"/>
        </w:rPr>
      </w:pPr>
      <w:r>
        <w:rPr>
          <w:rFonts w:ascii="Times New Roman" w:cs="Times New Roman" w:eastAsia="Times New Roman" w:hAnsi="Times New Roman"/>
          <w:sz w:val="19"/>
          <w:szCs w:val="19"/>
          <w:color w:val="050505"/>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immunotherapy products, the FDA also will not approve the product if the manufacturer is not in compliance with the GTPs, to the extent applicable. These are FDA regulations and guidance documents that govern the methods used in, and the facilities and controls used for, the manufacture of human cells, tissue, and cellular and tissue-based products (HCT/Ps), which are human cells or tissue intended for implantation, transplant, infusion, or transfer into a human recipient. The primary intent of the GTP requirements is to ensure that cell and tissue-based products are manufactured in a manner designed to prevent the introduction,</w:t>
      </w:r>
    </w:p>
    <w:p>
      <w:pPr>
        <w:sectPr>
          <w:pgSz w:w="12240" w:h="15840" w:orient="portrait"/>
          <w:cols w:equalWidth="0" w:num="1">
            <w:col w:w="10240"/>
          </w:cols>
          <w:pgMar w:left="1000" w:top="793" w:right="100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26</w:t>
      </w:r>
    </w:p>
    <w:p>
      <w:pPr>
        <w:sectPr>
          <w:pgSz w:w="12240" w:h="15840" w:orient="portrait"/>
          <w:cols w:equalWidth="0" w:num="1">
            <w:col w:w="10240"/>
          </w:cols>
          <w:pgMar w:left="1000" w:top="793" w:right="1000" w:bottom="0" w:gutter="0" w:footer="0" w:header="0"/>
          <w:type w:val="continuous"/>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20"/>
          <w:szCs w:val="20"/>
          <w:color w:val="050505"/>
        </w:rPr>
        <w:t>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trials were conducted in compliance with IND trial requirements and GCP requirements. To assure cGMP, GTP and GCP compliance, an applicant must incur significant expenditure of time, money and effort in the areas of training, record keeping, production, and quality control.</w:t>
      </w:r>
    </w:p>
    <w:p>
      <w:pPr>
        <w:spacing w:after="0" w:line="84"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050505"/>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93"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90"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050505"/>
        </w:rPr>
        <w:t>In addition, under the Pediatric Research Equity Act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Orphan Drug Designation</w:t>
      </w:r>
    </w:p>
    <w:p>
      <w:pPr>
        <w:spacing w:after="0" w:line="134" w:lineRule="exact"/>
        <w:rPr>
          <w:sz w:val="20"/>
          <w:szCs w:val="20"/>
          <w:color w:val="auto"/>
        </w:rPr>
      </w:pPr>
    </w:p>
    <w:p>
      <w:pPr>
        <w:ind w:right="140" w:firstLine="720"/>
        <w:spacing w:after="0" w:line="254" w:lineRule="auto"/>
        <w:rPr>
          <w:sz w:val="20"/>
          <w:szCs w:val="20"/>
          <w:color w:val="auto"/>
        </w:rPr>
      </w:pPr>
      <w:r>
        <w:rPr>
          <w:rFonts w:ascii="Times New Roman" w:cs="Times New Roman" w:eastAsia="Times New Roman" w:hAnsi="Times New Roman"/>
          <w:sz w:val="20"/>
          <w:szCs w:val="20"/>
          <w:color w:val="050505"/>
        </w:rPr>
        <w:t>Under the Orphan Drug Act, the FDA may grant orphan designation to a drug or biologic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93"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90"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050505"/>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Expedited Development and Review Programs</w:t>
      </w:r>
    </w:p>
    <w:p>
      <w:pPr>
        <w:spacing w:after="0" w:line="134"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The FDA has a fast track program that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27</w:t>
      </w:r>
    </w:p>
    <w:p>
      <w:pPr>
        <w:sectPr>
          <w:pgSz w:w="12240" w:h="15840" w:orient="portrait"/>
          <w:cols w:equalWidth="0" w:num="1">
            <w:col w:w="10240"/>
          </w:cols>
          <w:pgMar w:left="1000" w:top="793" w:right="1000" w:bottom="0" w:gutter="0" w:footer="0" w:header="0"/>
          <w:type w:val="continuous"/>
        </w:sectPr>
      </w:pPr>
    </w:p>
    <w:bookmarkStart w:id="31" w:name="page32"/>
    <w:bookmarkEnd w:id="31"/>
    <w:p>
      <w:pPr>
        <w:ind w:right="40" w:firstLine="720"/>
        <w:spacing w:after="0" w:line="252" w:lineRule="auto"/>
        <w:rPr>
          <w:sz w:val="20"/>
          <w:szCs w:val="20"/>
          <w:color w:val="auto"/>
        </w:rPr>
      </w:pPr>
      <w:r>
        <w:rPr>
          <w:rFonts w:ascii="Times New Roman" w:cs="Times New Roman" w:eastAsia="Times New Roman" w:hAnsi="Times New Roman"/>
          <w:sz w:val="20"/>
          <w:szCs w:val="20"/>
          <w:color w:val="050505"/>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product designated for priority review in an effort to facilitate the review. Additionally, a product may be eligible for accelerated approval.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98" w:lineRule="exact"/>
        <w:rPr>
          <w:sz w:val="20"/>
          <w:szCs w:val="20"/>
          <w:color w:val="auto"/>
        </w:rPr>
      </w:pPr>
    </w:p>
    <w:p>
      <w:pPr>
        <w:ind w:right="360" w:firstLine="720"/>
        <w:spacing w:after="0" w:line="260" w:lineRule="auto"/>
        <w:rPr>
          <w:sz w:val="20"/>
          <w:szCs w:val="20"/>
          <w:color w:val="auto"/>
        </w:rPr>
      </w:pPr>
      <w:r>
        <w:rPr>
          <w:rFonts w:ascii="Times New Roman" w:cs="Times New Roman" w:eastAsia="Times New Roman" w:hAnsi="Times New Roman"/>
          <w:sz w:val="20"/>
          <w:szCs w:val="20"/>
          <w:color w:val="050505"/>
        </w:rPr>
        <w:t>Congress expanded FDA’s authorities regarding accelerated approval in 2023, including authority to require that confirmatory trials be underway prior to approval or within a specified time period after approval, and the FDA issued draft guidance in January 2025 describing factors it intends to consider when determining whether a confirmatory trial is “underway.”</w:t>
      </w:r>
    </w:p>
    <w:p>
      <w:pPr>
        <w:spacing w:after="0" w:line="83" w:lineRule="exact"/>
        <w:rPr>
          <w:sz w:val="20"/>
          <w:szCs w:val="20"/>
          <w:color w:val="auto"/>
        </w:rPr>
      </w:pPr>
    </w:p>
    <w:p>
      <w:pPr>
        <w:ind w:right="60" w:firstLine="720"/>
        <w:spacing w:after="0" w:line="267" w:lineRule="auto"/>
        <w:rPr>
          <w:sz w:val="20"/>
          <w:szCs w:val="20"/>
          <w:color w:val="auto"/>
        </w:rPr>
      </w:pPr>
      <w:r>
        <w:rPr>
          <w:rFonts w:ascii="Times New Roman" w:cs="Times New Roman" w:eastAsia="Times New Roman" w:hAnsi="Times New Roman"/>
          <w:sz w:val="19"/>
          <w:szCs w:val="19"/>
          <w:color w:val="050505"/>
        </w:rPr>
        <w:t>Regenerative Medicine Advanced Therapy (RMAT) designation was established by FDA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 world evidence such as electronic health records; through the collection of larger confirmatory datasets; or through post-approval monitoring of all patients treated with the therapy prior to approval.</w:t>
      </w:r>
    </w:p>
    <w:p>
      <w:pPr>
        <w:spacing w:after="0" w:line="8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Breakthrough therapy designation is also intended to expedite the development and review of products that treat serious or life-threatening conditions. The designation by FDA requires preliminary clinical evidence that a product candidate, alone or in combination with other drugs and biologics, demonstrates substantial improvement over currently available therapy on one or more clinically significant endpoints, such as substantial treatment effects observed early in clinical development. Breakthrough therapy designation comes with all of the benefits of fast track designation, which means that the sponsor may file sections of the BLA for review on a rolling basis if certain conditions are satisfied, including an agreement with FDA on the proposed schedule for submission of portions of the application and the payment of applicable user fees before the FDA may initiate a review.</w:t>
      </w:r>
    </w:p>
    <w:p>
      <w:pPr>
        <w:spacing w:after="0" w:line="93"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050505"/>
        </w:rPr>
        <w:t>Fast track designation, priority review, RMAT and Breakthrough therapy designation do not change the standards for approval but may expedite the development or approval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Post-Approval Requirements</w:t>
      </w:r>
    </w:p>
    <w:p>
      <w:pPr>
        <w:spacing w:after="0" w:line="134"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 However, it is permissible to share in certain circumstances truthful and not misleading information that is consistent with the product’s approved labeling.</w:t>
      </w:r>
    </w:p>
    <w:p>
      <w:pPr>
        <w:spacing w:after="0" w:line="96" w:lineRule="exact"/>
        <w:rPr>
          <w:sz w:val="20"/>
          <w:szCs w:val="20"/>
          <w:color w:val="auto"/>
        </w:rPr>
      </w:pPr>
    </w:p>
    <w:p>
      <w:pPr>
        <w:jc w:val="both"/>
        <w:ind w:right="440" w:firstLine="720"/>
        <w:spacing w:after="0" w:line="309" w:lineRule="auto"/>
        <w:rPr>
          <w:sz w:val="20"/>
          <w:szCs w:val="20"/>
          <w:color w:val="auto"/>
        </w:rPr>
      </w:pPr>
      <w:r>
        <w:rPr>
          <w:rFonts w:ascii="Times New Roman" w:cs="Times New Roman" w:eastAsia="Times New Roman" w:hAnsi="Times New Roman"/>
          <w:sz w:val="19"/>
          <w:szCs w:val="19"/>
          <w:color w:val="050505"/>
        </w:rPr>
        <w:t>In addition, quality control and manufacturing procedures must continue to conform to applicable manufacturing requirements after approval to ensure the long-term stability of the product. cGMP regulations require among other things,</w:t>
      </w:r>
    </w:p>
    <w:p>
      <w:pPr>
        <w:sectPr>
          <w:pgSz w:w="12240" w:h="15840" w:orient="portrait"/>
          <w:cols w:equalWidth="0" w:num="1">
            <w:col w:w="10240"/>
          </w:cols>
          <w:pgMar w:left="1000" w:top="793" w:right="1000" w:bottom="0"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28</w:t>
      </w:r>
    </w:p>
    <w:p>
      <w:pPr>
        <w:sectPr>
          <w:pgSz w:w="12240" w:h="15840" w:orient="portrait"/>
          <w:cols w:equalWidth="0" w:num="1">
            <w:col w:w="10240"/>
          </w:cols>
          <w:pgMar w:left="1000" w:top="793" w:right="1000" w:bottom="0" w:gutter="0" w:footer="0" w:header="0"/>
          <w:type w:val="continuous"/>
        </w:sectPr>
      </w:pPr>
    </w:p>
    <w:bookmarkStart w:id="32" w:name="page33"/>
    <w:bookmarkEnd w:id="32"/>
    <w:p>
      <w:pPr>
        <w:ind w:right="20"/>
        <w:spacing w:after="0" w:line="253" w:lineRule="auto"/>
        <w:rPr>
          <w:sz w:val="20"/>
          <w:szCs w:val="20"/>
          <w:color w:val="auto"/>
        </w:rPr>
      </w:pPr>
      <w:r>
        <w:rPr>
          <w:rFonts w:ascii="Times New Roman" w:cs="Times New Roman" w:eastAsia="Times New Roman" w:hAnsi="Times New Roman"/>
          <w:sz w:val="20"/>
          <w:szCs w:val="20"/>
          <w:color w:val="050505"/>
        </w:rPr>
        <w:t>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96"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89"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20"/>
          <w:szCs w:val="20"/>
          <w:color w:val="050505"/>
        </w:rPr>
        <w:t>Given the potential for long-lasting effects of CGT products, the FDA issued draft guidance in September 2025 describing methods and approaches for capturing post-approval safety and efficacy data for CGT products, including through approaches such as registries and other real-world data 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U.S. Marketing Exclusivity</w:t>
      </w:r>
    </w:p>
    <w:p>
      <w:pPr>
        <w:spacing w:after="0" w:line="134"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The Biologics Price Competition and Innovation Act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for 12 years after an innovator biological product receives initial marketing approval. This 12-year period of data exclusivity may be extended by six months, for a total of 12.5 years, if the FDA requests that the innovator company conduct pediatric clinical investigations of the product.</w:t>
      </w:r>
    </w:p>
    <w:p>
      <w:pPr>
        <w:spacing w:after="0" w:line="8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Depending upon the timing, duration and specifics of the FDA approval of the use of our product candidates, some of our U.S. patents, if granted,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91"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050505"/>
        </w:rPr>
        <w:t>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FDA Approval and Regulation of Medical Devices and Companion Diagnostics</w:t>
      </w:r>
    </w:p>
    <w:p>
      <w:pPr>
        <w:spacing w:after="0" w:line="134"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apply to approval of therapeutic products and in vitro companion diagnostics. According to the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in vitro</w:t>
      </w:r>
    </w:p>
    <w:p>
      <w:pPr>
        <w:sectPr>
          <w:pgSz w:w="12240" w:h="15840" w:orient="portrait"/>
          <w:cols w:equalWidth="0" w:num="1">
            <w:col w:w="10240"/>
          </w:cols>
          <w:pgMar w:left="1000" w:top="793" w:right="100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29</w:t>
      </w:r>
    </w:p>
    <w:p>
      <w:pPr>
        <w:sectPr>
          <w:pgSz w:w="12240" w:h="15840" w:orient="portrait"/>
          <w:cols w:equalWidth="0" w:num="1">
            <w:col w:w="10240"/>
          </w:cols>
          <w:pgMar w:left="1000" w:top="793" w:right="1000" w:bottom="0" w:gutter="0" w:footer="0" w:header="0"/>
          <w:type w:val="continuous"/>
        </w:sectPr>
      </w:pPr>
    </w:p>
    <w:bookmarkStart w:id="33" w:name="page34"/>
    <w:bookmarkEnd w:id="33"/>
    <w:p>
      <w:pPr>
        <w:ind w:right="460"/>
        <w:spacing w:after="0" w:line="266" w:lineRule="auto"/>
        <w:rPr>
          <w:sz w:val="20"/>
          <w:szCs w:val="20"/>
          <w:color w:val="auto"/>
        </w:rPr>
      </w:pPr>
      <w:r>
        <w:rPr>
          <w:rFonts w:ascii="Times New Roman" w:cs="Times New Roman" w:eastAsia="Times New Roman" w:hAnsi="Times New Roman"/>
          <w:sz w:val="20"/>
          <w:szCs w:val="20"/>
          <w:color w:val="050505"/>
        </w:rPr>
        <w:t>companion diagnostics in conjunction with the review of our product candidates in development for cancer will, therefore, likely involve coordination of review by the FDA’s Center for Drug Evaluation and Research and the FDA’s Center for Devices and Radiological Health Office of In Vitro Diagnostics and Radiological Health.</w:t>
      </w:r>
    </w:p>
    <w:p>
      <w:pPr>
        <w:spacing w:after="0" w:line="75"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Under the FDCA, in vitro diagnostics, including companion diagnostics, are regulated as medical devices.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spacing w:after="0" w:line="8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The two primary types of FDA marketing authorization applicable to a medical device are premarket notification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93"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After a device receives 510(k) clearance, any modification that could significantly affect its safety or effectiveness, or that would constitute a major change or modification in its intended use, will require a new 510(k) clearance or depending on the modification, approval of a PMA application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510(k) clearance, approval of a PMA application, or issuance of a de novo classification. Also, in these circumstances, the manufacturer may be subject to significant regulatory fines or penalties.</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spacing w:after="0" w:line="89"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050505"/>
        </w:rPr>
        <w:t>Approval of a PMA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approval may be withdrawn by the FDA if compliance with post approval requirements, conditions of approval or other regulatory standards are not maintained, or problems are identified following initial marketing.</w:t>
      </w:r>
    </w:p>
    <w:p>
      <w:pPr>
        <w:spacing w:after="0" w:line="98"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19"/>
          <w:szCs w:val="19"/>
          <w:color w:val="050505"/>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w:t>
      </w:r>
    </w:p>
    <w:p>
      <w:pPr>
        <w:sectPr>
          <w:pgSz w:w="12240" w:h="15840" w:orient="portrait"/>
          <w:cols w:equalWidth="0" w:num="1">
            <w:col w:w="10240"/>
          </w:cols>
          <w:pgMar w:left="1000" w:top="793" w:right="100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30</w:t>
      </w:r>
    </w:p>
    <w:p>
      <w:pPr>
        <w:sectPr>
          <w:pgSz w:w="12240" w:h="15840" w:orient="portrait"/>
          <w:cols w:equalWidth="0" w:num="1">
            <w:col w:w="10240"/>
          </w:cols>
          <w:pgMar w:left="1000" w:top="793" w:right="1000" w:bottom="0" w:gutter="0" w:footer="0" w:header="0"/>
          <w:type w:val="continuous"/>
        </w:sectPr>
      </w:pPr>
    </w:p>
    <w:bookmarkStart w:id="34" w:name="page35"/>
    <w:bookmarkEnd w:id="34"/>
    <w:p>
      <w:pPr>
        <w:ind w:right="180"/>
        <w:spacing w:after="0" w:line="266" w:lineRule="auto"/>
        <w:rPr>
          <w:sz w:val="20"/>
          <w:szCs w:val="20"/>
          <w:color w:val="auto"/>
        </w:rPr>
      </w:pPr>
      <w:r>
        <w:rPr>
          <w:rFonts w:ascii="Times New Roman" w:cs="Times New Roman" w:eastAsia="Times New Roman" w:hAnsi="Times New Roman"/>
          <w:sz w:val="20"/>
          <w:szCs w:val="20"/>
          <w:color w:val="050505"/>
        </w:rPr>
        <w:t>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Other U.S. Healthcare Laws and Compliance Requirements</w:t>
      </w:r>
    </w:p>
    <w:p>
      <w:pPr>
        <w:spacing w:after="0" w:line="13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In the United States, our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the U.S. Department of Justice (DOJ), and individual U.S. Attorney offices within the DOJ, and state and local governments). For example, our business practices, including any of our research and future sales, marketing and scientific/educational grant programs may be required to comply with the anti-fraud and abuse provisions of the Social Security Act, the false claims laws, the patient data privacy and security provisions of the Health Insurance Portability and Accountability Act (HIPAA), transparency requirements, and similar state, local and foreign laws, each as amended.</w:t>
      </w:r>
    </w:p>
    <w:p>
      <w:pPr>
        <w:spacing w:after="0" w:line="93"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good, facility or service reimbursable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formulary managers, and other individuals and entities on the other.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99"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Additionally, the intent standard under the federal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violated. In addition, the Affordable Care Act codified case law that a claim that includes items or services resulting from a violation of the federal Anti-Kickback Statute constitutes a false or fraudulent claim for purposes of the federal civil False Claims Act (discussed below).</w:t>
      </w:r>
    </w:p>
    <w:p>
      <w:pPr>
        <w:spacing w:after="0" w:line="90" w:lineRule="exact"/>
        <w:rPr>
          <w:sz w:val="20"/>
          <w:szCs w:val="20"/>
          <w:color w:val="auto"/>
        </w:rPr>
      </w:pPr>
    </w:p>
    <w:p>
      <w:pPr>
        <w:ind w:right="200" w:firstLine="720"/>
        <w:spacing w:after="0" w:line="286" w:lineRule="auto"/>
        <w:rPr>
          <w:sz w:val="20"/>
          <w:szCs w:val="20"/>
          <w:color w:val="auto"/>
        </w:rPr>
      </w:pPr>
      <w:r>
        <w:rPr>
          <w:rFonts w:ascii="Times New Roman" w:cs="Times New Roman" w:eastAsia="Times New Roman" w:hAnsi="Times New Roman"/>
          <w:sz w:val="19"/>
          <w:szCs w:val="19"/>
          <w:color w:val="050505"/>
        </w:rPr>
        <w:t>The civil monetary penalties statute imposes penalties against any person or entity who, among other things, is determined to have presented or caused to be presented a claim to, among others, a federal healthcare program that the person knows or should know is for a medical or other item or service that was not provided as claimed or is false or fraudulent.</w:t>
      </w:r>
    </w:p>
    <w:p>
      <w:pPr>
        <w:spacing w:after="0" w:line="59"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The federal civil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For example, pharmaceutical and other healthcare companies have been, and continue to be, investigated or prosecuted under these laws for allegedly providing free product to customers with the expectation that the customers would bill federal programs for the product and for causing false claims to be submitted because of the companies’ marketing of the product for unapproved, and thus non-reimbursable, uses.</w:t>
      </w:r>
    </w:p>
    <w:p>
      <w:pPr>
        <w:spacing w:after="0" w:line="93"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spacing w:after="0" w:line="88" w:lineRule="exact"/>
        <w:rPr>
          <w:sz w:val="20"/>
          <w:szCs w:val="20"/>
          <w:color w:val="auto"/>
        </w:rPr>
      </w:pPr>
    </w:p>
    <w:p>
      <w:pPr>
        <w:ind w:right="460" w:firstLine="720"/>
        <w:spacing w:after="0" w:line="281" w:lineRule="auto"/>
        <w:rPr>
          <w:sz w:val="20"/>
          <w:szCs w:val="20"/>
          <w:color w:val="auto"/>
        </w:rPr>
      </w:pPr>
      <w:r>
        <w:rPr>
          <w:rFonts w:ascii="Times New Roman" w:cs="Times New Roman" w:eastAsia="Times New Roman" w:hAnsi="Times New Roman"/>
          <w:sz w:val="20"/>
          <w:szCs w:val="20"/>
          <w:color w:val="050505"/>
        </w:rPr>
        <w:t>Also, many states have similar fraud and abuse statutes or regulations that apply to items and services reimbursed under Medicaid and other state programs, or, in several states, apply regardless of the payor.</w:t>
      </w:r>
    </w:p>
    <w:p>
      <w:pPr>
        <w:spacing w:after="0" w:line="61" w:lineRule="exact"/>
        <w:rPr>
          <w:sz w:val="20"/>
          <w:szCs w:val="20"/>
          <w:color w:val="auto"/>
        </w:rPr>
      </w:pPr>
    </w:p>
    <w:p>
      <w:pPr>
        <w:ind w:right="100" w:firstLine="720"/>
        <w:spacing w:after="0" w:line="281" w:lineRule="auto"/>
        <w:rPr>
          <w:sz w:val="20"/>
          <w:szCs w:val="20"/>
          <w:color w:val="auto"/>
        </w:rPr>
      </w:pPr>
      <w:r>
        <w:rPr>
          <w:rFonts w:ascii="Times New Roman" w:cs="Times New Roman" w:eastAsia="Times New Roman" w:hAnsi="Times New Roman"/>
          <w:sz w:val="20"/>
          <w:szCs w:val="20"/>
          <w:color w:val="050505"/>
        </w:rPr>
        <w:t>We may be subject to data privacy and security regulations by both the federal government and the states in which we conduct our business. HIPAA, as amended by the Health Information Technology for Economic and Clinical Health Act</w:t>
      </w:r>
    </w:p>
    <w:p>
      <w:pPr>
        <w:sectPr>
          <w:pgSz w:w="12240" w:h="15840" w:orient="portrait"/>
          <w:cols w:equalWidth="0" w:num="1">
            <w:col w:w="10240"/>
          </w:cols>
          <w:pgMar w:left="1000" w:top="793" w:right="100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31</w:t>
      </w:r>
    </w:p>
    <w:p>
      <w:pPr>
        <w:sectPr>
          <w:pgSz w:w="12240" w:h="15840" w:orient="portrait"/>
          <w:cols w:equalWidth="0" w:num="1">
            <w:col w:w="10240"/>
          </w:cols>
          <w:pgMar w:left="1000" w:top="793" w:right="1000" w:bottom="0" w:gutter="0" w:footer="0" w:header="0"/>
          <w:type w:val="continuous"/>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20"/>
          <w:szCs w:val="20"/>
          <w:color w:val="050505"/>
        </w:rPr>
        <w:t>(HITECH) and their implementing regulations, imposes requirements on certain types of individuals and entities relating to the privacy, security and transmission of individually identifiable health information.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as well as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96"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to CMS related to certain payments or other transfers of value made or distributed to physicians (defined to include doctors, dentists, optometrists, podiatrists and chiropractors), other healthcare professionals (such as physicians assistants and nurse practitioners) and teaching hospitals, or to entities or individuals at the request of, or designated on behalf of, physicians and teaching hospitals and certain ownership and investment interests held by physicians and their immediate family members.</w:t>
      </w:r>
    </w:p>
    <w:p>
      <w:pPr>
        <w:spacing w:after="0" w:line="90"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If our operations are found to be in violation of any of the federal and state healthcare laws described above or any other governmental regulations that apply to us, we may be subject to significant penalties, including without limitation, civil, criminal and administrative penalties, damages, fines, disgorgement, imprisonment, exclusion from participation in government programs, such as Medicare and Medicaid,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Coverage, Pricing and Reimbursement</w:t>
      </w:r>
    </w:p>
    <w:p>
      <w:pPr>
        <w:spacing w:after="0" w:line="13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or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32</w:t>
      </w:r>
    </w:p>
    <w:p>
      <w:pPr>
        <w:sectPr>
          <w:pgSz w:w="12240" w:h="15840" w:orient="portrait"/>
          <w:cols w:equalWidth="0" w:num="1">
            <w:col w:w="10240"/>
          </w:cols>
          <w:pgMar w:left="1000" w:top="793" w:right="1000" w:bottom="0" w:gutter="0" w:footer="0" w:header="0"/>
          <w:type w:val="continuous"/>
        </w:sectPr>
      </w:pPr>
    </w:p>
    <w:bookmarkStart w:id="36" w:name="page37"/>
    <w:bookmarkEnd w:id="36"/>
    <w:p>
      <w:pPr>
        <w:ind w:right="80" w:firstLine="720"/>
        <w:spacing w:after="0" w:line="254" w:lineRule="auto"/>
        <w:rPr>
          <w:sz w:val="20"/>
          <w:szCs w:val="20"/>
          <w:color w:val="auto"/>
        </w:rPr>
      </w:pPr>
      <w:r>
        <w:rPr>
          <w:rFonts w:ascii="Times New Roman" w:cs="Times New Roman" w:eastAsia="Times New Roman" w:hAnsi="Times New Roman"/>
          <w:sz w:val="20"/>
          <w:szCs w:val="20"/>
          <w:color w:val="050505"/>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9"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19"/>
          <w:szCs w:val="19"/>
          <w:color w:val="050505"/>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For example, HHS imposes rebates on many Medicare Part B and Medicare Part D products to penalize price increases that outpace inflation on an annual basis. In addition, HHS has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products for which we receive regulatory approval, less favorable coverage policies and reimbursement rates may be implemented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Healthcare Reform</w:t>
      </w:r>
    </w:p>
    <w:p>
      <w:pPr>
        <w:spacing w:after="0" w:line="134"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050505"/>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 or expanding access. In the United States, the pharmaceutical industry has been a particular focus of these efforts and has been significantly affected by major legislative initiatives.</w:t>
      </w:r>
    </w:p>
    <w:p>
      <w:pPr>
        <w:spacing w:after="0" w:line="90" w:lineRule="exact"/>
        <w:rPr>
          <w:sz w:val="20"/>
          <w:szCs w:val="20"/>
          <w:color w:val="auto"/>
        </w:rPr>
      </w:pPr>
    </w:p>
    <w:p>
      <w:pPr>
        <w:ind w:right="1020" w:firstLine="720"/>
        <w:spacing w:after="0" w:line="281" w:lineRule="auto"/>
        <w:rPr>
          <w:sz w:val="20"/>
          <w:szCs w:val="20"/>
          <w:color w:val="auto"/>
        </w:rPr>
      </w:pPr>
      <w:r>
        <w:rPr>
          <w:rFonts w:ascii="Times New Roman" w:cs="Times New Roman" w:eastAsia="Times New Roman" w:hAnsi="Times New Roman"/>
          <w:sz w:val="20"/>
          <w:szCs w:val="20"/>
          <w:color w:val="050505"/>
        </w:rPr>
        <w:t>For example, the Affordable Care Act has substantially changed healthcare financing and delivery by both governmental and private insurers.</w:t>
      </w:r>
    </w:p>
    <w:p>
      <w:pPr>
        <w:spacing w:after="0" w:line="61"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050505"/>
        </w:rPr>
        <w:t>There have been legal and political challenges and amendments to certain aspects of the Affordable Care Act. For example, on July 4, 2025, the One Big Beautiful Bill Act (the OBBBA) was signed into law, which narrowed access to Affordable Care Act marketplace exchange enrollment and declined to extend the Affordable Care Act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It is possible that the Affordable Care Act will be subject to judicial or Congressional challenges in the future. It is unclear how such challenges and any additional healthcare reform measures will impact the Affordable Care Act.</w:t>
      </w:r>
    </w:p>
    <w:p>
      <w:pPr>
        <w:spacing w:after="0" w:line="9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Further legislation or regulation could be passed that could harm our business, financial condition and results of operations. Other legislative changes have been proposed and adopted since the Affordable Care Act was enacted. For example, in August 2011, the Budget Control Act of 2011 was signed into law, which, among other things, included aggregate reductions to Medicare payments to providers of up to 2% per fiscal year, which began in 2013 and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w:t>
      </w:r>
    </w:p>
    <w:p>
      <w:pPr>
        <w:spacing w:after="0" w:line="90"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050505"/>
        </w:rPr>
        <w:t>The current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may, for example, include (1) directing agencies to reduce agency workforce; (2) directing HHS and other agencies to lower prescription</w:t>
      </w:r>
    </w:p>
    <w:p>
      <w:pPr>
        <w:sectPr>
          <w:pgSz w:w="12240" w:h="15840" w:orient="portrait"/>
          <w:cols w:equalWidth="0" w:num="1">
            <w:col w:w="10240"/>
          </w:cols>
          <w:pgMar w:left="1000" w:top="793" w:right="1000" w:bottom="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33</w:t>
      </w:r>
    </w:p>
    <w:p>
      <w:pPr>
        <w:sectPr>
          <w:pgSz w:w="12240" w:h="15840" w:orient="portrait"/>
          <w:cols w:equalWidth="0" w:num="1">
            <w:col w:w="10240"/>
          </w:cols>
          <w:pgMar w:left="1000" w:top="793" w:right="1000" w:bottom="0" w:gutter="0" w:footer="0" w:header="0"/>
          <w:type w:val="continuous"/>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20"/>
          <w:szCs w:val="20"/>
          <w:color w:val="050505"/>
        </w:rPr>
        <w:t>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96"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3"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050505"/>
        </w:rPr>
        <w:t>We anticipate that these and other healthcare reform efforts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The Foreign Corrupt Practices Act</w:t>
      </w:r>
    </w:p>
    <w:p>
      <w:pPr>
        <w:spacing w:after="0" w:line="134" w:lineRule="exact"/>
        <w:rPr>
          <w:sz w:val="20"/>
          <w:szCs w:val="20"/>
          <w:color w:val="auto"/>
        </w:rPr>
      </w:pPr>
    </w:p>
    <w:p>
      <w:pPr>
        <w:ind w:right="240" w:firstLine="720"/>
        <w:spacing w:after="0" w:line="255" w:lineRule="auto"/>
        <w:rPr>
          <w:sz w:val="20"/>
          <w:szCs w:val="20"/>
          <w:color w:val="auto"/>
        </w:rPr>
      </w:pPr>
      <w:r>
        <w:rPr>
          <w:rFonts w:ascii="Times New Roman" w:cs="Times New Roman" w:eastAsia="Times New Roman" w:hAnsi="Times New Roman"/>
          <w:sz w:val="20"/>
          <w:szCs w:val="20"/>
          <w:color w:val="050505"/>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Additional Regulation</w:t>
      </w:r>
    </w:p>
    <w:p>
      <w:pPr>
        <w:spacing w:after="0" w:line="13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Europe / Rest of World Government Regulation</w:t>
      </w:r>
    </w:p>
    <w:p>
      <w:pPr>
        <w:spacing w:after="0" w:line="134"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050505"/>
        </w:rPr>
        <w:t>In addition to regulations in the United States, we will be subject to a variety of regulations in other jurisdictions governing, among other things, clinical trials and any commercial sales and distribution of our products. Whether or not we obtain FDA or ex-US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all cell therapy products are considered advanced therapeutic medicinal products (ATMPs) and a clinical trial application must be submitted centrally in accordance with EU clinical trial regulations (CTR) for review by a rapporteur appointed by a member state within the EU region. In addition, an independent ethics committee is needed in each country, much like the IRB, in the US. Once the clinical trial application is approved in accordance with a country’s requirements, clinical trial development may proceed. Because biologically sourced raw materials are subject to unique contamination risks, their use may be restricted in some countries. The EU Clinical Trials Regulation is now fully applicable, including for trials previously authorized under the prior Clinical Trials Directive framework. As of the end of the transition period in January 2025, clinical trial applications and oversight in the EU are conducted through the Clinical Trials Information System (CTIS).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34</w:t>
      </w:r>
    </w:p>
    <w:p>
      <w:pPr>
        <w:sectPr>
          <w:pgSz w:w="12240" w:h="15840" w:orient="portrait"/>
          <w:cols w:equalWidth="0" w:num="1">
            <w:col w:w="10240"/>
          </w:cols>
          <w:pgMar w:left="1000" w:top="793" w:right="1000" w:bottom="0" w:gutter="0" w:footer="0" w:header="0"/>
          <w:type w:val="continuous"/>
        </w:sectPr>
      </w:pPr>
    </w:p>
    <w:bookmarkStart w:id="38" w:name="page39"/>
    <w:bookmarkEnd w:id="38"/>
    <w:p>
      <w:pPr>
        <w:ind w:right="240" w:firstLine="720"/>
        <w:spacing w:after="0" w:line="266" w:lineRule="auto"/>
        <w:rPr>
          <w:sz w:val="20"/>
          <w:szCs w:val="20"/>
          <w:color w:val="auto"/>
        </w:rPr>
      </w:pPr>
      <w:r>
        <w:rPr>
          <w:rFonts w:ascii="Times New Roman" w:cs="Times New Roman" w:eastAsia="Times New Roman" w:hAnsi="Times New Roman"/>
          <w:sz w:val="20"/>
          <w:szCs w:val="20"/>
          <w:color w:val="050505"/>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w:t>
      </w:r>
    </w:p>
    <w:p>
      <w:pPr>
        <w:spacing w:after="0" w:line="7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050505"/>
        </w:rPr>
        <w:t>To obtain regulatory approval of an investigational drug or biological product under EU regulatory systems, we must submit a marketing authorization application (MAA). The application used to file the BLA in the United States is similar to that required in the EU, with the exception of, among other things, country-specific document requirements.</w:t>
      </w:r>
    </w:p>
    <w:p>
      <w:pPr>
        <w:spacing w:after="0" w:line="75"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050505"/>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spacing w:after="0" w:line="83"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20"/>
          <w:szCs w:val="20"/>
          <w:color w:val="050505"/>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Privacy Laws and Regulations</w:t>
      </w:r>
    </w:p>
    <w:p>
      <w:pPr>
        <w:spacing w:after="0" w:line="134"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050505"/>
        </w:rPr>
        <w:t>In the ordinary course of our business, we and the third parties with whom we work process personal and sensitive data. Accordingly, we are, and may in the future become, subject to numerous data privacy and security obligations, including federal, state, local, and foreign laws, regulations, guidance, and industry standards related to data privacy, security, and protection.</w:t>
      </w:r>
    </w:p>
    <w:p>
      <w:pPr>
        <w:spacing w:after="0" w:line="83"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For example, in addition to EU regulations related to the approval and commercialization of our products, our activities in the EU subject us to the EU’s General Data Protection Regulation (EU GDPR). The EU GDPR imposes stringent requirements for controllers and processors of personal data of persons in the EU, including, for example,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EU GDPR also imposes strict rules on the transfer of personal data out of the European Union to the United States and other third countries. In addition, the EU GDPR provides that EU member states may make their own further laws and regulations limiting the processing of personal data, including genetic, biometric or health data.</w:t>
      </w:r>
    </w:p>
    <w:p>
      <w:pPr>
        <w:spacing w:after="0" w:line="89" w:lineRule="exact"/>
        <w:rPr>
          <w:sz w:val="20"/>
          <w:szCs w:val="20"/>
          <w:color w:val="auto"/>
        </w:rPr>
      </w:pPr>
    </w:p>
    <w:p>
      <w:pPr>
        <w:ind w:right="80" w:firstLine="720"/>
        <w:spacing w:after="0" w:line="270" w:lineRule="auto"/>
        <w:rPr>
          <w:sz w:val="20"/>
          <w:szCs w:val="20"/>
          <w:color w:val="auto"/>
        </w:rPr>
      </w:pPr>
      <w:r>
        <w:rPr>
          <w:rFonts w:ascii="Times New Roman" w:cs="Times New Roman" w:eastAsia="Times New Roman" w:hAnsi="Times New Roman"/>
          <w:sz w:val="19"/>
          <w:szCs w:val="19"/>
          <w:color w:val="050505"/>
        </w:rPr>
        <w:t>The EU GDPR applies extraterritorially, and we are subject to the EU GDPR because of our data processing activities that involve the personal data of individuals located in the European Union, such as in connection with our EU clinical trials. Failure to comply with the requirements of the EU GDPR and the applicable national data protection laws of the EU member states may result in fines of up to €20,000,000 or up to 4% of the total worldwide annual turnover of the preceding financial year, whichever is higher, private litigation related to processing of personal data brought by classes of data subjects or consumer protection organizations authorized at law to represent their interests, and other administrative penalties. The EU GDPR regulations may impose additional responsibility and liability in relation to the personal data that we process and we may be required to put in place additional mechanisms to ensure compliance with the new data protection rules.</w:t>
      </w:r>
    </w:p>
    <w:p>
      <w:pPr>
        <w:spacing w:after="0" w:line="7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Additionally, numerous US states have passed comprehensive privacy laws. For example, the California Consumer Privacy Act (CCPA) creates new individual privacy rights for consumers (as that word is broadly defined in the law) and places increased privacy and security obligations on entities handling personal data of consumers or households. The CCPA requires covered companies to provide new disclosures to California consumers, affords California residents certain rights related to their personal data, including the right to opt-out of certain sales of personal data. The CCPA provides for fines and allows private litigants affected by certain data breaches to recover significant statutory damages. As our business progresses, the CCPA may become applicable and impact (possibly significantly) our business activities and exemplifies the vulnerability of our business to the evolving regulatory environment related to personal data and protected health information. Many other US states have passed similar comprehensive privacy laws, and more are likely to do so in the future.</w:t>
      </w:r>
    </w:p>
    <w:p>
      <w:pPr>
        <w:spacing w:after="0" w:line="89"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050505"/>
        </w:rPr>
        <w:t>Refer to the section titled “Risk Factors – Risks Related to Our Business and Industry” and “Risk Factors – Risks Related to Government Regulation” for additional information about the laws and regulations to which we may become subject and about the risks to our business associated with such laws and regulations.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Human Capital</w:t>
      </w:r>
    </w:p>
    <w:p>
      <w:pPr>
        <w:spacing w:after="0" w:line="137"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As of March 2, 2026, the Company had 152 total employees, of which 150 are full-time. Of our full-time employees, 34 hold Ph.D. and/or M.D. degrees, 3 hold Pharm.D. degrees, and 59 are engaged in research, development and technical operations. In May 2025 the Company implemented a workforce reduction in manufacturing and related functions that affected 61 employees.</w:t>
      </w:r>
    </w:p>
    <w:p>
      <w:pPr>
        <w:sectPr>
          <w:pgSz w:w="12240" w:h="15840" w:orient="portrait"/>
          <w:cols w:equalWidth="0" w:num="1">
            <w:col w:w="10220"/>
          </w:cols>
          <w:pgMar w:left="1000" w:top="793" w:right="102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35</w:t>
      </w:r>
    </w:p>
    <w:p>
      <w:pPr>
        <w:sectPr>
          <w:pgSz w:w="12240" w:h="15840" w:orient="portrait"/>
          <w:cols w:equalWidth="0" w:num="1">
            <w:col w:w="10220"/>
          </w:cols>
          <w:pgMar w:left="1000" w:top="793" w:right="1020" w:bottom="0" w:gutter="0" w:footer="0" w:header="0"/>
          <w:type w:val="continuous"/>
        </w:sectPr>
      </w:pPr>
    </w:p>
    <w:bookmarkStart w:id="39" w:name="page40"/>
    <w:bookmarkEnd w:id="39"/>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The Company continues to prioritize retention of critical clinical, manufacturing, and development personnel and has instituted targeted hiring programs to preserve operational continuity for its ongoing clinical programs. Most employees remain located in South San Francisco and Newark, California. The Company’s employees are not represented by labor unions or covered by collective bargaining agreements.</w:t>
      </w:r>
    </w:p>
    <w:p>
      <w:pPr>
        <w:spacing w:after="0" w:line="83"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050505"/>
        </w:rPr>
        <w:t>We believe our workforce is key to Allogene’s success and we actively focus on the following core elements of human capital: (1) our “One Allogene” culture, (2) belonging, fairness and representation and (3) recruitment, development and retention. We have also strived to create a safe working environment and have increased onsite presence since the end of the pandemic.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One Allogene Culture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We express our culture under the framework of “One Allogene”: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50505"/>
        </w:rPr>
        <w:t>One Allogene</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50505"/>
        </w:rPr>
        <w:t>We only succeed as a team.</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We accomplish more together than as individuals when we unite as one Allogene community.</w:t>
      </w:r>
    </w:p>
    <w:p>
      <w:pPr>
        <w:spacing w:after="0" w:line="243" w:lineRule="exact"/>
        <w:rPr>
          <w:sz w:val="20"/>
          <w:szCs w:val="20"/>
          <w:color w:val="auto"/>
        </w:rPr>
      </w:pPr>
    </w:p>
    <w:p>
      <w:pPr>
        <w:jc w:val="center"/>
        <w:ind w:left="1020" w:right="460"/>
        <w:spacing w:after="0" w:line="286" w:lineRule="auto"/>
        <w:rPr>
          <w:sz w:val="20"/>
          <w:szCs w:val="20"/>
          <w:color w:val="auto"/>
        </w:rPr>
      </w:pPr>
      <w:r>
        <w:rPr>
          <w:rFonts w:ascii="Times New Roman" w:cs="Times New Roman" w:eastAsia="Times New Roman" w:hAnsi="Times New Roman"/>
          <w:sz w:val="20"/>
          <w:szCs w:val="20"/>
          <w:b w:val="1"/>
          <w:bCs w:val="1"/>
          <w:color w:val="050505"/>
        </w:rPr>
        <w:t>We are resilient, because we strive to save the lives of people with cancer and improve the lives of people with autoimmune disorders.</w:t>
      </w:r>
    </w:p>
    <w:p>
      <w:pPr>
        <w:spacing w:after="0" w:line="59" w:lineRule="exact"/>
        <w:rPr>
          <w:sz w:val="20"/>
          <w:szCs w:val="20"/>
          <w:color w:val="auto"/>
        </w:rPr>
      </w:pPr>
    </w:p>
    <w:p>
      <w:pPr>
        <w:jc w:val="center"/>
        <w:ind w:left="1020" w:right="180"/>
        <w:spacing w:after="0" w:line="281" w:lineRule="auto"/>
        <w:rPr>
          <w:sz w:val="20"/>
          <w:szCs w:val="20"/>
          <w:color w:val="auto"/>
        </w:rPr>
      </w:pPr>
      <w:r>
        <w:rPr>
          <w:rFonts w:ascii="Times New Roman" w:cs="Times New Roman" w:eastAsia="Times New Roman" w:hAnsi="Times New Roman"/>
          <w:sz w:val="20"/>
          <w:szCs w:val="20"/>
          <w:color w:val="050505"/>
        </w:rPr>
        <w:t>We come together with purpose, courage and flexibility despite challenges or uncertainty because every potential patient is someone’s partner, parent, child, sibling or friend.</w:t>
      </w:r>
    </w:p>
    <w:p>
      <w:pPr>
        <w:spacing w:after="0" w:line="17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050505"/>
        </w:rPr>
        <w:t>We aim for excellence and give it our all.</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050505"/>
        </w:rPr>
        <w:t>We pursue scientific innovation with a focus on quality and integrity in everything we do to forever change how cancer is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treated.</w:t>
      </w:r>
    </w:p>
    <w:p>
      <w:pPr>
        <w:spacing w:after="0" w:line="2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050505"/>
        </w:rPr>
        <w:t>We take ownership and get things done.</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050505"/>
        </w:rPr>
        <w:t>We are leaders who embrace urgency, initiative and follow through, with the humility to know each one of us is vital to making</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AlloCAR T therapy a reality.</w:t>
      </w:r>
    </w:p>
    <w:p>
      <w:pPr>
        <w:spacing w:after="0" w:line="2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050505"/>
        </w:rPr>
        <w:t>We are good to one another.</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050505"/>
        </w:rPr>
        <w:t>We value distinct perspectives, backgrounds and expertise, we earn each other’s trust, and assume good intention as we</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collaborate to help patients.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We are creating a scientific revolution.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050505"/>
        </w:rPr>
        <w:t>We are One Allogene</w:t>
      </w:r>
    </w:p>
    <w:p>
      <w:pPr>
        <w:spacing w:after="0" w:line="137" w:lineRule="exact"/>
        <w:rPr>
          <w:sz w:val="20"/>
          <w:szCs w:val="20"/>
          <w:color w:val="auto"/>
        </w:rPr>
      </w:pPr>
    </w:p>
    <w:p>
      <w:pPr>
        <w:ind w:right="260" w:firstLine="720"/>
        <w:spacing w:after="0" w:line="266" w:lineRule="auto"/>
        <w:rPr>
          <w:sz w:val="20"/>
          <w:szCs w:val="20"/>
          <w:color w:val="auto"/>
        </w:rPr>
      </w:pPr>
      <w:r>
        <w:rPr>
          <w:rFonts w:ascii="Times New Roman" w:cs="Times New Roman" w:eastAsia="Times New Roman" w:hAnsi="Times New Roman"/>
          <w:sz w:val="20"/>
          <w:szCs w:val="20"/>
          <w:color w:val="050505"/>
        </w:rPr>
        <w:t>These core elements of our culture are meant to define how and why we do business. In addition, our core values of collaboration, leadership, innovation and focus help drive our culture and behaviors and are layered into our performance reviews so that we can keep ourselves and our employees accountable.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Belonging, Fairness and Representation</w:t>
      </w:r>
    </w:p>
    <w:p>
      <w:pPr>
        <w:spacing w:after="0" w:line="134"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050505"/>
        </w:rPr>
        <w:t>We are committed to cultivating, fostering, and preserving a culture of belonging, fairness and representation where we foster a supportive, empowering and positive environment through respect, collaboration, and open communication. We embrace and encourage differences across all demographics that make our employees unique. We also embrace differences in experience and background, and welcome different opinions and unique perspectives when making decisions. We believe that in cultivating this environment, our staff feel that they are able to contribute to their full potential. As of March 1, 2025, the general demographic makeup of our workforce remains generally consistent with past years.</w:t>
      </w:r>
    </w:p>
    <w:p>
      <w:pPr>
        <w:spacing w:after="0" w:line="88"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We are proud of our efforts to attract the best talent from the broadest pool of talent and we continue to focus on broadening our outreach to extend to all groups by posting our open positions on a variety of top job boards to seek a wide range of qualified candidates. We have and will continue to conduct training for interviewers and hiring managers to ensure they are making decisions based solely on facts, not assumptions, or irrelevant information. Our recruiters and hiring managers have active talent recruitment strategies to ensure that we are reaching the best talent available and giving qualified job applicants the opportunity to compete for positions.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36</w:t>
      </w:r>
    </w:p>
    <w:p>
      <w:pPr>
        <w:sectPr>
          <w:pgSz w:w="12240" w:h="15840" w:orient="portrait"/>
          <w:cols w:equalWidth="0" w:num="1">
            <w:col w:w="10220"/>
          </w:cols>
          <w:pgMar w:left="1000" w:top="793" w:right="1020" w:bottom="0" w:gutter="0" w:footer="0" w:header="0"/>
          <w:type w:val="continuous"/>
        </w:sectPr>
      </w:pPr>
    </w:p>
    <w:bookmarkStart w:id="40" w:name="page41"/>
    <w:bookmarkEnd w:id="40"/>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Our initiatives embrace and complement our One Allogene culture by ensuring that our Company and its employees are taking responsibility for ensuring a supportive, empowering and positive work environment where employees feel valued, engaged and fully committed to our mission to serve patients. These initiatives are applicable to our practices and policies, such as those on recruitment, compensation and professional development. We are also progressing the ongoing development of an supportive work environment grounded in psychological safety that encourages:</w:t>
      </w:r>
    </w:p>
    <w:p>
      <w:pPr>
        <w:spacing w:after="0" w:line="104" w:lineRule="exact"/>
        <w:rPr>
          <w:sz w:val="20"/>
          <w:szCs w:val="20"/>
          <w:color w:val="auto"/>
        </w:rPr>
      </w:pPr>
    </w:p>
    <w:p>
      <w:pPr>
        <w:ind w:left="720" w:hanging="370"/>
        <w:spacing w:after="0"/>
        <w:tabs>
          <w:tab w:leader="none" w:pos="720" w:val="left"/>
        </w:tabs>
        <w:numPr>
          <w:ilvl w:val="0"/>
          <w:numId w:val="2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Respectful communication and cooperation between all employees.</w:t>
      </w:r>
    </w:p>
    <w:p>
      <w:pPr>
        <w:spacing w:after="0" w:line="118" w:lineRule="exact"/>
        <w:rPr>
          <w:rFonts w:ascii="Arial" w:cs="Arial" w:eastAsia="Arial" w:hAnsi="Arial"/>
          <w:sz w:val="24"/>
          <w:szCs w:val="24"/>
          <w:b w:val="1"/>
          <w:bCs w:val="1"/>
          <w:color w:val="050505"/>
        </w:rPr>
      </w:pPr>
    </w:p>
    <w:p>
      <w:pPr>
        <w:ind w:left="720" w:hanging="370"/>
        <w:spacing w:after="0"/>
        <w:tabs>
          <w:tab w:leader="none" w:pos="720" w:val="left"/>
        </w:tabs>
        <w:numPr>
          <w:ilvl w:val="0"/>
          <w:numId w:val="26"/>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Valuing and soliciting input, feedback and opinions from relevant staff.</w:t>
      </w:r>
    </w:p>
    <w:p>
      <w:pPr>
        <w:spacing w:after="0" w:line="129" w:lineRule="exact"/>
        <w:rPr>
          <w:rFonts w:ascii="Arial" w:cs="Arial" w:eastAsia="Arial" w:hAnsi="Arial"/>
          <w:sz w:val="20"/>
          <w:szCs w:val="20"/>
          <w:b w:val="1"/>
          <w:bCs w:val="1"/>
          <w:color w:val="050505"/>
        </w:rPr>
      </w:pPr>
    </w:p>
    <w:p>
      <w:pPr>
        <w:ind w:left="720" w:hanging="370"/>
        <w:spacing w:after="0"/>
        <w:tabs>
          <w:tab w:leader="none" w:pos="720" w:val="left"/>
        </w:tabs>
        <w:numPr>
          <w:ilvl w:val="0"/>
          <w:numId w:val="26"/>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Teamwork and employee participation, permitting the representation of employee perspectives.</w:t>
      </w:r>
    </w:p>
    <w:p>
      <w:pPr>
        <w:spacing w:after="0" w:line="129" w:lineRule="exact"/>
        <w:rPr>
          <w:rFonts w:ascii="Arial" w:cs="Arial" w:eastAsia="Arial" w:hAnsi="Arial"/>
          <w:sz w:val="20"/>
          <w:szCs w:val="20"/>
          <w:b w:val="1"/>
          <w:bCs w:val="1"/>
          <w:color w:val="050505"/>
        </w:rPr>
      </w:pPr>
    </w:p>
    <w:p>
      <w:pPr>
        <w:ind w:left="720" w:right="60" w:hanging="370"/>
        <w:spacing w:after="0" w:line="281" w:lineRule="auto"/>
        <w:tabs>
          <w:tab w:leader="none" w:pos="720" w:val="left"/>
        </w:tabs>
        <w:numPr>
          <w:ilvl w:val="0"/>
          <w:numId w:val="26"/>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Employer and employee contributions to the communities we serve to promote a greater understanding and respect for others.</w:t>
      </w:r>
    </w:p>
    <w:p>
      <w:pPr>
        <w:spacing w:after="0" w:line="53"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To champion our efforts in this area, we established a governance structure and formed a cross-functional committee (Committee) comprised of employees of various levels, departments and backgrounds to help advance and promote our commitment to maintaining the culture described above, and the responsibility of our employees to treat others with dignity and respect at all times regardless of our differences. All employees are also encouraged to attend and complete annual awareness training to enhance their knowledge to fulfill this responsibility. The Committee continually works to respond to feedback provided by peers, and present suggestions on our practices and policies to encourage and enforce an environment in which all employees feel that they are part of our team and empowered to achieve their best.</w:t>
      </w:r>
    </w:p>
    <w:p>
      <w:pPr>
        <w:spacing w:after="0" w:line="90" w:lineRule="exact"/>
        <w:rPr>
          <w:sz w:val="20"/>
          <w:szCs w:val="20"/>
          <w:color w:val="auto"/>
        </w:rPr>
      </w:pPr>
    </w:p>
    <w:p>
      <w:pPr>
        <w:ind w:right="160" w:firstLine="720"/>
        <w:spacing w:after="0" w:line="256" w:lineRule="auto"/>
        <w:rPr>
          <w:sz w:val="20"/>
          <w:szCs w:val="20"/>
          <w:color w:val="auto"/>
        </w:rPr>
      </w:pPr>
      <w:r>
        <w:rPr>
          <w:rFonts w:ascii="Times New Roman" w:cs="Times New Roman" w:eastAsia="Times New Roman" w:hAnsi="Times New Roman"/>
          <w:sz w:val="20"/>
          <w:szCs w:val="20"/>
          <w:color w:val="050505"/>
        </w:rPr>
        <w:t>We believe in equal pay for equal work. We establish components and ranges of compensation based on market and benchmark data. Within this context, we strive to pay all employees fairly within a reasonable range, taking into consideration factors such as role; market data; internal consistency; job location; relevant experience; and individual, department and company performance. We also regularly review our compensation practices and analyze our compensation decisions for individual employees and our workforce as a whole on at least an annual basis. Since 2020, we have conducted a pay analysis annually which we believe demonstrates that our compensation practices and structure are fair.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Recruitment, Development and Retention</w:t>
      </w:r>
    </w:p>
    <w:p>
      <w:pPr>
        <w:spacing w:after="0" w:line="134"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050505"/>
        </w:rPr>
        <w:t>Successful execution of our strategy is dependent on attracting, developing and retaining our employees. We have and believe we will continue to face significant competition for life science talent. We believe, however, that our leadership in the field of allogeneic cell therapy and our culture have allowed us to recruit a talented workforce. In 2024, we recruited over 34 new employees. Our average time to hire was less than 48 days and over 85% of candidates accepted our offers.</w:t>
      </w:r>
    </w:p>
    <w:p>
      <w:pPr>
        <w:spacing w:after="0" w:line="83"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We believe our total compensation package also helps recruit and retain our employees. We strive to provide pay, benefits, and services that are competitive to market and create incentives to attract and retain employees. Our compensation package includes market-competitive pay, broad-based stock grants, health care and 401(k) plan benefits, paid time off and family leave, among others. We also provide annual incentive bonus opportunities that are tied to both company performance as well as individual performance to foster a pay-for-performance culture.</w:t>
      </w:r>
    </w:p>
    <w:p>
      <w:pPr>
        <w:spacing w:after="0" w:line="84"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19"/>
          <w:szCs w:val="19"/>
          <w:color w:val="050505"/>
        </w:rPr>
        <w:t>Developing our employees is important, and we focus on providing training opportunities and promotional opportunities. Learning and development, training and other resources are an integral part of retaining our employees and creating a culture of learning and leadership within Allogene. Our training offerings provide staff with a variety of opportunities to learn, enhance and practice fundamental leadership skills to enable them to be more effective in their roles and develop their skills for further growth. We also train relevant members of our team on important environmental health and safety topics to help ensure we protect our people and our environment as we operate our business. We encourage our employees to participate and take advantage of a variety of learning and development resources, including online business skills courses, professional development events, and external training programs based on individual needs. We also actively review employee performance and business needs every six months that lead to promotional opportunities for employees across departments and levels.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Employee Safety</w:t>
      </w:r>
    </w:p>
    <w:p>
      <w:pPr>
        <w:spacing w:after="0" w:line="13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050505"/>
        </w:rPr>
        <w:t>One key aspect of our One Allogene culture is the principle that “We Aim for Excellence and Give it Our All,” and that includes prioritizing safety. Ingrained in that concept is the tenet to follow all health and safety policies and procedures and prioritize the safety of our team.</w:t>
      </w:r>
    </w:p>
    <w:p>
      <w:pPr>
        <w:spacing w:after="0" w:line="75" w:lineRule="exact"/>
        <w:rPr>
          <w:sz w:val="20"/>
          <w:szCs w:val="20"/>
          <w:color w:val="auto"/>
        </w:rPr>
      </w:pPr>
    </w:p>
    <w:p>
      <w:pPr>
        <w:jc w:val="both"/>
        <w:ind w:right="340" w:firstLine="720"/>
        <w:spacing w:after="0" w:line="286" w:lineRule="auto"/>
        <w:rPr>
          <w:sz w:val="20"/>
          <w:szCs w:val="20"/>
          <w:color w:val="auto"/>
        </w:rPr>
      </w:pPr>
      <w:r>
        <w:rPr>
          <w:rFonts w:ascii="Times New Roman" w:cs="Times New Roman" w:eastAsia="Times New Roman" w:hAnsi="Times New Roman"/>
          <w:sz w:val="19"/>
          <w:szCs w:val="19"/>
          <w:color w:val="050505"/>
        </w:rPr>
        <w:t>To maintain a safe and healthy workplace, we have a comprehensive Environment, Health and Safety program that focuses on key risk mitigation programs that identify, assess, and correct hazards. We also have a task-based safety training program that is designed for staff to be assigned the appropriate training to understand how to safely perform their duties.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37</w:t>
      </w:r>
    </w:p>
    <w:p>
      <w:pPr>
        <w:sectPr>
          <w:pgSz w:w="12240" w:h="15840" w:orient="portrait"/>
          <w:cols w:equalWidth="0" w:num="1">
            <w:col w:w="10240"/>
          </w:cols>
          <w:pgMar w:left="1000" w:top="793" w:right="100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050505"/>
        </w:rPr>
        <w:t>Corporate Information</w:t>
      </w:r>
    </w:p>
    <w:p>
      <w:pPr>
        <w:spacing w:after="0" w:line="13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We were incorporated in Delaware in November 2017. Our principal executive offices are located at 210 East Grand Avenue, South San Francisco, California 94080, and our telephone number is (650) 457-2700. Our corporate website address is www.allogene.com. We make available, free of charge on our website our annual report on Form 10-K, quarterly reports on Form 10-Q, current reports on Form 8-K, and any amendments to those reports, as soon as reasonably practicable after filing such reports with the Securities and Exchange Commission. Alternatively, you may access these reports at the SEC’s website at www.sec.gov. Information contained on or accessible through our website is not a part of this report, and the inclusion of our website address in this report is an inactive textual reference only.</w:t>
      </w: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38</w:t>
      </w:r>
    </w:p>
    <w:p>
      <w:pPr>
        <w:sectPr>
          <w:pgSz w:w="12240" w:h="15840" w:orient="portrait"/>
          <w:cols w:equalWidth="0" w:num="1">
            <w:col w:w="10220"/>
          </w:cols>
          <w:pgMar w:left="1000" w:top="786" w:right="102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050505"/>
        </w:rPr>
        <w:t>Item 1A. Risk Factors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50505"/>
        </w:rPr>
        <w:t>RISK FACTORS</w:t>
      </w:r>
    </w:p>
    <w:p>
      <w:pPr>
        <w:spacing w:after="0" w:line="83"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050505"/>
        </w:rPr>
        <w:t>An investment in shares of our common stock involves a high degree of risk. We have identified the following material factors that make an investment in our common stock speculative or risky. You should carefully consider the following risk factors, as well as the other information in this Annual Report. The occurrence of any of the following risks could harm our business, financial condition, results of operations and growth prospects or cause our actual results to differ materially from those contained in forward-looking statements we have made in this Annual Report and those we may make from time to time. The risks described below are not the only ones we face. Additional risks and uncertainties not presently known to us or that we currently deem immaterial also may impair our business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Financial Position and Capital Needs</w:t>
      </w:r>
    </w:p>
    <w:p>
      <w:pPr>
        <w:spacing w:after="0" w:line="24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have incurred net losses in every period since our inception and anticipate that we will incur substantial net losses in the future.</w:t>
      </w:r>
    </w:p>
    <w:p>
      <w:pPr>
        <w:spacing w:after="0" w:line="57"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050505"/>
        </w:rPr>
        <w:t>We are a clinical-stage biopharmaceutical company and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are advancing an allogeneic CAR T platform of primarily early-stage product candidates and have no products approved for commercial sale and have not generated any revenue from product sales to date, and we will continue to incur significant research and development and other expenses related to our ongoing operations. To date, we have devoted substantially all of our resources to organizing and staffing our company, business planning, raising capital, securing related intellectual property rights, building our product manufacturing infrastructure, including a dedicated good manufacturing practices (GMP) manufacturing facility, manufacturing our clinical product candidates and conducting discovery, research and development activities for our programs. As a result, we are not profitable and have incurred net losses in each period since our inception. For the year ended December 31, 2025, we reported a net loss of $190.9 million. As of December 31, 2025, we had an accumulated deficit of $2.0 billion.</w:t>
      </w:r>
    </w:p>
    <w:p>
      <w:pPr>
        <w:spacing w:after="0" w:line="91"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050505"/>
        </w:rPr>
        <w:t>We expect to incur significant expenditures for the foreseeable future, and we expect these expenditures to increase as we continue our research and development of, and seek regulatory approvals for, product candidates based on our engineered allogeneic CAR T cell platform. Because our allogeneic CAR T cell product candidates are based on new technologies and will require the creation of inventory of mass-produced, off-the-shelf product, they will require extensive research and development and have substantial manufacturing and processing costs. In addition, costs to treat patients with relapsed or refractory cancer and to treat potential side effects that may result from our product candidates can be significant.</w:t>
      </w:r>
    </w:p>
    <w:p>
      <w:pPr>
        <w:spacing w:after="0" w:line="88"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We may encounter unforeseen expenses, difficulties, complications, delays and other unknown factors that may adversely affect our business. For instance, the U.S. Food and Drug Administration (FDA) placed our clinical trials on hold in October 2021, which suspended our clinical programs prior to resolution of the hold in January 2022. Even if we succeed in advancing our clinical trials and commercializing one or more of our product candidates, we will continue to incur substantial research and development and other expenditures to develop and market additional product candidates.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04"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We will need substantial additional financing to develop our products and implement our operating plans. If we fail to obtain additional financing, we may be unable to complete the development and commercialization of our product candidates.</w:t>
      </w:r>
    </w:p>
    <w:p>
      <w:pPr>
        <w:spacing w:after="0" w:line="76"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We expect to spend a substantial amount of capital in the development and manufacture of our product candidates. We will need substantial additional financing to develop our products and implement our operating plans. In particular, we will require substantial additional financing to enable commercial production of our products and initiate and complete registrational trials for multiple products in multiple regions. Further, if approved, we will require significant additional capital in order to launch and commercialize our product candidates.</w:t>
      </w:r>
    </w:p>
    <w:p>
      <w:pPr>
        <w:spacing w:after="0" w:line="84"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19"/>
          <w:szCs w:val="19"/>
          <w:color w:val="050505"/>
        </w:rPr>
        <w:t>As of December 31, 2025, we had $258.3 million in cash and cash equivalents and investments. Changing circumstances may cause us to consume capital significantly faster than we currently anticipate, and we may need to spend more money than currently expected because of circumstances beyond our control. We may also need to raise additional capital sooner than we currently anticipate if we choose to expand more rapidly than we presently plan. In any event, we will require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39</w:t>
      </w:r>
    </w:p>
    <w:p>
      <w:pPr>
        <w:sectPr>
          <w:pgSz w:w="12240" w:h="15840" w:orient="portrait"/>
          <w:cols w:equalWidth="0" w:num="1">
            <w:col w:w="10240"/>
          </w:cols>
          <w:pgMar w:left="1000" w:top="786" w:right="1000" w:bottom="0" w:gutter="0" w:footer="0" w:header="0"/>
          <w:type w:val="continuous"/>
        </w:sectPr>
      </w:pPr>
    </w:p>
    <w:bookmarkStart w:id="43" w:name="page44"/>
    <w:bookmarkEnd w:id="43"/>
    <w:p>
      <w:pPr>
        <w:ind w:right="140"/>
        <w:spacing w:after="0" w:line="281" w:lineRule="auto"/>
        <w:rPr>
          <w:sz w:val="20"/>
          <w:szCs w:val="20"/>
          <w:color w:val="auto"/>
        </w:rPr>
      </w:pPr>
      <w:r>
        <w:rPr>
          <w:rFonts w:ascii="Times New Roman" w:cs="Times New Roman" w:eastAsia="Times New Roman" w:hAnsi="Times New Roman"/>
          <w:sz w:val="20"/>
          <w:szCs w:val="20"/>
          <w:color w:val="050505"/>
        </w:rPr>
        <w:t>additional capital for the further development and commercialization of our product candidates, including funding our internal manufacturing capabilities.</w:t>
      </w:r>
    </w:p>
    <w:p>
      <w:pPr>
        <w:spacing w:after="0" w:line="6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We cannot be certain that additional funding will be available on acceptable terms, or at all. We have no committed source of additional capital and our stock price has faced extreme volatility and has declined. To the extent that we raise additional capital through the sale of equity or convertible debt securities or to the extent that we may issue equity securities in connection with a strategic transaction, the ownership interest of our stockholders will be diluted.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w:t>
      </w:r>
    </w:p>
    <w:p>
      <w:pPr>
        <w:spacing w:after="0" w:line="96" w:lineRule="exact"/>
        <w:rPr>
          <w:sz w:val="20"/>
          <w:szCs w:val="20"/>
          <w:color w:val="auto"/>
        </w:rPr>
      </w:pPr>
    </w:p>
    <w:p>
      <w:pPr>
        <w:ind w:right="60" w:firstLine="720"/>
        <w:spacing w:after="0" w:line="281" w:lineRule="auto"/>
        <w:rPr>
          <w:sz w:val="20"/>
          <w:szCs w:val="20"/>
          <w:color w:val="auto"/>
        </w:rPr>
      </w:pPr>
      <w:r>
        <w:rPr>
          <w:rFonts w:ascii="Times New Roman" w:cs="Times New Roman" w:eastAsia="Times New Roman" w:hAnsi="Times New Roman"/>
          <w:sz w:val="20"/>
          <w:szCs w:val="20"/>
          <w:color w:val="050505"/>
        </w:rPr>
        <w:t>Any of the above events could significantly harm our business, prospects, financial condition and results of operations and cause the price of our common stock to decline.</w:t>
      </w:r>
    </w:p>
    <w:p>
      <w:pPr>
        <w:spacing w:after="0" w:line="172"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may fail to meet our publicly announced guidance or other expectations about our business, which would cause our stock price to decline.</w:t>
      </w:r>
    </w:p>
    <w:p>
      <w:pPr>
        <w:spacing w:after="0" w:line="57"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050505"/>
        </w:rPr>
        <w:t>We may provide guidance regarding our expected financial and business performance, such as projections regarding our cash runway and projected clinical development and/or regulatory milestones. Correctly identifying key factors affecting business conditions and predicting future events is an inherently uncertain process and our guidance may not ultimately be accurate. Our guidance is based on certain assumptions relating to our expenses which may fluctuate based on how quickly we are able to execute on our operational initiatives, such as the timing of initiation of clinical trials and the rate of enrollment in such trials, and the timing of certain milestone payments, manufacturing expenses, employee expenses, facility expenses, and potential modifications of existing or the establishment of new partnership agreements. If our assumptions are not met or are impacted as a result of various risks and uncertainties, we may have to raise additional capital sooner than we currently expect and the market value of our common stock could decline significantly.</w:t>
      </w:r>
    </w:p>
    <w:p>
      <w:pPr>
        <w:spacing w:after="0" w:line="200" w:lineRule="exact"/>
        <w:rPr>
          <w:sz w:val="20"/>
          <w:szCs w:val="20"/>
          <w:color w:val="auto"/>
        </w:rPr>
      </w:pPr>
    </w:p>
    <w:p>
      <w:pPr>
        <w:ind w:right="1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Business disruptions could seriously harm our future revenue and financial condition and increase our costs and expenses.</w:t>
      </w:r>
    </w:p>
    <w:p>
      <w:pPr>
        <w:spacing w:after="0" w:line="57"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050505"/>
        </w:rPr>
        <w:t>Our operations, and those of our CDMOs, contract research organizations (CROs), clinical trial sites and other contractors and consultants, could be subject to business disruptions, including those caused by earthquakes, power shortages, telecommunications failures, cybersecurity attacks, water shortages, floods, hurricanes, tsunamis, typhoons, fires, extreme weather conditions, medical epidemics or pandemics, wars and other geopolitical conflicts (including military conflicts, threatened hostilities, and conflicts or heighted tension among alliance countries), bank failures, adverse legislative actions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93"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20"/>
          <w:szCs w:val="20"/>
          <w:color w:val="050505"/>
        </w:rPr>
        <w:t>Our ability to manufacture or distribute our product candidates could be disrupted if our operations or those of our suppliers are affected by a man-made or natural disaster or other business interruption. Our corporate headquarters and manufacturing facility are located in California near major earthquake faults and fire and flood zones. The ultimate impact on us, our significant suppliers and our general infrastructure of being located near major earthquake faults and fire and flood zones and being consolidated in certain geographical areas is unknown, but our operations and financial condition could suffer in the event of a major earthquake, fire, flood or other natural disaster.</w:t>
      </w:r>
    </w:p>
    <w:p>
      <w:pPr>
        <w:spacing w:after="0" w:line="199"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Adverse developments affecting the financial services industry could adversely affect our current and projected business operations and our financial condition and results of operations.</w:t>
      </w:r>
    </w:p>
    <w:p>
      <w:pPr>
        <w:spacing w:after="0" w:line="57" w:lineRule="exact"/>
        <w:rPr>
          <w:sz w:val="20"/>
          <w:szCs w:val="20"/>
          <w:color w:val="auto"/>
        </w:rPr>
      </w:pPr>
    </w:p>
    <w:p>
      <w:pPr>
        <w:ind w:right="20" w:firstLine="720"/>
        <w:spacing w:after="0" w:line="268" w:lineRule="auto"/>
        <w:rPr>
          <w:sz w:val="20"/>
          <w:szCs w:val="20"/>
          <w:color w:val="auto"/>
        </w:rPr>
      </w:pPr>
      <w:r>
        <w:rPr>
          <w:rFonts w:ascii="Times New Roman" w:cs="Times New Roman" w:eastAsia="Times New Roman" w:hAnsi="Times New Roman"/>
          <w:sz w:val="19"/>
          <w:szCs w:val="19"/>
          <w:color w:val="050505"/>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institutions, or that they would do so in a timely fashion. 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w:t>
      </w:r>
    </w:p>
    <w:p>
      <w:pPr>
        <w:sectPr>
          <w:pgSz w:w="12240" w:h="15840" w:orient="portrait"/>
          <w:cols w:equalWidth="0" w:num="1">
            <w:col w:w="10220"/>
          </w:cols>
          <w:pgMar w:left="1000" w:top="793" w:right="1020" w:bottom="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40</w:t>
      </w:r>
    </w:p>
    <w:p>
      <w:pPr>
        <w:sectPr>
          <w:pgSz w:w="12240" w:h="15840" w:orient="portrait"/>
          <w:cols w:equalWidth="0" w:num="1">
            <w:col w:w="10220"/>
          </w:cols>
          <w:pgMar w:left="1000" w:top="793" w:right="1020" w:bottom="0" w:gutter="0" w:footer="0" w:header="0"/>
          <w:type w:val="continuous"/>
        </w:sectPr>
      </w:pPr>
    </w:p>
    <w:bookmarkStart w:id="44" w:name="page45"/>
    <w:bookmarkEnd w:id="44"/>
    <w:p>
      <w:pPr>
        <w:ind w:right="640"/>
        <w:spacing w:after="0" w:line="266" w:lineRule="auto"/>
        <w:rPr>
          <w:sz w:val="20"/>
          <w:szCs w:val="20"/>
          <w:color w:val="auto"/>
        </w:rPr>
      </w:pPr>
      <w:r>
        <w:rPr>
          <w:rFonts w:ascii="Times New Roman" w:cs="Times New Roman" w:eastAsia="Times New Roman" w:hAnsi="Times New Roman"/>
          <w:sz w:val="20"/>
          <w:szCs w:val="20"/>
          <w:color w:val="050505"/>
        </w:rPr>
        <w:t>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75"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050505"/>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93"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050505"/>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Our ability to utilize our net operating loss carryforwards and certain other tax attributes may be limited.</w:t>
      </w:r>
    </w:p>
    <w:p>
      <w:pPr>
        <w:spacing w:after="0" w:line="13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U.S. federal net operating losses incurred in tax years beginning after December 31, 2017, may be carried forward indefinitely, but the deductibility of such federal net operating loss carryforwards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change (by value) in the equity ownership of certain stockholders over a rolling three-year period), the corporation’s ability to use its pre-change net operating loss carryforwards and other pre-change tax attributes to offset its post-change income or taxes may be limited. As a result of our registered offering in May 2024, activity related to our at-the-market (ATM) equity facility, our initial public offering (IPO) in October 2018 and private placements and other transactions that have occurred since our incorporation, we may have experienced an “ownership change”. We may also experience ownership changes in the future as a result of subsequent shifts in our stock ownership. We anticipate incurring significant additional net losses for the foreseeable future, and our ability to utilize net operating loss carryforwards associated with any such losses to offset future taxable income may be limited to the extent we incur future ownership changes.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2023 and before 2027. As a result, we may be unable to use all or a material portion of our net operating loss carryforwards and other tax attributes, which could adversely affect our future cash flows.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Business and Industry</w:t>
      </w:r>
    </w:p>
    <w:p>
      <w:pPr>
        <w:spacing w:after="0" w:line="248"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Our product candidates are based on novel technologies, which makes it difficult to predict the time and cost of product candidate development and the likelihood of obtaining regulatory approval.</w:t>
      </w:r>
    </w:p>
    <w:p>
      <w:pPr>
        <w:spacing w:after="0" w:line="57"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We have concentrated our research, development and manufacturing efforts on our engineered allogeneic CAR T cell therapy and our future success depends on the successful development of this therapeutic approach. We are in the early stages of developing our platform and we have experienced significant development challenges, such as with the prior clinical hold by the FDA, and there can be no assurance that any development problems we have now or experience in the future will not cause significant delays or unanticipated costs, or that such development problems can be overcome. We may also experience regulatory, operational, or technical challenges or delays when we seek to transition to commercial manufacturing, which may prevent us from commercializing our products, if approved, on a timely or profitable basis, if at all.</w:t>
      </w:r>
    </w:p>
    <w:p>
      <w:pPr>
        <w:spacing w:after="0" w:line="90"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050505"/>
        </w:rPr>
        <w:t>In addition, since we are in the early stages of clinical development, we do not know all the doses to be evaluated in pivotal trials or, if approved, commercially. Finding a suitable dose for our cell therapy product candidates may delay our</w:t>
      </w:r>
    </w:p>
    <w:p>
      <w:pPr>
        <w:sectPr>
          <w:pgSz w:w="12240" w:h="15840" w:orient="portrait"/>
          <w:cols w:equalWidth="0" w:num="1">
            <w:col w:w="10240"/>
          </w:cols>
          <w:pgMar w:left="1000" w:top="793" w:right="100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41</w:t>
      </w:r>
    </w:p>
    <w:p>
      <w:pPr>
        <w:sectPr>
          <w:pgSz w:w="12240" w:h="15840" w:orient="portrait"/>
          <w:cols w:equalWidth="0" w:num="1">
            <w:col w:w="10240"/>
          </w:cols>
          <w:pgMar w:left="1000" w:top="793" w:right="1000" w:bottom="0" w:gutter="0" w:footer="0" w:header="0"/>
          <w:type w:val="continuous"/>
        </w:sectPr>
      </w:pPr>
    </w:p>
    <w:bookmarkStart w:id="45" w:name="page46"/>
    <w:bookmarkEnd w:id="45"/>
    <w:p>
      <w:pPr>
        <w:ind w:right="160"/>
        <w:spacing w:after="0" w:line="256" w:lineRule="auto"/>
        <w:rPr>
          <w:sz w:val="20"/>
          <w:szCs w:val="20"/>
          <w:color w:val="auto"/>
        </w:rPr>
      </w:pPr>
      <w:r>
        <w:rPr>
          <w:rFonts w:ascii="Times New Roman" w:cs="Times New Roman" w:eastAsia="Times New Roman" w:hAnsi="Times New Roman"/>
          <w:sz w:val="20"/>
          <w:szCs w:val="20"/>
          <w:color w:val="050505"/>
        </w:rPr>
        <w:t>anticipated clinical development timelines. These unknowns and other emerging findings from our clinical trials may result in protocol amendments, which may result in additional costs and may also delay our anticipated clinical development timelines. For example, our decision to terminate the FCA arm (fludarabine, cyclophosphamide, and ALLO-647) in our ALPHA3 trial resulted in a protocol amendment that has resulted in additional costs and could delay our anticipated clinical development timeline. In addition, our expectations with regard to our scalability and costs of manufacturing may vary significantly as we develop our product candidates and understand these critical factors.</w:t>
      </w:r>
    </w:p>
    <w:p>
      <w:pPr>
        <w:spacing w:after="0" w:line="8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We are also advancing product candidates against unexplored targets and with new technology. For example, we are advancing ALLO-316 against the CD70 target, and ALLO-329 against CD19 and CD70 targets. ALLO-316 may have limited efficacy, even accounting for the selection of patients with CD70 positive tumors, or have off-target toxicities. As a dual-targeting CAR T product candidate, ALLO-329 may demonstrate limited ability to target and eliminate cells, including both B and T lymphocytes, that express one or both targets. Additionally, there may be unexpected toxicity, such as severe or prolonged immunosuppression or hyperinflammation, arising from targeting both CD19 and CD70 simultaneously. Since CD70 is found on activated T and other immune cells, ALLO-316 and ALLO-329 may also cause fratricide resulting in the loss of ALLO-316 or ALLO-329 cells, either during the manufacturing process or after the cells are administered to patients, or may deplete host T or other immune cells.</w:t>
      </w:r>
    </w:p>
    <w:p>
      <w:pPr>
        <w:spacing w:after="0" w:line="89"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050505"/>
        </w:rPr>
        <w:t>In addition, we are developing next-generation allogeneic CAR T technologies such as our proprietary Dagger® platform technology, which is incorporated into ALLO-316 and ALLO-329. Dagger® is designed to eliminate activated host T cells that may otherwise mediate rejection of infused allogeneic CAR T cells and thereby reduce or potentially eliminate the need for standard lymphodepletion. This approach is novel and remains unproven. Dagger® technology may not function as intended, may fail to meaningfully reduce or eliminate the need for lymphodepleting chemotherapy, or may not improve expansion, persistence or clinical outcomes of our product candidates. In addition, the mechanism of eliminating activated host immune cells may introduce additional safety risks, including unintended immune effects or toxicities, which could limit dosing, delay development or prevent successful clinical advancement of product candidates incorporating this technology.</w:t>
      </w:r>
    </w:p>
    <w:p>
      <w:pPr>
        <w:spacing w:after="0" w:line="93"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CAR T administration and/or the lymphodepletion that is required before administration of CAR T cells, may increase the risk of prolonged blood cell count suppression (cytopenia) or other adverse events including infections or inflammatory conditions such as cytokine release syndrome (CRS), immune effector cell-associated neurotoxicity syndrome (ICANS), and/or immune effector cell-associated hemophagocytic lymphohistiocytosis-like syndrome (IEC-HS), which can be life-threatening and results in death. These events have been observed in our clinical trials and have resulted in pausing enrollment or requiring protocol amendments. For example, in our ongoing ALLO-316 TRAVERSE trial, we implemented risk mitigation measures for IEC-HS, which delayed and increased the cost of conducting the clinical trial.</w:t>
      </w:r>
    </w:p>
    <w:p>
      <w:pPr>
        <w:spacing w:after="0" w:line="90"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color w:val="050505"/>
        </w:rPr>
        <w:t>In our ALPHA3 trial, we are advancing cema-cel for the treatment of patients with LBCL who have completed standard first line therapy and have attained a remission, but who still test positive for minimal residual disease (MRD). As part of this trial, under Investigational Device Exemption (IDE), we are using an investigational assay developed by Foresight Diagnostics, known as the CLARITY</w:t>
      </w:r>
      <w:r>
        <w:rPr>
          <w:rFonts w:ascii="Times New Roman" w:cs="Times New Roman" w:eastAsia="Times New Roman" w:hAnsi="Times New Roman"/>
          <w:sz w:val="26"/>
          <w:szCs w:val="26"/>
          <w:color w:val="050505"/>
          <w:vertAlign w:val="superscript"/>
        </w:rPr>
        <w:t>TM</w:t>
      </w:r>
      <w:r>
        <w:rPr>
          <w:rFonts w:ascii="Times New Roman" w:cs="Times New Roman" w:eastAsia="Times New Roman" w:hAnsi="Times New Roman"/>
          <w:sz w:val="20"/>
          <w:szCs w:val="20"/>
          <w:color w:val="050505"/>
        </w:rPr>
        <w:t xml:space="preserve"> MRD assay, to determine if a patient is MRD positive. The CLARITY</w:t>
      </w:r>
      <w:r>
        <w:rPr>
          <w:rFonts w:ascii="Times New Roman" w:cs="Times New Roman" w:eastAsia="Times New Roman" w:hAnsi="Times New Roman"/>
          <w:sz w:val="26"/>
          <w:szCs w:val="26"/>
          <w:color w:val="050505"/>
          <w:vertAlign w:val="superscript"/>
        </w:rPr>
        <w:t>TM</w:t>
      </w:r>
      <w:r>
        <w:rPr>
          <w:rFonts w:ascii="Times New Roman" w:cs="Times New Roman" w:eastAsia="Times New Roman" w:hAnsi="Times New Roman"/>
          <w:sz w:val="20"/>
          <w:szCs w:val="20"/>
          <w:color w:val="050505"/>
        </w:rPr>
        <w:t xml:space="preserve"> MRD assay represents a novel approach to detecting the presence of minimal disease and the design of our trial is based on certain assumptions regarding the performance of the MRD assay, including assumptions regarding the anticipated MRD+ rate being consistent with published data. There is a risk that the assay may not function as intended and that the assay may not be sufficiently sensitive to detect the presence of low levels of MRD or sufficiently specific to avoid unacceptable rates of false positives. There is also a risk that the MRD+ rate observed in ALPHA3 may be lower than the previously reported rates as a result of the patient population screened, availability of sufficient patient test material, the performance of the test, and other factors that differ from previously reported rates. In addition, there are logistical risks with distributing diagnostic test kits to clinical trial sites, and collecting and sending patient samples to Foresight Diagnostics for testing, and there is a risk that the MRD assay will not be timely performed on the patient samples. Such logistical and timing risks are enhanced as we look to expand the ALPHA3 trial to clinical trial sites outside of the United States. If the MRD assay does not function as intended (e.g., false negatives/positives, or the MRD+ rate is lower than expected), or if the MRD assay is not timely performed on patient samples, it could negatively impact the rate of enrollment, the clinical results of, or the feasibility of the ALPHA3 trial, or negatively impact the market opportunity for cema-cel. In addition, we are reliant on Foresight Diagnostics to perform MRD testing. A delay or failure by Foresight Diagnostics to perform MRD testing may negatively impact our ability to conduct the ALPHA3 trial as planned, or prevent us from conducting the ALPHA3 trial.</w:t>
      </w:r>
    </w:p>
    <w:p>
      <w:pPr>
        <w:spacing w:after="0" w:line="93" w:lineRule="exact"/>
        <w:rPr>
          <w:sz w:val="20"/>
          <w:szCs w:val="20"/>
          <w:color w:val="auto"/>
        </w:rPr>
      </w:pPr>
    </w:p>
    <w:p>
      <w:pPr>
        <w:ind w:right="40" w:firstLine="720"/>
        <w:spacing w:after="0" w:line="271" w:lineRule="auto"/>
        <w:rPr>
          <w:sz w:val="20"/>
          <w:szCs w:val="20"/>
          <w:color w:val="auto"/>
        </w:rPr>
      </w:pPr>
      <w:r>
        <w:rPr>
          <w:rFonts w:ascii="Times New Roman" w:cs="Times New Roman" w:eastAsia="Times New Roman" w:hAnsi="Times New Roman"/>
          <w:sz w:val="19"/>
          <w:szCs w:val="19"/>
          <w:color w:val="050505"/>
        </w:rPr>
        <w:t>The clinical study requirements of the FDA, European Medicines Agency (EMA) and other comparable foreign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For example, the regulatory approval process for cema-cel based on our ALPHA3 trial is more complex because the regulatory agencies may require us to pair the approval of cema-cel with a companion diagnostic test. Approvals by the European Commission and FDA</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42</w:t>
      </w:r>
    </w:p>
    <w:p>
      <w:pPr>
        <w:sectPr>
          <w:pgSz w:w="12240" w:h="15840" w:orient="portrait"/>
          <w:cols w:equalWidth="0" w:num="1">
            <w:col w:w="10240"/>
          </w:cols>
          <w:pgMar w:left="1000" w:top="793" w:right="1000" w:bottom="0" w:gutter="0" w:footer="0" w:header="0"/>
          <w:type w:val="continuous"/>
        </w:sectPr>
      </w:pPr>
    </w:p>
    <w:bookmarkStart w:id="46" w:name="page47"/>
    <w:bookmarkEnd w:id="46"/>
    <w:p>
      <w:pPr>
        <w:ind w:right="160"/>
        <w:spacing w:after="0" w:line="260" w:lineRule="auto"/>
        <w:rPr>
          <w:sz w:val="20"/>
          <w:szCs w:val="20"/>
          <w:color w:val="auto"/>
        </w:rPr>
      </w:pPr>
      <w:r>
        <w:rPr>
          <w:rFonts w:ascii="Times New Roman" w:cs="Times New Roman" w:eastAsia="Times New Roman" w:hAnsi="Times New Roman"/>
          <w:sz w:val="20"/>
          <w:szCs w:val="20"/>
          <w:color w:val="050505"/>
        </w:rPr>
        <w:t>for existing autologous CAR T therapies, such as Kymriah® and Yescarta®, may not be indicative of what these regulators may require for approval of our therapies. Also, the use of healthy donor material in our allogeneic CAR T product candidates may create product variability challenges for us, and we do not yet fully understand the impact of donor variability on clinical outcomes.</w:t>
      </w:r>
    </w:p>
    <w:p>
      <w:pPr>
        <w:spacing w:after="0" w:line="8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More generally, approvals by any regulatory agency may not be indicative of what any other regulatory agency may require for approval or what such regulatory agencies may require for approval in connection with new product candidates. Moreover, our product candidates may not perform successfully in clinical trials or may be associated with adverse events that distinguish them from the autologous CAR T therapies that have previously been approved. For instance, allogeneic product candidates may result in graft-versus-host disease (GvHD) or chromosomal abnormalities not experienced with autologous products. Additionally, any Phase 2 trial results, such as in the ALPHA3 trial, may not be representative of Phase 1 results, which were based on limited patients and a patient population in an advanced stage of LBCL, and such Phase 2 trial results may not be accepted by the FDA as pivotal and sufficient for cema-cel approval, requiring us to open additional trials to establish that cema-cel is safe and effective. Even if we collect promising initial clinical data of our product candidates, longer-term data may reveal new adverse events or responses that are not durable. Unexpected clinical outcomes would significantly impact our business.</w:t>
      </w:r>
    </w:p>
    <w:p>
      <w:pPr>
        <w:spacing w:after="0" w:line="204" w:lineRule="exact"/>
        <w:rPr>
          <w:sz w:val="20"/>
          <w:szCs w:val="20"/>
          <w:color w:val="auto"/>
        </w:rPr>
      </w:pPr>
    </w:p>
    <w:p>
      <w:pPr>
        <w:ind w:right="32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spacing w:after="0" w:line="76"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Our business and future success depends on our ability to advance clinical development, obtain regulatory approval of, and then successfully commercialize, our lead product candidates. Because cema-cel, ALLO-316, and ALLO-715, products designed for use in patients with cancer, and ALLO-329, designed for use in patients with autoimmune disease, are or will be among the first allogeneic products to be evaluated in the clinic, the failure of any such product candidates, or the failure of other allogeneic CAR T cell therapies, including for reasons due to safety, efficacy or durability, may impede our ability to develop our product candidates, and significantly influence physicians’ and regulators’ opinions in regard to the viability of our entire pipeline of allogeneic CAR T cell therapies. For instance, all of our clinical trials were previously put on clinical hold due to an observation in the phase 1 portion of the ALPHA2 trial. While the clinical hold has been resolved, we could be subject to a clinical hold in the future due to unexpected observations, adverse patient outcomes or other issues.</w:t>
      </w:r>
    </w:p>
    <w:p>
      <w:pPr>
        <w:spacing w:after="0" w:line="89"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050505"/>
        </w:rPr>
        <w:t>All of our product candidates, including our lead product candidates,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our other product candidates are based on similar technology as our lead product candidates, if any of the lead product candidates encounters additional safety issues, efficacy problems, manufacturing problems, developmental delays, regulatory issues or other problems, our development plans and business would be significantly harmed.</w:t>
      </w:r>
    </w:p>
    <w:p>
      <w:pPr>
        <w:spacing w:after="0" w:line="8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We cannot predict the likelihood, nature or extent of government regulation that may arise from future legislation or administrative action, either in the U.S. or abroad. The policies of the FDA, the competent authorities of the European Union Member States (EU Member States), the EMA, the European Commission and other comparable regulatory authorities responsible for clinical trials may change and additional government regulations may be enacted. For instance, the regulatory landscape related to clinical trials in the European Union recently evolved. The European Union Clinical Trials Regulation (CTR), which was adopted in April 2014 and repeals the European Union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European Union portal. Once the clinical trial is approved, clinical study development may proceed. The CTR foresees a three-year transition period. The extent to which ongoing and new clinical trials will be governed by the CTR varies. The CTR will apply to clinical trials from an earlier date if the related clinical trial application was made on the basis of the CTR or if the clinical trial has already transitioned to the CTR framework before January 31, 2025. Compliance with the CTR requirements by us and our third-party service providers, such as CROs, may impact our developments plans.</w:t>
      </w:r>
    </w:p>
    <w:p>
      <w:pPr>
        <w:spacing w:after="0" w:line="207" w:lineRule="exact"/>
        <w:rPr>
          <w:sz w:val="20"/>
          <w:szCs w:val="20"/>
          <w:color w:val="auto"/>
        </w:rPr>
      </w:pPr>
    </w:p>
    <w:p>
      <w:pPr>
        <w:ind w:right="240"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050505"/>
        </w:rPr>
        <w:t>Future undesirable or unacceptable side effects caused by our product candidates could cause us or regulatory</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050505"/>
        </w:rPr>
        <w:t>authorities to interrupt, delay or halt clinical trials and could result in a more restrictive label or the delay or denial of regulatory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43</w:t>
      </w:r>
    </w:p>
    <w:p>
      <w:pPr>
        <w:sectPr>
          <w:pgSz w:w="12240" w:h="15840" w:orient="portrait"/>
          <w:cols w:equalWidth="0" w:num="1">
            <w:col w:w="10240"/>
          </w:cols>
          <w:pgMar w:left="1000" w:top="793" w:right="1000" w:bottom="0" w:gutter="0" w:footer="0" w:header="0"/>
          <w:type w:val="continuous"/>
        </w:sectPr>
      </w:pPr>
    </w:p>
    <w:bookmarkStart w:id="47" w:name="page48"/>
    <w:bookmarkEnd w:id="47"/>
    <w:p>
      <w:pPr>
        <w:ind w:right="20"/>
        <w:spacing w:after="0" w:line="253" w:lineRule="auto"/>
        <w:rPr>
          <w:sz w:val="20"/>
          <w:szCs w:val="20"/>
          <w:color w:val="auto"/>
        </w:rPr>
      </w:pPr>
      <w:r>
        <w:rPr>
          <w:rFonts w:ascii="Times New Roman" w:cs="Times New Roman" w:eastAsia="Times New Roman" w:hAnsi="Times New Roman"/>
          <w:sz w:val="20"/>
          <w:szCs w:val="20"/>
          <w:color w:val="050505"/>
        </w:rPr>
        <w:t>approval by the FDA or other comparable foreign regulatory authorities. Results of our clinical trials could reveal a high and unacceptable severity and prevalence of side effects or unexpected characteristics. Approved autologous CAR T therapies and those under development have shown frequent rates of CRS, neurotoxicity including ICANS, serious infections, prolonged cytopenia and hypogammaglobulinemia, hemophagocytic lymphohistiocytosis/macrophage activation syndrome (HLH/MAS), immune effector cell-associated HLH-like syndrome (IEC-HS) and adverse events have resulted in the death of patients. We have observed certain of these adverse events for our allogeneic CAR T product candidates. Other adverse events could also emerge in autologous CAR T therapies over time. For instance, patients who received an autologous anti-BCMA CAR T cell therapy have experienced neurocognitive and hypokinetic movement disorder with features of Parkinson’s disease that emerged months after treatment and may have been due to BCMA expression within the brain. Our anti-BCMA product candidates have the risk of causing similar adverse events.</w:t>
      </w:r>
    </w:p>
    <w:p>
      <w:pPr>
        <w:spacing w:after="0" w:line="9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In January 2024 the FDA sent letters to all companies with approved autologous CAR T therapies requesting them to add a black box warning on the label of their autologous CAR T therapies. The FDA is requiring label updates to include a black box warning that T-cell malignancies may occur following treatment with BCMA- and CD19-directed genetically modified autologous T-cell immunotherapies. The required warnings are specific to autologous therapies. Such T-cell malignancies have been observed in approximately 1 patient for every 1,000 patients treated with autologous therapies. Because our allogeneic therapies are based on similar technology, until we have treated more patients, there is a risk that we may find similar T-cell malignancies following treatment with our allogeneic CAR T product candidates. If such malignancies are observed, regulatory authorities, such as the FDA, may require a similar black box warning or other safety-related labeling statements on our products’ label, if approved, which could prevent us from achieving or maintaining market acceptance and adversely affect our business, financial condition, results of operations and prospects.</w:t>
      </w:r>
    </w:p>
    <w:p>
      <w:pPr>
        <w:spacing w:after="0" w:line="96"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050505"/>
        </w:rPr>
        <w:t>Our allogeneic CAR T cell product candidates may also cause unique adverse events related to the differences between the donor and patients, such as GvHD or infusion reactions. In addition, we utilize a lymphodepletion regimen that caused serious adverse events. For instance, because some regimens are expected to cause a deep and sometimes prolonged immune suppression, patients will have an increased risk of infection that may be unable to be cleared by the patient and ultimately lead to other serious adverse events or death. For example, a patient death occurred in the FCA arm (fludarabine, cyclophosphamide, and ALLO-647) of our ALPHA3 trial. This Grade 5 SAE, which occurred on Day 54 post-infusion, involved fulminant hepatic failure caused by disseminated adenovirus infection, potentially worsened by acetaminophen toxicity. The depth of immunosuppression likely associated with ALLO-647 is believed to have increased susceptibility to this viral infection.</w:t>
      </w:r>
    </w:p>
    <w:p>
      <w:pPr>
        <w:spacing w:after="0" w:line="74"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Our lymphodepletion regimen has caused such adverse events and may also cause prolonged cytopenia and aplastic anemia. We have previously explored and may in the future explore various dosing strategies for lymphodepletion in our clinical trials, such as including varying doses of the chemotherapy agents and/or other components, or eliminating one or more of the agents, which may alter the risk of SAEs or have other undesirable outcomes such as a reduction of the efficacy of treatment.</w:t>
      </w:r>
    </w:p>
    <w:p>
      <w:pPr>
        <w:spacing w:after="0" w:line="84"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In our and Servier's clinical trials of allogeneic CAR T product candidates, the most common severe or life-threatening adverse events resulted from CRS, serious infections, febrile neutropenia, prolonged cytopenia including prolonged pancytopenia, haemophagocytic lymphohistiocytosis, hypokalemia, multiple organ dysfunction syndrome, neutropenic sepsis and aplastic anemia. As reported, patients have died from adverse events and future patients may also experience toxicity resulting in death. For additional safety data, please see the section entitled “Business—Product Pipeline and Development Strategy” included in this Annual Report.</w:t>
      </w:r>
    </w:p>
    <w:p>
      <w:pPr>
        <w:spacing w:after="0" w:line="8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As we treat and re-treat more patients with our product candidates in our clinical trials, new less common side effects may also emerge or increased incidence of previously observed side effects may occur. There is a risk that the FDA or other comparable foreign regulatory authorities may not agree that sufficient mitigating procedures are included in our protocols to address such side effects, and FDA or other comparable foreign regulatory authorities may impose a clinical hold as it evaluates risks associated with such side effects and/or as we work with the agency to implement protocol amendments to appropriately manage such side effects. For instance, we observed a chromosomal abnormality that led to a previous clinical hold on our clinical trials. While our investigation concluded that the chromosomal abnormality had no clinical significance and was unrelated to our manufacturing process, our manufacturing processes include gene engineering by using viral vectors and genomic nucleases that may in the future cause insertion, deletion, or chromosomal translocation that may result in allogeneic CAR T cells to proliferate uncontrollably and adverse events.</w:t>
      </w:r>
    </w:p>
    <w:p>
      <w:pPr>
        <w:spacing w:after="0" w:line="96" w:lineRule="exact"/>
        <w:rPr>
          <w:sz w:val="20"/>
          <w:szCs w:val="20"/>
          <w:color w:val="auto"/>
        </w:rPr>
      </w:pPr>
    </w:p>
    <w:p>
      <w:pPr>
        <w:ind w:right="440" w:firstLine="720"/>
        <w:spacing w:after="0" w:line="281" w:lineRule="auto"/>
        <w:rPr>
          <w:sz w:val="20"/>
          <w:szCs w:val="20"/>
          <w:color w:val="auto"/>
        </w:rPr>
      </w:pPr>
      <w:r>
        <w:rPr>
          <w:rFonts w:ascii="Times New Roman" w:cs="Times New Roman" w:eastAsia="Times New Roman" w:hAnsi="Times New Roman"/>
          <w:sz w:val="20"/>
          <w:szCs w:val="20"/>
          <w:color w:val="050505"/>
        </w:rPr>
        <w:t>We may also combine the use of our product candidates with other investigational or approved therapies that may cause separate adverse events or events related to the combination.</w:t>
      </w:r>
    </w:p>
    <w:p>
      <w:pPr>
        <w:spacing w:after="0" w:line="61"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19"/>
          <w:szCs w:val="19"/>
          <w:color w:val="050505"/>
        </w:rPr>
        <w:t>If unacceptable toxicities arise in the development of our product candidates, we could suspend or terminate a development program, a trial or certain arms of a trial, or the FDA or comparable foreign regulatory authorities could order us to cease clinical trials or deny approval of our product candidates for any or all targeted indications. For example, as a result of the Grade 5 SAE in the ALPHA3 trial described above, we have terminated the FCA arm of the ALPHA3 trial, and the trial is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44</w:t>
      </w:r>
    </w:p>
    <w:p>
      <w:pPr>
        <w:sectPr>
          <w:pgSz w:w="12240" w:h="15840" w:orient="portrait"/>
          <w:cols w:equalWidth="0" w:num="1">
            <w:col w:w="10240"/>
          </w:cols>
          <w:pgMar w:left="1000" w:top="793" w:right="1000" w:bottom="0" w:gutter="0" w:footer="0" w:header="0"/>
          <w:type w:val="continuous"/>
        </w:sectPr>
      </w:pPr>
    </w:p>
    <w:bookmarkStart w:id="48" w:name="page49"/>
    <w:bookmarkEnd w:id="48"/>
    <w:p>
      <w:pPr>
        <w:ind w:right="20"/>
        <w:spacing w:after="0" w:line="253" w:lineRule="auto"/>
        <w:rPr>
          <w:sz w:val="20"/>
          <w:szCs w:val="20"/>
          <w:color w:val="auto"/>
        </w:rPr>
      </w:pPr>
      <w:r>
        <w:rPr>
          <w:rFonts w:ascii="Times New Roman" w:cs="Times New Roman" w:eastAsia="Times New Roman" w:hAnsi="Times New Roman"/>
          <w:sz w:val="20"/>
          <w:szCs w:val="20"/>
          <w:color w:val="050505"/>
        </w:rPr>
        <w:t>now moving forward as a two arm trial under which patients will be randomized equally (1:1) into either the FC lymphodepletion arm or standard-of-care observation. Additionally, we have terminated all further development of ALLO-647. Any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have trained and expect to have to train medical personnel using CAR T cell product candidates to understand the side effect profile of our product candidates for both our clinical trials and upon any commercialization of any of our product candidates. Inadequate training in recognizing or managing the potential side effects of our product candidates could result in patient deaths. Any of these occurrences may harm our business, financial condition and prospects significantly.</w:t>
      </w:r>
    </w:p>
    <w:p>
      <w:pPr>
        <w:spacing w:after="0" w:line="202" w:lineRule="exact"/>
        <w:rPr>
          <w:sz w:val="20"/>
          <w:szCs w:val="20"/>
          <w:color w:val="auto"/>
        </w:rPr>
      </w:pPr>
    </w:p>
    <w:p>
      <w:pPr>
        <w:ind w:right="30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Our clinical trials may fail to demonstrate the safety and efficacy of any of our product candidates, which would prevent or delay regulatory approval and commercialization.</w:t>
      </w:r>
    </w:p>
    <w:p>
      <w:pPr>
        <w:spacing w:after="0" w:line="57"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including in any post-approval studies.</w:t>
      </w:r>
    </w:p>
    <w:p>
      <w:pPr>
        <w:spacing w:after="0" w:line="88"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w:t>
      </w:r>
    </w:p>
    <w:p>
      <w:pPr>
        <w:spacing w:after="0" w:line="88"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050505"/>
        </w:rPr>
        <w:t>In addition, for any trials that may be completed, we cannot guarantee that the FDA or comparable foreign regulatory authorities will interpret the results as we do, and more trials could be required before we submit our product candidates for approval. For example, the FDA may determine that results from our Phase 2 ALPHA3 trial are not sufficient to establish that cema-cel is safe and effective, and the FDA may require additional trials. Additionally, although the EMA has previously granted Marketing Authorizations for products even when their clinical development programs did not involve any European sites, the regulatory landscape for CAR T products continues to evolve, and the EMA may require us to conduct clinical trials in the EU in order to obtain approval. To the extent that the results of the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06"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Risks related to SAEs in the discontinued FCA arm of our ALPHA3 trial, including the Grade 5 SAE, could lead to regulatory actions, negative perceptions, and potential product liability claims.</w:t>
      </w:r>
    </w:p>
    <w:p>
      <w:pPr>
        <w:spacing w:after="0" w:line="5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Although the FCA arm of our ALPHA3 clinical trial has been terminated following a Grade 5 SAE, patients who previously received the FCA regimen remain at risk for experiencing further SAEs. Both the previously observed Grade 5 SAE and any additional SAEs that may occur could prompt regulatory authorities, including the FDA, to request additional safety data, require enhanced patient monitoring, or impose other conditions or restrictions on our clinical program. Such regulatory actions could delay our clinical development timelines, increase operational costs, and impact our ability to efficiently progress our trials. Additionally, such SAEs could adversely affect perceptions among physicians and patients, potentially limiting future enrollment in ongoing or planned studies and affecting the market acceptance of our therapies. Furthermore, such SAEs may expose us to potential product liability claims, which could materially harm our reputation, financial condition, and business prospects.</w:t>
      </w:r>
    </w:p>
    <w:p>
      <w:pPr>
        <w:spacing w:after="0" w:line="20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No CAR T therapy has been approved as part of a first-line consolidation strategy for the treatment of LBCL patients, which presents significant regulatory, commercial, and operational risks, and there is no assurance of success in this unproven setting.</w:t>
      </w:r>
    </w:p>
    <w:p>
      <w:pPr>
        <w:spacing w:after="0" w:line="76" w:lineRule="exact"/>
        <w:rPr>
          <w:sz w:val="20"/>
          <w:szCs w:val="20"/>
          <w:color w:val="auto"/>
        </w:rPr>
      </w:pPr>
    </w:p>
    <w:p>
      <w:pPr>
        <w:jc w:val="both"/>
        <w:ind w:right="160" w:firstLine="720"/>
        <w:spacing w:after="0" w:line="286" w:lineRule="auto"/>
        <w:rPr>
          <w:sz w:val="20"/>
          <w:szCs w:val="20"/>
          <w:color w:val="auto"/>
        </w:rPr>
      </w:pPr>
      <w:r>
        <w:rPr>
          <w:rFonts w:ascii="Times New Roman" w:cs="Times New Roman" w:eastAsia="Times New Roman" w:hAnsi="Times New Roman"/>
          <w:sz w:val="19"/>
          <w:szCs w:val="19"/>
          <w:color w:val="050505"/>
        </w:rPr>
        <w:t>To date, no CAR T therapy has been approved for use as part of a first-line consolidation treatment for patients with LBCL, and the regulatory and commercial landscape remains uncertain. Because there is no precedent for regulatory approval of a CAR T therapy in this treatment paradigm, we may face unexpected challenges in generating sufficient clinical data to</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45</w:t>
      </w:r>
    </w:p>
    <w:p>
      <w:pPr>
        <w:sectPr>
          <w:pgSz w:w="12240" w:h="15840" w:orient="portrait"/>
          <w:cols w:equalWidth="0" w:num="1">
            <w:col w:w="10240"/>
          </w:cols>
          <w:pgMar w:left="1000" w:top="793" w:right="1000" w:bottom="0" w:gutter="0" w:footer="0" w:header="0"/>
          <w:type w:val="continuous"/>
        </w:sectPr>
      </w:pPr>
    </w:p>
    <w:bookmarkStart w:id="49" w:name="page50"/>
    <w:bookmarkEnd w:id="49"/>
    <w:p>
      <w:pPr>
        <w:ind w:right="140"/>
        <w:spacing w:after="0" w:line="281" w:lineRule="auto"/>
        <w:rPr>
          <w:sz w:val="20"/>
          <w:szCs w:val="20"/>
          <w:color w:val="auto"/>
        </w:rPr>
      </w:pPr>
      <w:r>
        <w:rPr>
          <w:rFonts w:ascii="Times New Roman" w:cs="Times New Roman" w:eastAsia="Times New Roman" w:hAnsi="Times New Roman"/>
          <w:sz w:val="20"/>
          <w:szCs w:val="20"/>
          <w:color w:val="050505"/>
        </w:rPr>
        <w:t>support an approval, and regulatory authorities may impose additional requirements or take longer than anticipated to evaluate our data.</w:t>
      </w:r>
    </w:p>
    <w:p>
      <w:pPr>
        <w:spacing w:after="0" w:line="61"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050505"/>
        </w:rPr>
        <w:t>Additionally, the standard of care for first-line treatment in LBCL is well-established, and physicians and patients may be reluctant to adopt CAR T therapy in this setting due to concerns over safety, efficacy, cost, or logistical challenges associated with administration. If our product candidate does not demonstrate compelling clinical benefit over existing treatments or fails to gain market acceptance, we may not achieve the commercial success necessary to sustain our business.</w:t>
      </w:r>
    </w:p>
    <w:p>
      <w:pPr>
        <w:spacing w:after="0" w:line="83" w:lineRule="exact"/>
        <w:rPr>
          <w:sz w:val="20"/>
          <w:szCs w:val="20"/>
          <w:color w:val="auto"/>
        </w:rPr>
      </w:pPr>
    </w:p>
    <w:p>
      <w:pPr>
        <w:jc w:val="both"/>
        <w:ind w:right="420" w:firstLine="720"/>
        <w:spacing w:after="0" w:line="260" w:lineRule="auto"/>
        <w:rPr>
          <w:sz w:val="20"/>
          <w:szCs w:val="20"/>
          <w:color w:val="auto"/>
        </w:rPr>
      </w:pPr>
      <w:r>
        <w:rPr>
          <w:rFonts w:ascii="Times New Roman" w:cs="Times New Roman" w:eastAsia="Times New Roman" w:hAnsi="Times New Roman"/>
          <w:sz w:val="20"/>
          <w:szCs w:val="20"/>
          <w:color w:val="050505"/>
        </w:rPr>
        <w:t>Furthermore, payers and reimbursement authorities may be unwilling to provide coverage for CAR T therapy as a first-line consolidation treatment, particularly if they perceive it as too costly compared to existing alternatives. Even if we obtain regulatory approval, lack of adequate reimbursement could limit patient access and materially impact our ability to generate revenue.</w:t>
      </w:r>
    </w:p>
    <w:p>
      <w:pPr>
        <w:spacing w:after="0" w:line="83" w:lineRule="exact"/>
        <w:rPr>
          <w:sz w:val="20"/>
          <w:szCs w:val="20"/>
          <w:color w:val="auto"/>
        </w:rPr>
      </w:pPr>
    </w:p>
    <w:p>
      <w:pPr>
        <w:ind w:right="160" w:firstLine="720"/>
        <w:spacing w:after="0" w:line="260" w:lineRule="auto"/>
        <w:rPr>
          <w:sz w:val="20"/>
          <w:szCs w:val="20"/>
          <w:color w:val="auto"/>
        </w:rPr>
      </w:pPr>
      <w:r>
        <w:rPr>
          <w:rFonts w:ascii="Times New Roman" w:cs="Times New Roman" w:eastAsia="Times New Roman" w:hAnsi="Times New Roman"/>
          <w:sz w:val="20"/>
          <w:szCs w:val="20"/>
          <w:color w:val="050505"/>
        </w:rPr>
        <w:t>The success of our clinical trial and potential approval in this setting is also dependent on factors outside of our control, such as evolving treatment paradigms, competitive developments, and changes in clinical practice. If we are unable to successfully develop, obtain approval for, and commercialize our CAR T therapy in this novel setting, our business, financial condition, and results of operations could be adversely affected.</w:t>
      </w:r>
    </w:p>
    <w:p>
      <w:pPr>
        <w:spacing w:after="0" w:line="19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The time required for regulatory approval of the CLARITY assay in jurisdictions outside the U.S. may be protracted, which presents regulatory, operational, and commercialization risks.</w:t>
      </w:r>
    </w:p>
    <w:p>
      <w:pPr>
        <w:spacing w:after="0" w:line="5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19"/>
          <w:szCs w:val="19"/>
          <w:color w:val="050505"/>
        </w:rPr>
        <w:t>In certain foreign jurisdictions, such as the European Union (EU), we anticipate that the CLARITY</w:t>
      </w:r>
      <w:r>
        <w:rPr>
          <w:rFonts w:ascii="Times New Roman" w:cs="Times New Roman" w:eastAsia="Times New Roman" w:hAnsi="Times New Roman"/>
          <w:sz w:val="25"/>
          <w:szCs w:val="25"/>
          <w:color w:val="050505"/>
          <w:vertAlign w:val="superscript"/>
        </w:rPr>
        <w:t>TM</w:t>
      </w:r>
      <w:r>
        <w:rPr>
          <w:rFonts w:ascii="Times New Roman" w:cs="Times New Roman" w:eastAsia="Times New Roman" w:hAnsi="Times New Roman"/>
          <w:sz w:val="19"/>
          <w:szCs w:val="19"/>
          <w:color w:val="050505"/>
        </w:rPr>
        <w:t xml:space="preserve"> assay will be regulated as an in vitro diagnostic medical device. The timeline for this approval of CLARITY in jurisdictions outside the U.S. may be protracted due to the evolving regulatory landscape for medical devices, particularly in the EU, the complexity of demonstrating clinical utility for novel MRD assays, and potential resourcing constraints, such as within EU regulatory bodies.</w:t>
      </w:r>
    </w:p>
    <w:p>
      <w:pPr>
        <w:spacing w:after="0" w:line="90" w:lineRule="exact"/>
        <w:rPr>
          <w:sz w:val="20"/>
          <w:szCs w:val="20"/>
          <w:color w:val="auto"/>
        </w:rPr>
      </w:pPr>
    </w:p>
    <w:p>
      <w:pPr>
        <w:ind w:right="320" w:firstLine="720"/>
        <w:spacing w:after="0" w:line="256" w:lineRule="auto"/>
        <w:rPr>
          <w:sz w:val="20"/>
          <w:szCs w:val="20"/>
          <w:color w:val="auto"/>
        </w:rPr>
      </w:pPr>
      <w:r>
        <w:rPr>
          <w:rFonts w:ascii="Times New Roman" w:cs="Times New Roman" w:eastAsia="Times New Roman" w:hAnsi="Times New Roman"/>
          <w:sz w:val="20"/>
          <w:szCs w:val="20"/>
          <w:color w:val="050505"/>
        </w:rPr>
        <w:t>Further, we do not own or control the CLARITY assay or its regulatory approval process. As a result, we are dependent on others to complete the necessary regulatory filings, respond to inquiries from regulators, and obtain regulatory approvals, such as EU Clinical Trial Application (CTA) approval, in a timely manner. If they experience delays, fail to meet regulatory requirements, or prioritize other programs over the CLARITY assay, our clinical development efforts outside the U.S. could be significantly delayed. We may have limited visibility into the approval timeline and decision-making process, which could hinder our ability to accurately forecast any trial initiation and enrollment.</w:t>
      </w:r>
    </w:p>
    <w:p>
      <w:pPr>
        <w:spacing w:after="0" w:line="88" w:lineRule="exact"/>
        <w:rPr>
          <w:sz w:val="20"/>
          <w:szCs w:val="20"/>
          <w:color w:val="auto"/>
        </w:rPr>
      </w:pPr>
    </w:p>
    <w:p>
      <w:pPr>
        <w:ind w:right="140" w:firstLine="720"/>
        <w:spacing w:after="0" w:line="254" w:lineRule="auto"/>
        <w:rPr>
          <w:sz w:val="20"/>
          <w:szCs w:val="20"/>
          <w:color w:val="auto"/>
        </w:rPr>
      </w:pPr>
      <w:r>
        <w:rPr>
          <w:rFonts w:ascii="Times New Roman" w:cs="Times New Roman" w:eastAsia="Times New Roman" w:hAnsi="Times New Roman"/>
          <w:sz w:val="20"/>
          <w:szCs w:val="20"/>
          <w:color w:val="050505"/>
        </w:rPr>
        <w:t>In December 2025, Foresight Diagnostics, the developer of the CLARITY assay, was acquired by Natera and, although Foresight continues to operate as a standalone subsidiary, the acquisition and related integration activities may create additional risks and uncertainties for our clinical development and potential commercialization of cema-cel. For example, Natera may change Foresight’s strategic priorities, allocate resources differently, modify operating processes, systems, or personnel supporting CLARITY, or pursue business objectives that are not aligned with our development timelines or regulatory strategy. Any disruption during integration, including changes in key personnel, vendors, quality systems, or regulatory and clinical operations, could delay regulatory submissions, responses to regulatory inquiries, assay validation activities, or the availability of testing capacity needed to support clinical trials.</w:t>
      </w:r>
    </w:p>
    <w:p>
      <w:pPr>
        <w:spacing w:after="0" w:line="93"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050505"/>
        </w:rPr>
        <w:t>Any delay in regulatory approvals of the CLARITY assay, such as a delay in a CTA approval in the EU, could slow patient recruitment and impact the overall timeline of our cema-cel clinical development program. If regulatory challenges prevent the assay from being approved in a reasonable timeframe, we may be forced to identify and validate an alternative MRD assay, which could require additional clinical studies, regulatory interactions, and investment of resources, further delaying our program. Furthermore, an alternative MRD assay with sufficient sensitivity may not exist.</w:t>
      </w:r>
    </w:p>
    <w:p>
      <w:pPr>
        <w:spacing w:after="0" w:line="84"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050505"/>
        </w:rPr>
        <w:t>Additionally, if the CLARITY assay is required for commercial use alongside cema-cel, its approval and reimbursement as a medical device could impact the market adoption of cema-cel. Since we do not control the approval or commercialization strategy of the assay, our ability to ensure its availability, pricing, and regulatory compliance will be limited. Following Foresight’s acquisition by Natera, we may have even less influence over decisions regarding CLARITY’s development, regulatory strategy, commercialization, pricing, or reimbursement approach. If Foresight encounters regulatory setbacks or is unable to secure timely approval, our ability to commercialize cema-cel may be adversely affected.</w:t>
      </w:r>
    </w:p>
    <w:p>
      <w:pPr>
        <w:spacing w:after="0" w:line="88" w:lineRule="exact"/>
        <w:rPr>
          <w:sz w:val="20"/>
          <w:szCs w:val="20"/>
          <w:color w:val="auto"/>
        </w:rPr>
      </w:pPr>
    </w:p>
    <w:p>
      <w:pPr>
        <w:jc w:val="both"/>
        <w:ind w:right="100" w:firstLine="720"/>
        <w:spacing w:after="0" w:line="260" w:lineRule="auto"/>
        <w:rPr>
          <w:sz w:val="20"/>
          <w:szCs w:val="20"/>
          <w:color w:val="auto"/>
        </w:rPr>
      </w:pPr>
      <w:r>
        <w:rPr>
          <w:rFonts w:ascii="Times New Roman" w:cs="Times New Roman" w:eastAsia="Times New Roman" w:hAnsi="Times New Roman"/>
          <w:sz w:val="20"/>
          <w:szCs w:val="20"/>
          <w:color w:val="050505"/>
        </w:rPr>
        <w:t>If the approval of the CLARITY assay in any country or region is delayed, denied, or subject to additional regulatory requirements, our cema-cel clinical development timeline, regulatory approval prospects, and potential commercial success in such country or region could be materially impacted, which could adversely affect our business, financial condition, and future growth.</w:t>
      </w:r>
    </w:p>
    <w:p>
      <w:pPr>
        <w:spacing w:after="0" w:line="194"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Phase 1 data from our clinical trials is limited and may change as more patient data becomes available or may not be validated in any future or advanced clinical trial.</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46</w:t>
      </w:r>
    </w:p>
    <w:p>
      <w:pPr>
        <w:sectPr>
          <w:pgSz w:w="12240" w:h="15840" w:orient="portrait"/>
          <w:cols w:equalWidth="0" w:num="1">
            <w:col w:w="10240"/>
          </w:cols>
          <w:pgMar w:left="1000" w:top="793" w:right="1000" w:bottom="0" w:gutter="0" w:footer="0" w:header="0"/>
          <w:type w:val="continuous"/>
        </w:sectPr>
      </w:pPr>
    </w:p>
    <w:bookmarkStart w:id="50" w:name="page51"/>
    <w:bookmarkEnd w:id="50"/>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Data from clinical trials that we may complete are subject to the risk that one or more of the clinical outcomes may materially change as patient enrollment continues and more patient data becomes available. Phase 1 results are preliminary in nature and should not be viewed as predictive of ultimate success. It is possible that such results will not continue or may not be repeated in any clinical trial of our product candidates.</w:t>
      </w:r>
    </w:p>
    <w:p>
      <w:pPr>
        <w:spacing w:after="0" w:line="8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For instance, our Phase 2 ALPHA3 trial design is based in part on Phase 1 data from a limited number of patients treated with various doses of ALLO-501 or cema-cel manufactured using the Alloy process. Results from the larger Phase 2 ALPHA3 trial, which we anticipate will only include cema-cel manufactured internally at CF1, but may ultimately also include cema-cel manufactured at a contract manufacturer, may not be consistent with the Phase 1 results. Furthermore, because ALPHA3 will include a different patient population versus our Phase 1 ALPHA2 trial, i.e., patients having MRD after front-line treatment versus patients with radiographically measurable disease after a minimum of two prior lines of treatment, it is possible that cema-cel may behave differently in terms of expansion, persistence and the ability to eradicate residual disease. In addition, our experience with our CD19 and BCMA programs indicates that manufacturing can impact clinical outcomes. The manufacturing runs we have completed and tested in the clinic are limited across our product candidates and any manufacturing variability that impacts clinical outcomes would significantly harm our business and prospects. We may also fail to develop any optimized manufacturing processes for any of our programs. Ultimately, if we cannot manufacture our product candidates with consistent and reproducible product characteristics, our ability to develop and commercialize any product candidate would be significantly impacted.</w:t>
      </w:r>
    </w:p>
    <w:p>
      <w:pPr>
        <w:spacing w:after="0" w:line="88" w:lineRule="exact"/>
        <w:rPr>
          <w:sz w:val="20"/>
          <w:szCs w:val="20"/>
          <w:color w:val="auto"/>
        </w:rPr>
      </w:pPr>
    </w:p>
    <w:p>
      <w:pPr>
        <w:ind w:right="260" w:firstLine="720"/>
        <w:spacing w:after="0" w:line="256" w:lineRule="auto"/>
        <w:rPr>
          <w:sz w:val="20"/>
          <w:szCs w:val="20"/>
          <w:color w:val="auto"/>
        </w:rPr>
      </w:pPr>
      <w:r>
        <w:rPr>
          <w:rFonts w:ascii="Times New Roman" w:cs="Times New Roman" w:eastAsia="Times New Roman" w:hAnsi="Times New Roman"/>
          <w:sz w:val="20"/>
          <w:szCs w:val="20"/>
          <w:color w:val="050505"/>
        </w:rPr>
        <w:t>Phase 1 trials of novel products also commonly include a dose exploration phase during which adverse effects of treatment may emerge at higher doses that are new, unexpected, or occur at higher-than-expected frequencies or severity and may limit our ability to develop such products in one or more target indications or patient populations. Similarly, in dose expansion phase, we may discover that adverse effects, either known or novel, may negatively impact the emerging overall benefit-risk profile of our product candidates and may lead to the discontinuation or other significant alteration to the development plan.</w:t>
      </w:r>
    </w:p>
    <w:p>
      <w:pPr>
        <w:spacing w:after="0" w:line="88"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Preliminary data also remain subject to audit and verification procedures that may result in the final data being materially different from the preliminary data we previously published. As a result, initial, interim and preliminary data should be viewed with caution until the final data are available. Adverse differences between preliminary or interim data and final data could significantly harm our business prospects.</w:t>
      </w:r>
    </w:p>
    <w:p>
      <w:pPr>
        <w:spacing w:after="0" w:line="19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We may not be able to submit INDs or equivalent foreign applications to commence additional clinical trials on the timelines we expect, and even if we are able to, the FDA or other comparable foreign regulatory authorities may not permit us to proceed.</w:t>
      </w:r>
    </w:p>
    <w:p>
      <w:pPr>
        <w:spacing w:after="0" w:line="76" w:lineRule="exact"/>
        <w:rPr>
          <w:sz w:val="20"/>
          <w:szCs w:val="20"/>
          <w:color w:val="auto"/>
        </w:rPr>
      </w:pPr>
    </w:p>
    <w:p>
      <w:pPr>
        <w:ind w:firstLine="720"/>
        <w:spacing w:after="0" w:line="267" w:lineRule="auto"/>
        <w:rPr>
          <w:sz w:val="20"/>
          <w:szCs w:val="20"/>
          <w:color w:val="auto"/>
        </w:rPr>
      </w:pPr>
      <w:r>
        <w:rPr>
          <w:rFonts w:ascii="Times New Roman" w:cs="Times New Roman" w:eastAsia="Times New Roman" w:hAnsi="Times New Roman"/>
          <w:sz w:val="19"/>
          <w:szCs w:val="19"/>
          <w:color w:val="050505"/>
        </w:rPr>
        <w:t>We plan to submit investigational new drug (IND) applications or IND amendments and equivalent foreign applications for current and potentially new product candidates or indications in the future. We cannot be sure that submission of an IND or IND amendment or an equivalent foreign application will result in the FDA or other comparable foreign regulatory authorities allowing testing and clinical trials to begin on our anticipated timelines, if at all, or that, once begun, issues will not arise that suspend or terminate such clinical trials. The manufacturing of allogeneic CAR T cell therapy remains an emerging and evolving field. Accordingly, we expect Chemistry, Manufacturing and Controls (CMC) related topics, including product specification, will be a focus of IND reviews, which may delay the clearance of INDs or IND amendments, and we may face internal or third-party resource constraints in preparing responses and supporting CMC-related submissions. For instance, if we introduce changes to the manufacturing of our product candidates, regulatory authorities may require additional studies or clinical data to support the changes, which could delay our clinical trial timelines. Additionally, even if such regulatory authorities agree with the design and implementation of the clinical trials set forth in an IND, IND amendment or clinical trial application, we cannot guarantee that such regulatory authorities will not change their requirements in the future.</w:t>
      </w:r>
    </w:p>
    <w:p>
      <w:pPr>
        <w:spacing w:after="0" w:line="19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may encounter substantial delays in our clinical trials, or may not be able to conduct our trials on the timelines we expect.</w:t>
      </w:r>
    </w:p>
    <w:p>
      <w:pPr>
        <w:spacing w:after="0" w:line="57"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050505"/>
        </w:rPr>
        <w:t>Clinical testing is expensive, time consuming and subject to uncertainty. We cannot guarantee that any clinical studies will be conducted as planned or completed on schedule, if at all. Even if our trials begin as planned, issues may arise that could suspend or terminate such clinical trials or a portion thereof. A failure of one or more clinical studies can occur at any stage of testing, and our future clinical studies may not be successful. Events that may prevent successful or timely completion of clinical development include:</w:t>
      </w:r>
    </w:p>
    <w:p>
      <w:pPr>
        <w:spacing w:after="0" w:line="120" w:lineRule="exact"/>
        <w:rPr>
          <w:sz w:val="20"/>
          <w:szCs w:val="20"/>
          <w:color w:val="auto"/>
        </w:rPr>
      </w:pPr>
    </w:p>
    <w:p>
      <w:pPr>
        <w:ind w:left="720" w:right="620" w:hanging="370"/>
        <w:spacing w:after="0" w:line="284" w:lineRule="auto"/>
        <w:tabs>
          <w:tab w:leader="none" w:pos="720" w:val="left"/>
        </w:tabs>
        <w:numPr>
          <w:ilvl w:val="0"/>
          <w:numId w:val="2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inability to generate sufficient preclinical, toxicology or other in vivo or in vitro data to support the initiation of clinical studies;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47</w:t>
      </w:r>
    </w:p>
    <w:p>
      <w:pPr>
        <w:sectPr>
          <w:pgSz w:w="12240" w:h="15840" w:orient="portrait"/>
          <w:cols w:equalWidth="0" w:num="1">
            <w:col w:w="10240"/>
          </w:cols>
          <w:pgMar w:left="1000" w:top="793" w:right="1000" w:bottom="0" w:gutter="0" w:footer="0" w:header="0"/>
          <w:type w:val="continuous"/>
        </w:sectPr>
      </w:pPr>
    </w:p>
    <w:bookmarkStart w:id="51" w:name="page52"/>
    <w:bookmarkEnd w:id="51"/>
    <w:p>
      <w:pPr>
        <w:ind w:left="370" w:right="62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sufficiently developing, characterizing, controlling or optimizing a manufacturing process suitable for clinical trials, including the validation and deployment of release assays;</w:t>
      </w:r>
    </w:p>
    <w:p>
      <w:pPr>
        <w:spacing w:after="0" w:line="97" w:lineRule="exact"/>
        <w:rPr>
          <w:rFonts w:ascii="Arial" w:cs="Arial" w:eastAsia="Arial" w:hAnsi="Arial"/>
          <w:sz w:val="24"/>
          <w:szCs w:val="24"/>
          <w:b w:val="1"/>
          <w:bCs w:val="1"/>
          <w:color w:val="050505"/>
        </w:rPr>
      </w:pPr>
    </w:p>
    <w:p>
      <w:pPr>
        <w:ind w:left="370" w:right="46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difficulty sourcing healthy donor material of sufficient quality and in sufficient quantity to meet our development needs;</w:t>
      </w:r>
    </w:p>
    <w:p>
      <w:pPr>
        <w:spacing w:after="0" w:line="97" w:lineRule="exact"/>
        <w:rPr>
          <w:rFonts w:ascii="Arial" w:cs="Arial" w:eastAsia="Arial" w:hAnsi="Arial"/>
          <w:sz w:val="24"/>
          <w:szCs w:val="24"/>
          <w:b w:val="1"/>
          <w:bCs w:val="1"/>
          <w:color w:val="050505"/>
        </w:rPr>
      </w:pPr>
    </w:p>
    <w:p>
      <w:pPr>
        <w:ind w:left="370" w:right="40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developing, obtaining regulatory approval for, or implementing suitable assays for screening patients for eligibility for trials with respect to certain product candidates;</w:t>
      </w:r>
    </w:p>
    <w:p>
      <w:pPr>
        <w:spacing w:after="0" w:line="97" w:lineRule="exact"/>
        <w:rPr>
          <w:rFonts w:ascii="Arial" w:cs="Arial" w:eastAsia="Arial" w:hAnsi="Arial"/>
          <w:sz w:val="24"/>
          <w:szCs w:val="24"/>
          <w:b w:val="1"/>
          <w:bCs w:val="1"/>
          <w:color w:val="050505"/>
        </w:rPr>
      </w:pPr>
    </w:p>
    <w:p>
      <w:pPr>
        <w:ind w:left="370" w:right="160" w:hanging="370"/>
        <w:spacing w:after="0" w:line="287"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number of patients who consent to be screened for the ALPHA3 trial may be lower than we expect given the current well-established medical practice of frontline therapy for LBCL and the history of slow patient recruitment in other frontline LBCL trials</w:t>
      </w:r>
    </w:p>
    <w:p>
      <w:pPr>
        <w:spacing w:after="0" w:line="103" w:lineRule="exact"/>
        <w:rPr>
          <w:rFonts w:ascii="Arial" w:cs="Arial" w:eastAsia="Arial" w:hAnsi="Arial"/>
          <w:sz w:val="24"/>
          <w:szCs w:val="24"/>
          <w:b w:val="1"/>
          <w:bCs w:val="1"/>
          <w:color w:val="050505"/>
        </w:rPr>
      </w:pPr>
    </w:p>
    <w:p>
      <w:pPr>
        <w:ind w:left="370" w:right="160" w:hanging="370"/>
        <w:spacing w:after="0" w:line="287"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screen failure rate for clinical trials of our product candidates may be higher than we anticipate, requiring us to screen larger numbers of patients than originally planned. For example, the number of patients who have MRD at the end of front-line treatment in ALPHA3 may be lower than we expect requiring more patients to be screened;</w:t>
      </w:r>
    </w:p>
    <w:p>
      <w:pPr>
        <w:spacing w:after="0" w:line="88"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reaching a consensus with regulatory agencies on study design;</w:t>
      </w:r>
    </w:p>
    <w:p>
      <w:pPr>
        <w:spacing w:after="0" w:line="147" w:lineRule="exact"/>
        <w:rPr>
          <w:rFonts w:ascii="Arial" w:cs="Arial" w:eastAsia="Arial" w:hAnsi="Arial"/>
          <w:sz w:val="24"/>
          <w:szCs w:val="24"/>
          <w:b w:val="1"/>
          <w:bCs w:val="1"/>
          <w:color w:val="050505"/>
        </w:rPr>
      </w:pPr>
    </w:p>
    <w:p>
      <w:pPr>
        <w:ind w:left="370" w:right="180" w:hanging="370"/>
        <w:spacing w:after="0" w:line="311" w:lineRule="auto"/>
        <w:tabs>
          <w:tab w:leader="none" w:pos="370" w:val="left"/>
        </w:tabs>
        <w:numPr>
          <w:ilvl w:val="0"/>
          <w:numId w:val="28"/>
        </w:numPr>
        <w:rPr>
          <w:rFonts w:ascii="Arial" w:cs="Arial" w:eastAsia="Arial" w:hAnsi="Arial"/>
          <w:sz w:val="23"/>
          <w:szCs w:val="23"/>
          <w:b w:val="1"/>
          <w:bCs w:val="1"/>
          <w:color w:val="050505"/>
        </w:rPr>
      </w:pPr>
      <w:r>
        <w:rPr>
          <w:rFonts w:ascii="Times New Roman" w:cs="Times New Roman" w:eastAsia="Times New Roman" w:hAnsi="Times New Roman"/>
          <w:sz w:val="19"/>
          <w:szCs w:val="19"/>
          <w:color w:val="050505"/>
        </w:rPr>
        <w:t>delays in reaching agreement on acceptable terms with prospective CROs and clinical study sites, the terms of which can be subject to extensive negotiation and may vary significantly among different CROs and clinical study sites;</w:t>
      </w:r>
    </w:p>
    <w:p>
      <w:pPr>
        <w:spacing w:after="0" w:line="70" w:lineRule="exact"/>
        <w:rPr>
          <w:rFonts w:ascii="Arial" w:cs="Arial" w:eastAsia="Arial" w:hAnsi="Arial"/>
          <w:sz w:val="23"/>
          <w:szCs w:val="23"/>
          <w:b w:val="1"/>
          <w:bCs w:val="1"/>
          <w:color w:val="050505"/>
        </w:rPr>
      </w:pPr>
    </w:p>
    <w:p>
      <w:pPr>
        <w:ind w:left="370" w:right="20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obtaining required IRB approval or approval of other ancillary regulatory committees at each clinical study site;</w:t>
      </w:r>
    </w:p>
    <w:p>
      <w:pPr>
        <w:spacing w:after="0" w:line="97" w:lineRule="exact"/>
        <w:rPr>
          <w:rFonts w:ascii="Arial" w:cs="Arial" w:eastAsia="Arial" w:hAnsi="Arial"/>
          <w:sz w:val="24"/>
          <w:szCs w:val="24"/>
          <w:b w:val="1"/>
          <w:bCs w:val="1"/>
          <w:color w:val="050505"/>
        </w:rPr>
      </w:pPr>
    </w:p>
    <w:p>
      <w:pPr>
        <w:ind w:left="370" w:hanging="370"/>
        <w:spacing w:after="0" w:line="295"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imposition of a temporary or permanent clinical hold by regulatory agencies for a number of reasons, including after review of an IND application or amendment, or equivalent application or amendment; as a result of a new safety finding that presents uncertain or unreasonable risk to clinical trial participants; a negative finding from an inspection of our or our collaborator’s clinical study operations or our study sites; developments on trials conducted by competitors for related technology that raises FDA or other comparable foreign regulatory authority concerns about risk to patients of the technology broadly; or if the FDA or other comparable foreign regulatory authorities find that the investigational protocol or plan is clearly deficient to meet its stated objectives;</w:t>
      </w:r>
    </w:p>
    <w:p>
      <w:pPr>
        <w:spacing w:after="0" w:line="84"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recruiting suitable patients to participate in our clinical studies;</w:t>
      </w:r>
    </w:p>
    <w:p>
      <w:pPr>
        <w:spacing w:after="0" w:line="111"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delays in activating clinical trial sites;</w:t>
      </w:r>
    </w:p>
    <w:p>
      <w:pPr>
        <w:spacing w:after="0" w:line="130" w:lineRule="exact"/>
        <w:rPr>
          <w:rFonts w:ascii="Times New Roman" w:cs="Times New Roman" w:eastAsia="Times New Roman" w:hAnsi="Times New Roman"/>
          <w:sz w:val="20"/>
          <w:szCs w:val="20"/>
          <w:color w:val="050505"/>
        </w:rPr>
      </w:pPr>
    </w:p>
    <w:p>
      <w:pPr>
        <w:ind w:left="370" w:right="200" w:hanging="370"/>
        <w:spacing w:after="0" w:line="281" w:lineRule="auto"/>
        <w:tabs>
          <w:tab w:leader="none" w:pos="370" w:val="left"/>
        </w:tabs>
        <w:numPr>
          <w:ilvl w:val="0"/>
          <w:numId w:val="28"/>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delays in obtaining the necessary regulatory approvals to expand clinical trials to countries outside the United States, including approvals relating to any required companion diagnostic;</w:t>
      </w:r>
    </w:p>
    <w:p>
      <w:pPr>
        <w:spacing w:after="0" w:line="81" w:lineRule="exact"/>
        <w:rPr>
          <w:rFonts w:ascii="Times New Roman" w:cs="Times New Roman" w:eastAsia="Times New Roman" w:hAnsi="Times New Roman"/>
          <w:sz w:val="20"/>
          <w:szCs w:val="20"/>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difficulty collaborating with patient groups and investigators;</w:t>
      </w:r>
    </w:p>
    <w:p>
      <w:pPr>
        <w:spacing w:after="0" w:line="132"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failure by our CROs, other third parties or us to adhere to clinical study requirements;</w:t>
      </w:r>
    </w:p>
    <w:p>
      <w:pPr>
        <w:spacing w:after="0" w:line="147" w:lineRule="exact"/>
        <w:rPr>
          <w:rFonts w:ascii="Arial" w:cs="Arial" w:eastAsia="Arial" w:hAnsi="Arial"/>
          <w:sz w:val="24"/>
          <w:szCs w:val="24"/>
          <w:b w:val="1"/>
          <w:bCs w:val="1"/>
          <w:color w:val="050505"/>
        </w:rPr>
      </w:pPr>
    </w:p>
    <w:p>
      <w:pPr>
        <w:ind w:left="370" w:right="18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failure to perform in accordance with the FDA’s good clinical practices (GCP) requirements or equivalent regulatory guidelines in other countries;</w:t>
      </w:r>
    </w:p>
    <w:p>
      <w:pPr>
        <w:spacing w:after="0" w:line="97" w:lineRule="exact"/>
        <w:rPr>
          <w:rFonts w:ascii="Arial" w:cs="Arial" w:eastAsia="Arial" w:hAnsi="Arial"/>
          <w:sz w:val="24"/>
          <w:szCs w:val="24"/>
          <w:b w:val="1"/>
          <w:bCs w:val="1"/>
          <w:color w:val="050505"/>
        </w:rPr>
      </w:pPr>
    </w:p>
    <w:p>
      <w:pPr>
        <w:ind w:left="370" w:right="24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or failures in the transfer of manufacturing processes to any CDMO or our own manufacturing facility or any other development or commercialization partner for the manufacture of product candidates;</w:t>
      </w:r>
    </w:p>
    <w:p>
      <w:pPr>
        <w:spacing w:after="0" w:line="81"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having patients complete participation in a study or return for post-treatment follow-up;</w:t>
      </w:r>
    </w:p>
    <w:p>
      <w:pPr>
        <w:spacing w:after="0" w:line="132"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patients dropping out of a study;</w:t>
      </w:r>
    </w:p>
    <w:p>
      <w:pPr>
        <w:spacing w:after="0" w:line="132"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occurrence of adverse events associated with the product candidate that are viewed to outweigh its potential benefits;</w:t>
      </w:r>
    </w:p>
    <w:p>
      <w:pPr>
        <w:spacing w:after="0" w:line="132"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regulatory requirements and guidance that require amending or submitting new clinical protocols;</w:t>
      </w:r>
    </w:p>
    <w:p>
      <w:pPr>
        <w:spacing w:after="0" w:line="147" w:lineRule="exact"/>
        <w:rPr>
          <w:rFonts w:ascii="Arial" w:cs="Arial" w:eastAsia="Arial" w:hAnsi="Arial"/>
          <w:sz w:val="24"/>
          <w:szCs w:val="24"/>
          <w:b w:val="1"/>
          <w:bCs w:val="1"/>
          <w:color w:val="050505"/>
        </w:rPr>
      </w:pPr>
    </w:p>
    <w:p>
      <w:pPr>
        <w:ind w:left="370" w:right="100" w:hanging="370"/>
        <w:spacing w:after="0" w:line="284" w:lineRule="auto"/>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the standard of care on which a clinical development plan was based, which may require new or additional trials;</w:t>
      </w:r>
    </w:p>
    <w:p>
      <w:pPr>
        <w:spacing w:after="0" w:line="81" w:lineRule="exact"/>
        <w:rPr>
          <w:rFonts w:ascii="Arial" w:cs="Arial" w:eastAsia="Arial" w:hAnsi="Arial"/>
          <w:sz w:val="24"/>
          <w:szCs w:val="24"/>
          <w:b w:val="1"/>
          <w:bCs w:val="1"/>
          <w:color w:val="050505"/>
        </w:rPr>
      </w:pPr>
    </w:p>
    <w:p>
      <w:pPr>
        <w:ind w:left="370" w:hanging="370"/>
        <w:spacing w:after="0"/>
        <w:tabs>
          <w:tab w:leader="none" w:pos="370" w:val="left"/>
        </w:tabs>
        <w:numPr>
          <w:ilvl w:val="0"/>
          <w:numId w:val="2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cost of clinical studies of our product candidates being greater than we anticipate;</w:t>
      </w:r>
    </w:p>
    <w:p>
      <w:pPr>
        <w:sectPr>
          <w:pgSz w:w="12240" w:h="15840" w:orient="portrait"/>
          <w:cols w:equalWidth="0" w:num="1">
            <w:col w:w="9890"/>
          </w:cols>
          <w:pgMar w:left="1350" w:top="829" w:right="1000" w:bottom="0" w:gutter="0" w:footer="0" w:header="0"/>
        </w:sectPr>
      </w:pPr>
    </w:p>
    <w:p>
      <w:pPr>
        <w:spacing w:after="0" w:line="341"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20"/>
          <w:szCs w:val="20"/>
          <w:color w:val="050505"/>
        </w:rPr>
        <w:t>48</w:t>
      </w:r>
    </w:p>
    <w:p>
      <w:pPr>
        <w:sectPr>
          <w:pgSz w:w="12240" w:h="15840" w:orient="portrait"/>
          <w:cols w:equalWidth="0" w:num="1">
            <w:col w:w="9890"/>
          </w:cols>
          <w:pgMar w:left="1350" w:top="829" w:right="1000" w:bottom="0" w:gutter="0" w:footer="0" w:header="0"/>
          <w:type w:val="continuous"/>
        </w:sectPr>
      </w:pPr>
    </w:p>
    <w:bookmarkStart w:id="52" w:name="page53"/>
    <w:bookmarkEnd w:id="52"/>
    <w:p>
      <w:pPr>
        <w:ind w:left="720" w:right="20" w:hanging="370"/>
        <w:spacing w:after="0" w:line="284" w:lineRule="auto"/>
        <w:tabs>
          <w:tab w:leader="none" w:pos="720" w:val="left"/>
        </w:tabs>
        <w:numPr>
          <w:ilvl w:val="0"/>
          <w:numId w:val="2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clinical studies of our product candidates producing negative or inconclusive results, which may result in our deciding, or regulators requiring us, to conduct additional clinical studies or abandon product development programs;</w:t>
      </w:r>
    </w:p>
    <w:p>
      <w:pPr>
        <w:spacing w:after="0" w:line="97" w:lineRule="exact"/>
        <w:rPr>
          <w:rFonts w:ascii="Arial" w:cs="Arial" w:eastAsia="Arial" w:hAnsi="Arial"/>
          <w:sz w:val="24"/>
          <w:szCs w:val="24"/>
          <w:b w:val="1"/>
          <w:bCs w:val="1"/>
          <w:color w:val="050505"/>
        </w:rPr>
      </w:pPr>
    </w:p>
    <w:p>
      <w:pPr>
        <w:ind w:left="720" w:right="100" w:hanging="370"/>
        <w:spacing w:after="0" w:line="284" w:lineRule="auto"/>
        <w:tabs>
          <w:tab w:leader="none" w:pos="720" w:val="left"/>
        </w:tabs>
        <w:numPr>
          <w:ilvl w:val="0"/>
          <w:numId w:val="2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or failure to secure supply agreements with suitable raw material suppliers, or any failures by suppliers to meet our quantity or quality requirements for necessary raw materials;</w:t>
      </w:r>
    </w:p>
    <w:p>
      <w:pPr>
        <w:spacing w:after="0" w:line="61" w:lineRule="exact"/>
        <w:rPr>
          <w:rFonts w:ascii="Arial" w:cs="Arial" w:eastAsia="Arial" w:hAnsi="Arial"/>
          <w:sz w:val="24"/>
          <w:szCs w:val="24"/>
          <w:b w:val="1"/>
          <w:bCs w:val="1"/>
          <w:color w:val="050505"/>
        </w:rPr>
      </w:pPr>
    </w:p>
    <w:p>
      <w:pPr>
        <w:ind w:left="720" w:right="700" w:hanging="370"/>
        <w:spacing w:after="0" w:line="281" w:lineRule="auto"/>
        <w:tabs>
          <w:tab w:leader="none" w:pos="720" w:val="left"/>
        </w:tabs>
        <w:numPr>
          <w:ilvl w:val="0"/>
          <w:numId w:val="29"/>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shortage, interruption, or failure to secure commercially available and/or investigational drug products that are required to conduct clinical trials with our allogeneic CAR T product candidates; and</w:t>
      </w:r>
    </w:p>
    <w:p>
      <w:pPr>
        <w:spacing w:after="0" w:line="61" w:lineRule="exact"/>
        <w:rPr>
          <w:rFonts w:ascii="Times New Roman" w:cs="Times New Roman" w:eastAsia="Times New Roman" w:hAnsi="Times New Roman"/>
          <w:sz w:val="20"/>
          <w:szCs w:val="20"/>
          <w:color w:val="050505"/>
        </w:rPr>
      </w:pPr>
    </w:p>
    <w:p>
      <w:pPr>
        <w:ind w:left="720" w:right="640" w:hanging="370"/>
        <w:spacing w:after="0" w:line="281" w:lineRule="auto"/>
        <w:tabs>
          <w:tab w:leader="none" w:pos="720" w:val="left"/>
        </w:tabs>
        <w:numPr>
          <w:ilvl w:val="0"/>
          <w:numId w:val="29"/>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delays in manufacturing, testing, releasing, validating, or importing/exporting sufficient stable quantities of our product candidates for use in clinical studies or the inability to do any of the foregoing.</w:t>
      </w:r>
    </w:p>
    <w:p>
      <w:pPr>
        <w:spacing w:after="0" w:line="6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Tariffs and other trade restrictions, as well as a pandemic or epidemic may also increase the risk of certain of the events described above and delay our development timelines. Any inability to successfully complete preclinical and clinical development could result in additional costs to us or impair our ability to generate revenue. In addition, if we make manufacturing or formulation changes to our product candidates, we will be required to meet certain regulatory conditions, such as establishing comparability with the product candidates manufactured prior to such changes, and our inability to meet such conditions would result in investment of additional resources, a delay in our manufacturing of such product candidate and an extension of our clinical trial timelines.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9"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Our clinical trials may also be delayed because of the availability of drugs required to be used under our protocols. For example, in some of our clinical trials, the study participants receive commercially available drugs for lymphodepletion before our allogeneic CAR T product candidates are administered, and receive other drugs to prevent infections and manage the treatment emergent adverse events. Shortage or lack of availability of these commercially available drugs that are necessary to conduct our clinical trials may cause delays in our clinical trials.</w:t>
      </w:r>
    </w:p>
    <w:p>
      <w:pPr>
        <w:spacing w:after="0" w:line="195"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Monitoring and managing toxicities in patients receiving our product candidates is challenging, which could adversely affect our ability to obtain regulatory approval and commercialize.</w:t>
      </w:r>
    </w:p>
    <w:p>
      <w:pPr>
        <w:spacing w:after="0" w:line="5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For our clinical trials of our product candidates, we contract or will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or other comparable foreign regulatory authorities delaying, suspending, varying,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and/or may have a detrimental impact on the efficacy of the treatment. Challenges associated with the use of these medicines may increase with new physicians and centers administering our product candidates.</w:t>
      </w:r>
    </w:p>
    <w:p>
      <w:pPr>
        <w:spacing w:after="0" w:line="206" w:lineRule="exact"/>
        <w:rPr>
          <w:sz w:val="20"/>
          <w:szCs w:val="20"/>
          <w:color w:val="auto"/>
        </w:rPr>
      </w:pPr>
    </w:p>
    <w:p>
      <w:pPr>
        <w:ind w:right="480"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If we encounter difficulties enrolling patients in our clinical trials, our clinical development activities could be delayed or otherwise adversely affected.</w:t>
      </w:r>
    </w:p>
    <w:p>
      <w:pPr>
        <w:spacing w:after="0" w:line="5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We may experience difficulties in patient enrollment in our clinical trials for a variety of reasons. For example, as we progress the ALPHA3, TRAVERSE and RESOLUTION trials, we may face enrollment challenges, including an unwillingness of sites or patients to participate, the exclusion of patients with certain disease characteristics or the ineligibility of patients that have received prior autologous CAR T therapies, which continue to gain adoption. The timely completion of clinical trials in accordance with their protocols depends, among other things, on our ability to enroll a sufficient number of patients. Because we anticipate a minority of the 1L patients we will test for MRD as part of screening for the ALPHA3 trial will be MRD positive, we will likely experience a very high screen failure rate, which will require screening a large number of patients to complete enrollment in the study. Because of the anticipated high screen failure rate, certain clinical trial sites may decline to participate in ALPHA3 or completion of enrollment may be significantly delayed. Future epidemics or pandemics may result in reduced enrollment and challenges to related clinical trial activities. The enrollment of patients may be more difficult, such as due to the perceptions of the safety of our product candidates, and will depend on many factors, including:</w:t>
      </w:r>
    </w:p>
    <w:p>
      <w:pPr>
        <w:spacing w:after="0" w:line="113" w:lineRule="exact"/>
        <w:rPr>
          <w:sz w:val="20"/>
          <w:szCs w:val="20"/>
          <w:color w:val="auto"/>
        </w:rPr>
      </w:pPr>
    </w:p>
    <w:p>
      <w:pPr>
        <w:ind w:left="720" w:hanging="370"/>
        <w:spacing w:after="0"/>
        <w:tabs>
          <w:tab w:leader="none" w:pos="720" w:val="left"/>
        </w:tabs>
        <w:numPr>
          <w:ilvl w:val="0"/>
          <w:numId w:val="30"/>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patient eligibility criteria defined in the protocol;</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0"/>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prevalence of any biomarker required for enrollment, such as MRD or CD70 expression;</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0"/>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performance of the diagnostic tests used to determine eligibility for enrollment (e.g., MRD or CD70);</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49</w:t>
      </w:r>
    </w:p>
    <w:p>
      <w:pPr>
        <w:sectPr>
          <w:pgSz w:w="12240" w:h="15840" w:orient="portrait"/>
          <w:cols w:equalWidth="0" w:num="1">
            <w:col w:w="10240"/>
          </w:cols>
          <w:pgMar w:left="1000" w:top="829" w:right="1000" w:bottom="0" w:gutter="0" w:footer="0" w:header="0"/>
          <w:type w:val="continuous"/>
        </w:sectPr>
      </w:pPr>
    </w:p>
    <w:bookmarkStart w:id="53" w:name="page54"/>
    <w:bookmarkEnd w:id="53"/>
    <w:p>
      <w:pPr>
        <w:ind w:left="720" w:hanging="370"/>
        <w:spacing w:after="0"/>
        <w:tabs>
          <w:tab w:leader="none" w:pos="720" w:val="left"/>
        </w:tabs>
        <w:numPr>
          <w:ilvl w:val="0"/>
          <w:numId w:val="3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size of the patient population required for analysis of the trial’s primary endpoints;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proximity of patients to study sites;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design of the trial;</w:t>
      </w:r>
    </w:p>
    <w:p>
      <w:pPr>
        <w:spacing w:after="0" w:line="147" w:lineRule="exact"/>
        <w:rPr>
          <w:rFonts w:ascii="Arial" w:cs="Arial" w:eastAsia="Arial" w:hAnsi="Arial"/>
          <w:sz w:val="24"/>
          <w:szCs w:val="24"/>
          <w:b w:val="1"/>
          <w:bCs w:val="1"/>
          <w:color w:val="050505"/>
        </w:rPr>
      </w:pPr>
    </w:p>
    <w:p>
      <w:pPr>
        <w:ind w:left="720" w:right="180" w:hanging="370"/>
        <w:spacing w:after="0" w:line="284" w:lineRule="auto"/>
        <w:tabs>
          <w:tab w:leader="none" w:pos="720" w:val="left"/>
        </w:tabs>
        <w:numPr>
          <w:ilvl w:val="0"/>
          <w:numId w:val="3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ability to recruit clinical trial investigators with the appropriate competencies and experience and to activate, in a timely manner, the clinical trial sites with which they are associated and that have access to eligible patients;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ability to obtain and maintain patient consents;</w:t>
      </w:r>
    </w:p>
    <w:p>
      <w:pPr>
        <w:spacing w:after="0" w:line="147" w:lineRule="exact"/>
        <w:rPr>
          <w:rFonts w:ascii="Arial" w:cs="Arial" w:eastAsia="Arial" w:hAnsi="Arial"/>
          <w:sz w:val="24"/>
          <w:szCs w:val="24"/>
          <w:b w:val="1"/>
          <w:bCs w:val="1"/>
          <w:color w:val="050505"/>
        </w:rPr>
      </w:pPr>
    </w:p>
    <w:p>
      <w:pPr>
        <w:ind w:left="720" w:right="160" w:hanging="370"/>
        <w:spacing w:after="0" w:line="284" w:lineRule="auto"/>
        <w:tabs>
          <w:tab w:leader="none" w:pos="720" w:val="left"/>
        </w:tabs>
        <w:numPr>
          <w:ilvl w:val="0"/>
          <w:numId w:val="3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competition from approved products in the same or other lines of therapy and and/or disease indications and from product candidates in other clinical trials; and</w:t>
      </w:r>
    </w:p>
    <w:p>
      <w:pPr>
        <w:spacing w:after="0" w:line="61" w:lineRule="exact"/>
        <w:rPr>
          <w:rFonts w:ascii="Arial" w:cs="Arial" w:eastAsia="Arial" w:hAnsi="Arial"/>
          <w:sz w:val="24"/>
          <w:szCs w:val="24"/>
          <w:b w:val="1"/>
          <w:bCs w:val="1"/>
          <w:color w:val="050505"/>
        </w:rPr>
      </w:pPr>
    </w:p>
    <w:p>
      <w:pPr>
        <w:ind w:left="720" w:right="20" w:hanging="370"/>
        <w:spacing w:after="0" w:line="281" w:lineRule="auto"/>
        <w:tabs>
          <w:tab w:leader="none" w:pos="720" w:val="left"/>
        </w:tabs>
        <w:numPr>
          <w:ilvl w:val="0"/>
          <w:numId w:val="3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risk that patients enrolled in clinical trials will drop out of the trials before the infusion of our product candidates or trial completion.</w:t>
      </w:r>
    </w:p>
    <w:p>
      <w:pPr>
        <w:spacing w:after="0" w:line="61"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Since we only need to conduct a limited number of manufacturing runs to generate clinical supply, the diversity of our supply is limited during clinical trials. As a result, some patients may have antibodies to certain donor specific antigens at titers that could negatively impact the activity of our product candidates and which would render the patients ineligible for treatment. Furthermore, cellular mechanisms of allogeneic tissue rejection may limit the efficacy of our products. In addition, we have introduced an in vitro companion diagnostic (IVD) assay in the TRAVERSE trial to screen for patients with CD70+ tumors and are utilizing an MRD assay in the ALPHA3 trial to screen for patients who are MRD positive, both of which are restricting the number of patients eligible for the trials.</w:t>
      </w:r>
    </w:p>
    <w:p>
      <w:pPr>
        <w:spacing w:after="0" w:line="9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050505"/>
        </w:rPr>
        <w:t>Development and research use of an experimental diagnostic assay or test, such as that we are using to determine CD70 expression on tumor tissue of potential participants in the TRAVERSE trial or to identify MRD positive patients in the ALPHA3 trial, may influence results of the study in expected or unexpected ways. For example, emerging safety and efficacy outcomes could lead us to impose, tighten or expand “cutoff” values of CD70 expression to determine enrollment eligibility for TRAVERSE. Assay performance or necessary changes we or our partners make to the assay(s) during development may reduce the pace of enrollment or may lead to alterations in the expected benefit risk profile as compared to results collected prior to the change. In addition, our use of such assays may add complexity to initiating or expanding clinical trials outside the United States, including because the assay may be subject to regulation as an in vitro diagnostic medical device in certain jurisdictions and may require regulatory review, authorization, clearance or approval, or additional country-specific validation or operational requirements, before it can be used for patient selection. Any delays or inability to obtain such regulatory authorization, clearance or approval, or to meet local requirements, could delay trial initiation, site activation, patient screening or enrollment in those jurisdictions. The diagnostic assay itself may not perform as expected due to identifiable or obscure factors. It is also possible that we may not be aware of such underperformance of the assay which could lead to incorrect conclusions. This could, in turn, impact enrollment and interpretation of the clinical trial results.</w:t>
      </w:r>
    </w:p>
    <w:p>
      <w:pPr>
        <w:spacing w:after="0" w:line="99"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Our clinical trials will also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For example, our collaboration with Foresight Diagnostics is nonexclusive. As a result, there is a risk that Foresight Diagnostics might work with our competitors to enable a competing clinical trial involving the same MRD positive patient population that we plan to enroll in ALPHA3, which would reduce the number of patients who are available to participate in ALPHA3, and potentially delay completion of ALPHA3.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89"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As our clinical trials require conditioning patients with chemotherapy, including agents such as cyclophosphamide and fludarabine, and physicians use other drugs prophylactically or to manage adverse events, our ability to enroll may be impacted by the shortage of such agents or drugs. For instance, the FDA has reported a shortage of fludarabine and any failure or delays by us or by our clinical trial sites to obtain sufficient quantities of fludarabine may delay our ability to enroll and treat patients in our clinical trials.</w:t>
      </w:r>
    </w:p>
    <w:p>
      <w:pPr>
        <w:spacing w:after="0" w:line="84" w:lineRule="exact"/>
        <w:rPr>
          <w:sz w:val="20"/>
          <w:szCs w:val="20"/>
          <w:color w:val="auto"/>
        </w:rPr>
      </w:pPr>
    </w:p>
    <w:p>
      <w:pPr>
        <w:ind w:firstLine="720"/>
        <w:spacing w:after="0" w:line="271" w:lineRule="auto"/>
        <w:rPr>
          <w:sz w:val="20"/>
          <w:szCs w:val="20"/>
          <w:color w:val="auto"/>
        </w:rPr>
      </w:pPr>
      <w:r>
        <w:rPr>
          <w:rFonts w:ascii="Times New Roman" w:cs="Times New Roman" w:eastAsia="Times New Roman" w:hAnsi="Times New Roman"/>
          <w:sz w:val="19"/>
          <w:szCs w:val="19"/>
          <w:color w:val="050505"/>
        </w:rPr>
        <w:t>Moreover, because our product candidates represent a departure from more commonly used methods for treating cancer and autoimmune diseases, potential patients and their doctors may be inclined to use conventional therapies, such as chemotherapy, monoclonal antibodies, hematopoietic cell transplantation as well as autologous CAR T cell therapies for treating cancer or hydroxychloroquine, NSAIDs, immunosuppressants, corticosteroids, or other biologics for treating autoimmune diseases, rather than enroll patients in our clinical trial, including if our product candidates have or are perceived to have additional safety or efficacy risks or if using our product candidates may affect insurance coverage of conventional therapies. For instance, the development of autologous CAR T cell therapies continues to rapidly advance, including into earlier</w:t>
      </w:r>
    </w:p>
    <w:p>
      <w:pPr>
        <w:sectPr>
          <w:pgSz w:w="12240" w:h="15840" w:orient="portrait"/>
          <w:cols w:equalWidth="0" w:num="1">
            <w:col w:w="10240"/>
          </w:cols>
          <w:pgMar w:left="1000" w:top="813" w:right="1000" w:bottom="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50</w:t>
      </w:r>
    </w:p>
    <w:p>
      <w:pPr>
        <w:sectPr>
          <w:pgSz w:w="12240" w:h="15840" w:orient="portrait"/>
          <w:cols w:equalWidth="0" w:num="1">
            <w:col w:w="10240"/>
          </w:cols>
          <w:pgMar w:left="1000" w:top="813" w:right="1000" w:bottom="0" w:gutter="0" w:footer="0" w:header="0"/>
          <w:type w:val="continuous"/>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20"/>
          <w:szCs w:val="20"/>
          <w:color w:val="050505"/>
        </w:rPr>
        <w:t>lines of treatment of LBCL and treatment of relapsed/refractory (R/R) multiple myeloma, as described under the section entitled "Business—Competition" included in this Annual Report. We also may experience risks associated with a new class of therapies, bispecific antibodies, which have been approved for multiple myeloma and LBCL. The compelling results and related approvals may impact our ability to enroll patients in our clinical trials. Moreover, patients eligible for allogeneic CAR T cell therapies but ineligible for autologous CAR T cell therapies due to aggressive cancer and inability to wait for autologous CAR T cell therapies may be at greater risk for complications and death from therapy or may experience a reduction in efficacy as compared to patients who are well enough and whose disease is sufficiently slow growing as to be eligible for autologous CAR T cell therapy.</w:t>
      </w:r>
    </w:p>
    <w:p>
      <w:pPr>
        <w:spacing w:after="0" w:line="93" w:lineRule="exact"/>
        <w:rPr>
          <w:sz w:val="20"/>
          <w:szCs w:val="20"/>
          <w:color w:val="auto"/>
        </w:rPr>
      </w:pPr>
    </w:p>
    <w:p>
      <w:pPr>
        <w:ind w:right="300" w:firstLine="720"/>
        <w:spacing w:after="0" w:line="266" w:lineRule="auto"/>
        <w:rPr>
          <w:sz w:val="20"/>
          <w:szCs w:val="20"/>
          <w:color w:val="auto"/>
        </w:rPr>
      </w:pPr>
      <w:r>
        <w:rPr>
          <w:rFonts w:ascii="Times New Roman" w:cs="Times New Roman" w:eastAsia="Times New Roman" w:hAnsi="Times New Roman"/>
          <w:sz w:val="20"/>
          <w:szCs w:val="20"/>
          <w:color w:val="050505"/>
        </w:rPr>
        <w:t>Delays in patient enrollment may result in increased costs or may affect the timing or outcome of our clinical trials, which could prevent completion of these trials and adversely affect our ability to advance the development of our product candidates.</w:t>
      </w:r>
    </w:p>
    <w:p>
      <w:pPr>
        <w:spacing w:after="0" w:line="186"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The market opportunities for certain of our product candidates may be limited to those patients who are ineligible for or have failed prior treatments and may be small.</w:t>
      </w:r>
    </w:p>
    <w:p>
      <w:pPr>
        <w:spacing w:after="0" w:line="57"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The FDA often approves new therapies initially only for use in patients with R/R metastatic disease. We may initially seek approval of certain of our product candidates in this setting. Subsequently, for those products that prove to be sufficiently beneficial, if any, we would expect to seek further approval in earlier lines of treatment, and for cema-cel we expect to initially seek approval in the first line consolidation setting. There is no guarantee that our product candidates, even if approved, would be approved for earlier lines of therapy, and, prior to any such approvals, we will have to conduct additional clinical trials, including potentially comparative trials against the then-current standard of care, which in some cases may include comparative trials against approved therapies. We may also target a similar patient population as autologous CAR T product candidates, including approved autologous CAR T products. Our therapies may not be as safe and effective as autologous CAR T therapies and may only be approved for patients who are ineligible for autologous CAR T therapy.</w:t>
      </w:r>
    </w:p>
    <w:p>
      <w:pPr>
        <w:spacing w:after="0" w:line="89"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Our projections of both the number of patients who have the cancers or autoimmune diseases we are targeting, as well as the subset of patients with these cancers or autoimmune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or therapies may change the estimated incidence or prevalence of these cancers and autoimmune diseases. The number of patients may turn out to be lower than expected. Additionally, the potentially addressable patient population for our product candidates may be limited, such as due to the eligibility criteria of our trials (e.g., MRD+ rates lower than expected), or may not be amenable to treatment with our product candidates, all of which may negatively impact the potential market opportunity for our other product candidates, if approved.</w:t>
      </w:r>
    </w:p>
    <w:p>
      <w:pPr>
        <w:spacing w:after="0" w:line="20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spacing w:after="0" w:line="76"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050505"/>
        </w:rPr>
        <w:t>We may not be able to achieve clinical or commercial manufacturing of our products on our own or at a CDMO, including the inability to satisfy demands for any of our product candidates. We have limited experience in managing the allogeneic CAR T cell engineering process, and our allogeneic processes may be more difficult or more expensive than the approaches taken by our competitors. Until we complete our clinical trials, we cannot be sure that the manufacturing processes employed by us or the technologies that we incorporate for manufacturing will result in consistent T cell production that will be safe and effective.</w:t>
      </w:r>
    </w:p>
    <w:p>
      <w:pPr>
        <w:spacing w:after="0" w:line="8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We operate CF1, our manufacturing facility located in Newark, California, that is designed to support our clinical trials and potential commercial production and worldwide distribution of allogeneic CAR T cell products for blood cancers, solid tumors and autoimmune diseases. Introducing any product manufactured at our manufacturing facility into an ongoing clinical trial would be subject to FDA review, and may result in increased costs and delays in conducting such trial, submitting a biologics license application (BLA) or marketing authorization application (MAA) and/or gaining FDA or other comparable foreign regulatory authority approval. Similar conditions may apply if we make process changes to our product candidates, as we plan to do for our BCMA program. In addition, any process or raw material change could introduce unacceptable product variability and impact our ability to manufacture on a consistent and reproducible basis. Ultimately, any failure or delays in manufacturing and qualification of our product candidates at our CDMO or at our own manufacturing facility could delay our clinical trials.</w:t>
      </w:r>
    </w:p>
    <w:p>
      <w:pPr>
        <w:spacing w:after="0" w:line="96"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19"/>
          <w:szCs w:val="19"/>
          <w:color w:val="050505"/>
        </w:rPr>
        <w:t>We do not yet have sufficient information to reliably estimate the cost of the commercial manufacturing of our product candidates, and the actual cost to manufacture our product candidates could materially and adversely affect the commercial viability of our product candidates. The commercial dose and treatment regimen may affect our ability to scale and will affect our cost per dose. For instance, because our anti-BCMA product candidates may require a higher dose than cema-cel, it is</w:t>
      </w:r>
    </w:p>
    <w:p>
      <w:pPr>
        <w:sectPr>
          <w:pgSz w:w="12240" w:h="15840" w:orient="portrait"/>
          <w:cols w:equalWidth="0" w:num="1">
            <w:col w:w="10240"/>
          </w:cols>
          <w:pgMar w:left="1000" w:top="793" w:right="100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51</w:t>
      </w:r>
    </w:p>
    <w:p>
      <w:pPr>
        <w:sectPr>
          <w:pgSz w:w="12240" w:h="15840" w:orient="portrait"/>
          <w:cols w:equalWidth="0" w:num="1">
            <w:col w:w="10240"/>
          </w:cols>
          <w:pgMar w:left="1000" w:top="793" w:right="1000" w:bottom="0" w:gutter="0" w:footer="0" w:header="0"/>
          <w:type w:val="continuous"/>
        </w:sectPr>
      </w:pPr>
    </w:p>
    <w:bookmarkStart w:id="55" w:name="page56"/>
    <w:bookmarkEnd w:id="55"/>
    <w:p>
      <w:pPr>
        <w:ind w:right="20"/>
        <w:spacing w:after="0" w:line="256" w:lineRule="auto"/>
        <w:rPr>
          <w:sz w:val="20"/>
          <w:szCs w:val="20"/>
          <w:color w:val="auto"/>
        </w:rPr>
      </w:pPr>
      <w:r>
        <w:rPr>
          <w:rFonts w:ascii="Times New Roman" w:cs="Times New Roman" w:eastAsia="Times New Roman" w:hAnsi="Times New Roman"/>
          <w:sz w:val="20"/>
          <w:szCs w:val="20"/>
          <w:color w:val="050505"/>
        </w:rPr>
        <w:t>possible that it may be more difficult to scale production of our anti-BCMA product candidates to meet demand. As a result, we may never be able to develop a commercially viable product. Our manufacturing facility will also require FDA approval, and possibly similar approval from comparable foreign regulatory authorities before it can be used for commercial production, which we may never obtain. Even if approved, we would be subject to ongoing periodic unannounced inspection by the FDA, EMA, the Drug Enforcement Administration and corresponding state agencies to ensure strict compliance with current good manufacturing practices (cGMP), and other government regulations.</w:t>
      </w:r>
    </w:p>
    <w:p>
      <w:pPr>
        <w:spacing w:after="0" w:line="8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The manufacture of biopharmaceutical products is complex and requires significant expertise, including the development of advanced manufacturing techniques and process controls. Manufacturers of cell therapy products often encounter difficulties in production, particularly in validating initial production and ensuring the absence of contamination. Other problems can include difficulties with production costs and yields, quality control, including stability of the product,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supply may have to be discarded and our manufacturing facility may need to be closed for an extended period of time to investigate and remedy the contamination. We cannot assure you that any stability or other issues relating to the manufacture of our product candidates will not occur in the future.</w:t>
      </w:r>
    </w:p>
    <w:p>
      <w:pPr>
        <w:spacing w:after="0" w:line="96"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We or any of our vendors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spacing w:after="0" w:line="83"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050505"/>
        </w:rPr>
        <w:t>We may also experience manufacturing difficulties due to resource constraints or as a result of labor disruptions, such as due to a future pandemic, epidemic or disputes. If we were to encounter any of these difficulties, our ability to provide our product candidates to patients would be jeopardized.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Reduced manufacturing operations may limit our ability to timely support our development programs.</w:t>
      </w:r>
    </w:p>
    <w:p>
      <w:pPr>
        <w:spacing w:after="0" w:line="139"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050505"/>
        </w:rPr>
        <w:t>In May 2025, we implemented a targeted reduction in manufacturing activities and reduced certain manufacturing-related headcount to focus our resources on critical clinical programs (Workforce Reduction). While we believe we currently hold sufficient inventory of cema-cel, ALLO-329, and ALLO-316 to meet our near-term clinical needs based on our current forecasts, including completing our current ALPHA3, RESOLUTION and TRAVERSE trials, this operational scale-down introduces several risks that could adversely affect our business in both the near and long term.</w:t>
      </w:r>
    </w:p>
    <w:p>
      <w:pPr>
        <w:spacing w:after="0" w:line="84"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050505"/>
        </w:rPr>
        <w:t>The reduction in manufacturing activities and associated workforce may limit our ability to maintain operational readiness and retain critical technical expertise. Additionally, equipment and facility downtime may necessitate requalification and validation, which may be time consuming and result in delays. Any future decision to ramp up manufacturing operations would require re-hiring and retraining staff, re-establishing validated processes, and potentially undergoing regulatory inspections or submissions. In addition, reduced manufacturing operations and related workforce reductions may delay our ability to complete CMC activities and prepare the manufacturing-related portions of IND submissions and, over time, the CMC portions of any future BLA or MAA submissions, including responding to regulatory questions and preparing for potential inspections. These activities may be resource-intensive and subject to unforeseen delays or compliance risks. A delayed or unsuccessful restart or a delay in IND, BLA, or MAA submissions could impact our ability to advance our clinical development programs, commercialize a product, if approved, or support future clinical development of our earlier-stage product candidates. In addition, reduced manufacturing staffing and activity levels may delay our ability to complete CMC activities and prepare manufacturing-related portions of regulatory submissions, including INDs and, over time, the CMC portions of any future BLA or MAA submissions, as well as responding to regulatory inquiries and preparing for potential inspections.</w:t>
      </w:r>
    </w:p>
    <w:p>
      <w:pPr>
        <w:spacing w:after="0" w:line="99"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050505"/>
        </w:rPr>
        <w:t>Moreover, with reduced manufacturing operations, we remain exposed to risks such as product shelf-life limitations, evolving product requirements, and regulatory changes that could render existing supply unusable or inadequate, and inventory shortages that could result from forecasting inaccuracies. Collectively, these factors may adversely affect our financial condition, operating results, and ability to advance our clinical programs and execute our strategic objectives.</w:t>
      </w:r>
    </w:p>
    <w:p>
      <w:pPr>
        <w:spacing w:after="0" w:line="19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As a company, we have no experience in marketing products. If we are unable to establish marketing and sales capabilities or enter into agreements with third parties to market and sell our product candidates, we may not be able to generate product revenue.</w:t>
      </w:r>
    </w:p>
    <w:p>
      <w:pPr>
        <w:spacing w:after="0" w:line="76" w:lineRule="exact"/>
        <w:rPr>
          <w:sz w:val="20"/>
          <w:szCs w:val="20"/>
          <w:color w:val="auto"/>
        </w:rPr>
      </w:pPr>
    </w:p>
    <w:p>
      <w:pPr>
        <w:ind w:right="60" w:firstLine="720"/>
        <w:spacing w:after="0" w:line="309" w:lineRule="auto"/>
        <w:rPr>
          <w:sz w:val="20"/>
          <w:szCs w:val="20"/>
          <w:color w:val="auto"/>
        </w:rPr>
      </w:pPr>
      <w:r>
        <w:rPr>
          <w:rFonts w:ascii="Times New Roman" w:cs="Times New Roman" w:eastAsia="Times New Roman" w:hAnsi="Times New Roman"/>
          <w:sz w:val="19"/>
          <w:szCs w:val="19"/>
          <w:color w:val="050505"/>
        </w:rPr>
        <w:t>As a company, we have no experience in marketing products. We intend to develop an in-house marketing organization and sales force, which will require significant capital expenditures, management resources and time. We will have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52</w:t>
      </w:r>
    </w:p>
    <w:p>
      <w:pPr>
        <w:sectPr>
          <w:pgSz w:w="12240" w:h="15840" w:orient="portrait"/>
          <w:cols w:equalWidth="0" w:num="1">
            <w:col w:w="10240"/>
          </w:cols>
          <w:pgMar w:left="1000" w:top="793" w:right="1000" w:bottom="0" w:gutter="0" w:footer="0" w:header="0"/>
          <w:type w:val="continuous"/>
        </w:sectPr>
      </w:pPr>
    </w:p>
    <w:bookmarkStart w:id="56" w:name="page57"/>
    <w:bookmarkEnd w:id="56"/>
    <w:p>
      <w:pPr>
        <w:ind w:right="600"/>
        <w:spacing w:after="0" w:line="281" w:lineRule="auto"/>
        <w:rPr>
          <w:sz w:val="20"/>
          <w:szCs w:val="20"/>
          <w:color w:val="auto"/>
        </w:rPr>
      </w:pPr>
      <w:r>
        <w:rPr>
          <w:rFonts w:ascii="Times New Roman" w:cs="Times New Roman" w:eastAsia="Times New Roman" w:hAnsi="Times New Roman"/>
          <w:sz w:val="20"/>
          <w:szCs w:val="20"/>
          <w:color w:val="050505"/>
        </w:rPr>
        <w:t>to compete with other pharmaceutical and biotechnology companies to recruit, hire, train and retain marketing and sales personnel.</w:t>
      </w:r>
    </w:p>
    <w:p>
      <w:pPr>
        <w:spacing w:after="0" w:line="61"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or be on favorable terms.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90"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20"/>
          <w:szCs w:val="20"/>
          <w:color w:val="050505"/>
        </w:rPr>
        <w:t>There can be no assurance that we will be able to develop in-house sales and distribution capabilities or establish or maintain relationships with third-party collaborators to commercialize any product that receives regulatory approval in the United States or in other markets.</w:t>
      </w:r>
    </w:p>
    <w:p>
      <w:pPr>
        <w:spacing w:after="0" w:line="186"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A variety of risks associated with conducting research and clinical trials abroad and marketing our product candidates internationally could materially adversely affect our business.</w:t>
      </w:r>
    </w:p>
    <w:p>
      <w:pPr>
        <w:spacing w:after="0" w:line="57"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050505"/>
        </w:rPr>
        <w:t>We plan to globally develop our product candidates. Accordingly, we expect that we will be subject to additional risks related to operating in foreign countries, including:</w:t>
      </w:r>
    </w:p>
    <w:p>
      <w:pPr>
        <w:spacing w:after="0" w:line="82" w:lineRule="exact"/>
        <w:rPr>
          <w:sz w:val="20"/>
          <w:szCs w:val="20"/>
          <w:color w:val="auto"/>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differing regulatory requirements in foreign countries;</w:t>
      </w:r>
    </w:p>
    <w:p>
      <w:pPr>
        <w:spacing w:after="0" w:line="147" w:lineRule="exact"/>
        <w:rPr>
          <w:rFonts w:ascii="Arial" w:cs="Arial" w:eastAsia="Arial" w:hAnsi="Arial"/>
          <w:sz w:val="24"/>
          <w:szCs w:val="24"/>
          <w:b w:val="1"/>
          <w:bCs w:val="1"/>
          <w:color w:val="050505"/>
        </w:rPr>
      </w:pPr>
    </w:p>
    <w:p>
      <w:pPr>
        <w:ind w:left="720" w:right="20" w:hanging="370"/>
        <w:spacing w:after="0" w:line="287" w:lineRule="auto"/>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unexpected changes in tariffs, trade barriers, price and exchange controls and other regulatory requirements, including recently imposed tariffs which may impact certain of our key raw materials that we import, and which could impact our cost of goods for our product candidates;</w:t>
      </w:r>
    </w:p>
    <w:p>
      <w:pPr>
        <w:spacing w:after="0" w:line="88"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differing standards and privacy requirements for the conduct of clinical trials;</w:t>
      </w:r>
    </w:p>
    <w:p>
      <w:pPr>
        <w:spacing w:after="0" w:line="111" w:lineRule="exact"/>
        <w:rPr>
          <w:rFonts w:ascii="Arial" w:cs="Arial" w:eastAsia="Arial" w:hAnsi="Arial"/>
          <w:sz w:val="24"/>
          <w:szCs w:val="24"/>
          <w:b w:val="1"/>
          <w:bCs w:val="1"/>
          <w:color w:val="050505"/>
        </w:rPr>
      </w:pPr>
    </w:p>
    <w:p>
      <w:pPr>
        <w:ind w:left="720" w:right="100" w:hanging="370"/>
        <w:spacing w:after="0" w:line="281" w:lineRule="auto"/>
        <w:tabs>
          <w:tab w:leader="none" w:pos="720" w:val="left"/>
        </w:tabs>
        <w:numPr>
          <w:ilvl w:val="0"/>
          <w:numId w:val="32"/>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jurisdiction-specific regulatory, reimbursement, and clinical adoption dynamics for diagnostic assays used for patient identification and selection;</w:t>
      </w:r>
    </w:p>
    <w:p>
      <w:pPr>
        <w:spacing w:after="0" w:line="97" w:lineRule="exact"/>
        <w:rPr>
          <w:rFonts w:ascii="Times New Roman" w:cs="Times New Roman" w:eastAsia="Times New Roman" w:hAnsi="Times New Roman"/>
          <w:sz w:val="20"/>
          <w:szCs w:val="20"/>
          <w:color w:val="050505"/>
        </w:rPr>
      </w:pPr>
    </w:p>
    <w:p>
      <w:pPr>
        <w:ind w:left="720" w:right="240" w:hanging="370"/>
        <w:spacing w:after="0" w:line="284" w:lineRule="auto"/>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geographic variations in genetics, comorbidities, environmental factors, treatment patterns, and healthcare practices may impact the safety profile or efficacy of our product candidates;</w:t>
      </w:r>
    </w:p>
    <w:p>
      <w:pPr>
        <w:spacing w:after="0" w:line="97" w:lineRule="exact"/>
        <w:rPr>
          <w:rFonts w:ascii="Arial" w:cs="Arial" w:eastAsia="Arial" w:hAnsi="Arial"/>
          <w:sz w:val="24"/>
          <w:szCs w:val="24"/>
          <w:b w:val="1"/>
          <w:bCs w:val="1"/>
          <w:color w:val="050505"/>
        </w:rPr>
      </w:pPr>
    </w:p>
    <w:p>
      <w:pPr>
        <w:ind w:left="720" w:hanging="370"/>
        <w:spacing w:after="0" w:line="287" w:lineRule="auto"/>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increased difficulties in managing the logistics and transportation of storing and shipping product candidates produced in the United States, shipping the product candidate to the patient abroad, and shipping patient samples to the United States for screening tests;</w:t>
      </w:r>
    </w:p>
    <w:p>
      <w:pPr>
        <w:spacing w:after="0" w:line="88"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import and export requirements and restrictions;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economic weakness, including inflation, or political instability in particular foreign economies and markets;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compliance with tax, employment, immigration and labor laws for employees living or traveling abroad;</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foreign taxes, including withholding of payroll taxes;</w:t>
      </w:r>
    </w:p>
    <w:p>
      <w:pPr>
        <w:spacing w:after="0" w:line="147" w:lineRule="exact"/>
        <w:rPr>
          <w:rFonts w:ascii="Arial" w:cs="Arial" w:eastAsia="Arial" w:hAnsi="Arial"/>
          <w:sz w:val="24"/>
          <w:szCs w:val="24"/>
          <w:b w:val="1"/>
          <w:bCs w:val="1"/>
          <w:color w:val="050505"/>
        </w:rPr>
      </w:pPr>
    </w:p>
    <w:p>
      <w:pPr>
        <w:ind w:left="720" w:right="440" w:hanging="370"/>
        <w:spacing w:after="0" w:line="284" w:lineRule="auto"/>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foreign currency fluctuations, which could result in increased operating expenses and reduced revenue, and other obligations incident to doing business in another country;</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difficulties staffing and managing foreign operations;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workforce uncertainty in countries where labor unrest is more common than in the United States;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differing payor reimbursement regimes, governmental payors or patient self-pay systems, and price controls;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potential liability under the Foreign Corrupt Practices Act of 1977 or comparable foreign regulations;</w:t>
      </w:r>
    </w:p>
    <w:p>
      <w:pPr>
        <w:spacing w:after="0" w:line="147" w:lineRule="exact"/>
        <w:rPr>
          <w:rFonts w:ascii="Arial" w:cs="Arial" w:eastAsia="Arial" w:hAnsi="Arial"/>
          <w:sz w:val="24"/>
          <w:szCs w:val="24"/>
          <w:b w:val="1"/>
          <w:bCs w:val="1"/>
          <w:color w:val="050505"/>
        </w:rPr>
      </w:pPr>
    </w:p>
    <w:p>
      <w:pPr>
        <w:ind w:left="720" w:right="160" w:hanging="370"/>
        <w:spacing w:after="0" w:line="284" w:lineRule="auto"/>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challenges enforcing our contractual and intellectual property rights, especially in those foreign countries that do not respect and protect intellectual property rights to the same extent as the United States;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production shortages resulting from any events affecting raw material supply or manufacturing capabilities abroad;</w:t>
      </w:r>
    </w:p>
    <w:p>
      <w:pPr>
        <w:sectPr>
          <w:pgSz w:w="12240" w:h="15840" w:orient="portrait"/>
          <w:cols w:equalWidth="0" w:num="1">
            <w:col w:w="10180"/>
          </w:cols>
          <w:pgMar w:left="1000" w:top="7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050505"/>
        </w:rPr>
        <w:t>53</w:t>
      </w:r>
    </w:p>
    <w:p>
      <w:pPr>
        <w:sectPr>
          <w:pgSz w:w="12240" w:h="15840" w:orient="portrait"/>
          <w:cols w:equalWidth="0" w:num="1">
            <w:col w:w="10180"/>
          </w:cols>
          <w:pgMar w:left="1000" w:top="793" w:right="1060" w:bottom="0" w:gutter="0" w:footer="0" w:header="0"/>
          <w:type w:val="continuous"/>
        </w:sectPr>
      </w:pPr>
    </w:p>
    <w:bookmarkStart w:id="57" w:name="page58"/>
    <w:bookmarkEnd w:id="57"/>
    <w:p>
      <w:pPr>
        <w:ind w:left="720" w:right="60" w:hanging="370"/>
        <w:spacing w:after="0" w:line="284" w:lineRule="auto"/>
        <w:tabs>
          <w:tab w:leader="none" w:pos="720" w:val="left"/>
        </w:tabs>
        <w:numPr>
          <w:ilvl w:val="0"/>
          <w:numId w:val="3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challenges with obtaining any local supply of drugs or agents used with our product candidates, which are required by certain local clinical trial sites before conducting any study; and</w:t>
      </w:r>
    </w:p>
    <w:p>
      <w:pPr>
        <w:spacing w:after="0" w:line="61" w:lineRule="exact"/>
        <w:rPr>
          <w:rFonts w:ascii="Arial" w:cs="Arial" w:eastAsia="Arial" w:hAnsi="Arial"/>
          <w:sz w:val="24"/>
          <w:szCs w:val="24"/>
          <w:b w:val="1"/>
          <w:bCs w:val="1"/>
          <w:color w:val="050505"/>
        </w:rPr>
      </w:pPr>
    </w:p>
    <w:p>
      <w:pPr>
        <w:jc w:val="both"/>
        <w:ind w:left="720" w:right="760" w:hanging="370"/>
        <w:spacing w:after="0" w:line="266" w:lineRule="auto"/>
        <w:tabs>
          <w:tab w:leader="none" w:pos="720" w:val="left"/>
        </w:tabs>
        <w:numPr>
          <w:ilvl w:val="0"/>
          <w:numId w:val="33"/>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business interruptions resulting from future health epidemics or pandemics, or natural or man-made disasters, including earthquakes, tsunamis, fires or other medical epidemics, or geo-political actions, including war and terrorism.</w:t>
      </w:r>
    </w:p>
    <w:p>
      <w:pPr>
        <w:spacing w:after="0" w:line="75"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These and other risks associated with our collaborations with Servier and Cellectis, each based in France, and our joint venture for China, Taiwan, South Korea and Singapore with HBP, may materially adversely affect our ability to attain or maintain profitable operations.</w:t>
      </w:r>
    </w:p>
    <w:p>
      <w:pPr>
        <w:spacing w:after="0" w:line="186"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face significant competition from other biotechnology and pharmaceutical companies, and our operating results will suffer if we fail to compete effectively.</w:t>
      </w:r>
    </w:p>
    <w:p>
      <w:pPr>
        <w:spacing w:after="0" w:line="5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The biopharmaceutical industry, and the immuno-oncology industry specifically,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spacing w:after="0" w:line="88"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Specifically, engineered T cells face significant competition from multiple companies. For example, there are new approaches involving in vivo CAR T or in vivo cell-engineering technologies that seek to deliver genetic payloads directly to a patient’s immune cells within the body, eliminating the need for ex vivo cell collection, gene editing, or manufacturing. If these technologies ultimately demonstrate clinical success and acceptable safety profiles, they could adversely affect the commercial potential of our product candidates. Conversely, if serious adverse events or safety signals emerge from ongoing in vivo trials, they could also heighten regulatory scrutiny of cell and gene-therapy products generally, which could indirectly affect our programs.</w:t>
      </w:r>
    </w:p>
    <w:p>
      <w:pPr>
        <w:spacing w:after="0" w:line="90"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Success of other therapies, such as in vivo technologies, could impact our regulatory strategy and delay or prevent regulatory approval of our product candidates.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refer to the section entitled “Business—Competition” included in this Annual Report.</w:t>
      </w:r>
    </w:p>
    <w:p>
      <w:pPr>
        <w:spacing w:after="0" w:line="204"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are highly dependent on our key personnel, and if we are not successful in attracting and retaining highly qualified personnel, we may not be able to successfully implement our business strategy.</w:t>
      </w:r>
    </w:p>
    <w:p>
      <w:pPr>
        <w:spacing w:after="0" w:line="5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Our ability to compete in the highly competitive biotechnology and pharmaceutical industries depends upon our ability to attract and retain highly qualified managerial, scientific, medical and other personnel. We are highly dependent on our management, including our Executive Chair, our President and Chief Executive Officer, our Executive Vice President, Research &amp; Development and Chief Medical Officer, our Senior Vice President and Chief Technical Officer, our Chief Financial Officer, and our General Counsel. The loss of the services of any of our executive officers, other key employees, and other scientific and medical advisors, and our inability to find suitable replacements could result in delays in product development and harm our business.</w:t>
      </w:r>
    </w:p>
    <w:p>
      <w:pPr>
        <w:spacing w:after="0" w:line="9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Attrition may lead to higher costs for hiring and retention, diversion of management time to address retention matters and disrupt the business.</w:t>
      </w:r>
    </w:p>
    <w:p>
      <w:pPr>
        <w:sectPr>
          <w:pgSz w:w="12240" w:h="15840" w:orient="portrait"/>
          <w:cols w:equalWidth="0" w:num="1">
            <w:col w:w="10220"/>
          </w:cols>
          <w:pgMar w:left="1000" w:top="829"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54</w:t>
      </w:r>
    </w:p>
    <w:p>
      <w:pPr>
        <w:sectPr>
          <w:pgSz w:w="12240" w:h="15840" w:orient="portrait"/>
          <w:cols w:equalWidth="0" w:num="1">
            <w:col w:w="10220"/>
          </w:cols>
          <w:pgMar w:left="1000" w:top="829" w:right="1020" w:bottom="0" w:gutter="0" w:footer="0" w:header="0"/>
          <w:type w:val="continuous"/>
        </w:sectPr>
      </w:pPr>
    </w:p>
    <w:bookmarkStart w:id="58" w:name="page59"/>
    <w:bookmarkEnd w:id="58"/>
    <w:p>
      <w:pPr>
        <w:ind w:right="80" w:firstLine="720"/>
        <w:spacing w:after="0" w:line="252" w:lineRule="auto"/>
        <w:rPr>
          <w:sz w:val="20"/>
          <w:szCs w:val="20"/>
          <w:color w:val="auto"/>
        </w:rPr>
      </w:pPr>
      <w:r>
        <w:rPr>
          <w:rFonts w:ascii="Times New Roman" w:cs="Times New Roman" w:eastAsia="Times New Roman" w:hAnsi="Times New Roman"/>
          <w:sz w:val="20"/>
          <w:szCs w:val="20"/>
          <w:color w:val="050505"/>
        </w:rPr>
        <w:t>To induce valuable employees to remain at our company, in addition to salary and cash incentives, we have provided stock options and restricted stock unit (RSU) awards that vest over time or upon the achievement of certain key strategic goals. The value to employees of stock options and RSU awards that vest over time or upon achieving goals have been significantly affected by movements in our stock price that are beyond our control and may at any time be insufficient to counteract more lucrative offers from other companies. We completed an option exchange program in July 2022 to alleviate the significant number of employee options that were underwater at that time. Our stock price has significantly declined since the option exchange program and a significant number of our employee options remain underwater and may not provide the intended incentive for employees to remain at our company.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210"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The size of our workforce has fluctuated and we will need to manage the size of our organization as we continue to advance our product candidates.</w:t>
      </w:r>
    </w:p>
    <w:p>
      <w:pPr>
        <w:spacing w:after="0" w:line="57" w:lineRule="exact"/>
        <w:rPr>
          <w:sz w:val="20"/>
          <w:szCs w:val="20"/>
          <w:color w:val="auto"/>
        </w:rPr>
      </w:pPr>
    </w:p>
    <w:p>
      <w:pPr>
        <w:ind w:firstLine="720"/>
        <w:spacing w:after="0" w:line="284" w:lineRule="auto"/>
        <w:rPr>
          <w:sz w:val="20"/>
          <w:szCs w:val="20"/>
          <w:color w:val="auto"/>
        </w:rPr>
      </w:pPr>
      <w:r>
        <w:rPr>
          <w:rFonts w:ascii="Times New Roman" w:cs="Times New Roman" w:eastAsia="Times New Roman" w:hAnsi="Times New Roman"/>
          <w:sz w:val="19"/>
          <w:szCs w:val="19"/>
          <w:color w:val="050505"/>
        </w:rPr>
        <w:t>As our development, manufacturing and commercialization plans and strategies develop, we have grown our employee base and allocated resources to multiple new functions, but in January 2024 and May 2025 we implemented a 22% and 28% reductions in force, respectively, and we will need to continue to manage the size of our organization to ensure that we can successfully execute our strategic plans. As our product candidates advance toward commercialization, we expect to hire</w:t>
      </w:r>
    </w:p>
    <w:p>
      <w:pPr>
        <w:spacing w:after="0" w:line="2"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20"/>
          <w:szCs w:val="20"/>
          <w:color w:val="050505"/>
        </w:rPr>
        <w:t>employees in areas that include sales and marketing. Future growth imposes significant added responsibilities on members of management, including:</w:t>
      </w:r>
    </w:p>
    <w:p>
      <w:pPr>
        <w:spacing w:after="0" w:line="60" w:lineRule="exact"/>
        <w:rPr>
          <w:sz w:val="20"/>
          <w:szCs w:val="20"/>
          <w:color w:val="auto"/>
        </w:rPr>
      </w:pPr>
    </w:p>
    <w:p>
      <w:pPr>
        <w:ind w:left="720" w:hanging="370"/>
        <w:spacing w:after="0"/>
        <w:tabs>
          <w:tab w:leader="none" w:pos="720" w:val="left"/>
        </w:tabs>
        <w:numPr>
          <w:ilvl w:val="0"/>
          <w:numId w:val="3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identifying, recruiting, integrating, maintaining and motivating additional employees;</w:t>
      </w:r>
    </w:p>
    <w:p>
      <w:pPr>
        <w:spacing w:after="0" w:line="147" w:lineRule="exact"/>
        <w:rPr>
          <w:rFonts w:ascii="Arial" w:cs="Arial" w:eastAsia="Arial" w:hAnsi="Arial"/>
          <w:sz w:val="24"/>
          <w:szCs w:val="24"/>
          <w:b w:val="1"/>
          <w:bCs w:val="1"/>
          <w:color w:val="050505"/>
        </w:rPr>
      </w:pPr>
    </w:p>
    <w:p>
      <w:pPr>
        <w:ind w:left="720" w:right="120" w:hanging="370"/>
        <w:spacing w:after="0" w:line="284" w:lineRule="auto"/>
        <w:tabs>
          <w:tab w:leader="none" w:pos="720" w:val="left"/>
        </w:tabs>
        <w:numPr>
          <w:ilvl w:val="0"/>
          <w:numId w:val="3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managing our internal development efforts effectively, including the clinical and FDA review process for our product candidates, while complying with our contractual obligations to contractors and other third parties; and</w:t>
      </w:r>
    </w:p>
    <w:p>
      <w:pPr>
        <w:spacing w:after="0" w:line="6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improving our operational, financial and management controls, reporting systems and procedures.</w:t>
      </w:r>
    </w:p>
    <w:p>
      <w:pPr>
        <w:spacing w:after="0" w:line="130"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050505"/>
        </w:rPr>
        <w:t>Our future financial performance and our ability to commercialize our product candidates will depend, in part, on our ability to effectively manage our growth, and our management may also have to divert a disproportionate amount of its attention away from day-to-day activities in order to devote a substantial amount of time to managing these growth activities.</w:t>
      </w:r>
    </w:p>
    <w:p>
      <w:pPr>
        <w:spacing w:after="0" w:line="7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89"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050505"/>
        </w:rPr>
        <w:t>If we are not able to effectively expand our organization by hiring and retaining employees and expanding our groups of consultants and contractors, we may not be able to successfully implement the tasks necessary to further develop, manufacture and commercialize our product candidates and, accordingly, may not achieve our research, development, manufacturing and commercialization goals. Conversely, if we expand ahead of our business progress, we may take on unnecessary costs.</w:t>
      </w:r>
    </w:p>
    <w:p>
      <w:pPr>
        <w:spacing w:after="0" w:line="19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may form or seek additional strategic alliances or enter into additional licensing arrangements in the future, and we may not realize the benefits of such alliances or licensing arrangements.</w:t>
      </w:r>
    </w:p>
    <w:p>
      <w:pPr>
        <w:spacing w:after="0" w:line="57"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050505"/>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w:t>
      </w:r>
    </w:p>
    <w:p>
      <w:pPr>
        <w:sectPr>
          <w:pgSz w:w="12240" w:h="15840" w:orient="portrait"/>
          <w:cols w:equalWidth="0" w:num="1">
            <w:col w:w="10240"/>
          </w:cols>
          <w:pgMar w:left="1000" w:top="793" w:right="100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55</w:t>
      </w:r>
    </w:p>
    <w:p>
      <w:pPr>
        <w:sectPr>
          <w:pgSz w:w="12240" w:h="15840" w:orient="portrait"/>
          <w:cols w:equalWidth="0" w:num="1">
            <w:col w:w="10240"/>
          </w:cols>
          <w:pgMar w:left="1000" w:top="793" w:right="1000" w:bottom="0" w:gutter="0" w:footer="0" w:header="0"/>
          <w:type w:val="continuous"/>
        </w:sectPr>
      </w:pPr>
    </w:p>
    <w:bookmarkStart w:id="59" w:name="page60"/>
    <w:bookmarkEnd w:id="59"/>
    <w:p>
      <w:pPr>
        <w:spacing w:after="0" w:line="258" w:lineRule="auto"/>
        <w:rPr>
          <w:sz w:val="20"/>
          <w:szCs w:val="20"/>
          <w:color w:val="auto"/>
        </w:rPr>
      </w:pPr>
      <w:r>
        <w:rPr>
          <w:rFonts w:ascii="Times New Roman" w:cs="Times New Roman" w:eastAsia="Times New Roman" w:hAnsi="Times New Roman"/>
          <w:sz w:val="20"/>
          <w:szCs w:val="20"/>
          <w:color w:val="050505"/>
        </w:rPr>
        <w:t>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4"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If we license products or new technologies or acquire businesses, we may not be able to realize the benefit of such transactions if we are unable to successfully integrate them with our existing operations and company culture. For instance, our agreements with Cellectis, Servier, Roche (formerly, Notch), Antion, and Foresight Diagnostics require significant research and development that may not result in the development and commercialization of product candidates. We cannot be certain that, following a strategic transaction or license, we will achieve the results, revenue or specific net income that justifies such transaction.</w:t>
      </w:r>
    </w:p>
    <w:p>
      <w:pPr>
        <w:spacing w:after="0" w:line="199"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Increased interest among investors and large pharmaceutical companies in in vivo cell-engineering technologies may adversely affect our ability to raise capital or secure development partnerships.</w:t>
      </w:r>
    </w:p>
    <w:p>
      <w:pPr>
        <w:spacing w:after="0" w:line="57" w:lineRule="exact"/>
        <w:rPr>
          <w:sz w:val="20"/>
          <w:szCs w:val="20"/>
          <w:color w:val="auto"/>
        </w:rPr>
      </w:pPr>
    </w:p>
    <w:p>
      <w:pPr>
        <w:ind w:right="200" w:firstLine="720"/>
        <w:spacing w:after="0" w:line="260" w:lineRule="auto"/>
        <w:rPr>
          <w:sz w:val="20"/>
          <w:szCs w:val="20"/>
          <w:color w:val="auto"/>
        </w:rPr>
      </w:pPr>
      <w:r>
        <w:rPr>
          <w:rFonts w:ascii="Times New Roman" w:cs="Times New Roman" w:eastAsia="Times New Roman" w:hAnsi="Times New Roman"/>
          <w:sz w:val="20"/>
          <w:szCs w:val="20"/>
          <w:color w:val="050505"/>
        </w:rPr>
        <w:t>There has been a recent focus by investors and potential strategic-partners within the cell-therapy industry on in vivo cell-engineering and gene-delivery approaches. Over the past several quarters, multiple large pharmaceutical companies have announced transactions to acquire or partner with developers of in vivo CAR T and in vivo gene-editing platforms, in some cases involving substantial upfront payments or total deal values.</w:t>
      </w:r>
    </w:p>
    <w:p>
      <w:pPr>
        <w:spacing w:after="0" w:line="83"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050505"/>
        </w:rPr>
        <w:t>If the investment community or potential strategic collaborators increasingly allocate resources toward in vivo platforms, we may face greater challenges in raising additional capital on acceptable terms or in securing development, co-commercialization, or licensing agreements. Reduced investor enthusiasm for allogeneic cell therapy technologies could limit our access to equity or debt financing, increase our cost of capital, or lead potential partners to prioritize collaborations with companies pursuing in vivo modalities.</w:t>
      </w:r>
    </w:p>
    <w:p>
      <w:pPr>
        <w:spacing w:after="0" w:line="84" w:lineRule="exact"/>
        <w:rPr>
          <w:sz w:val="20"/>
          <w:szCs w:val="20"/>
          <w:color w:val="auto"/>
        </w:rPr>
      </w:pPr>
    </w:p>
    <w:p>
      <w:pPr>
        <w:ind w:right="300" w:firstLine="720"/>
        <w:spacing w:after="0" w:line="281" w:lineRule="auto"/>
        <w:rPr>
          <w:sz w:val="20"/>
          <w:szCs w:val="20"/>
          <w:color w:val="auto"/>
        </w:rPr>
      </w:pPr>
      <w:r>
        <w:rPr>
          <w:rFonts w:ascii="Times New Roman" w:cs="Times New Roman" w:eastAsia="Times New Roman" w:hAnsi="Times New Roman"/>
          <w:sz w:val="20"/>
          <w:szCs w:val="20"/>
          <w:color w:val="050505"/>
        </w:rPr>
        <w:t>Any of these events could impair our ability to advance our product candidates, expand our pipeline, or achieve our long-term strategic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We may not realize the benefits of acquired assets or other strategic transactions.</w:t>
      </w:r>
    </w:p>
    <w:p>
      <w:pPr>
        <w:spacing w:after="0" w:line="139"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050505"/>
        </w:rPr>
        <w:t>We actively evaluate various strategic transactions on an ongoing basis. We may acquire other businesses, products or technologies as well as pursue joint ventures or investments in complementary businesses. The success of our strategic transactions, including our acquisition of CAR T cell assets from Pfizer, licenses with Cellectis, Servier, Roche (formerly, Notch), Antion, our strategic collaboration with Foresight Diagnostics, and our joint venture with HBP and any future strategic transactions depends on the risks and uncertainties involved including:</w:t>
      </w:r>
    </w:p>
    <w:p>
      <w:pPr>
        <w:spacing w:after="0" w:line="84" w:lineRule="exact"/>
        <w:rPr>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technical difficulties associated with advancing partnered programs;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unanticipated liabilities related to acquired companies or joint ventures;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difficulties integrating acquired personnel, technologies and operations into our existing business;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retention of key employees;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managerial challenges associated with the oversight of partnered programs;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disagreements regarding each party’s contractual rights and obligations under our partnership agreements;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costs and uncertainties related to managing disputes with any strategic partners;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increases in our expenses and reductions in our cash available for operations and other uses;</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inability of our strategic partners to access suitable capital;</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disruption in or termination of our relationships with collaborators or suppliers as a result of such a transaction; and</w:t>
      </w:r>
    </w:p>
    <w:p>
      <w:pPr>
        <w:spacing w:after="0" w:line="13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possible write-offs or impairment charges relating to acquired businesses or joint ventures.</w:t>
      </w:r>
    </w:p>
    <w:p>
      <w:pPr>
        <w:spacing w:after="0" w:line="130" w:lineRule="exact"/>
        <w:rPr>
          <w:sz w:val="20"/>
          <w:szCs w:val="20"/>
          <w:color w:val="auto"/>
        </w:rPr>
      </w:pPr>
    </w:p>
    <w:p>
      <w:pPr>
        <w:ind w:right="300" w:firstLine="720"/>
        <w:spacing w:after="0" w:line="281" w:lineRule="auto"/>
        <w:rPr>
          <w:sz w:val="20"/>
          <w:szCs w:val="20"/>
          <w:color w:val="auto"/>
        </w:rPr>
      </w:pPr>
      <w:r>
        <w:rPr>
          <w:rFonts w:ascii="Times New Roman" w:cs="Times New Roman" w:eastAsia="Times New Roman" w:hAnsi="Times New Roman"/>
          <w:sz w:val="20"/>
          <w:szCs w:val="20"/>
          <w:color w:val="050505"/>
        </w:rPr>
        <w:t>If any of these risks or uncertainties occur, we may not realize the anticipated benefit of any acquisition or strategic transaction.</w:t>
      </w:r>
    </w:p>
    <w:p>
      <w:pPr>
        <w:spacing w:after="0" w:line="61" w:lineRule="exact"/>
        <w:rPr>
          <w:sz w:val="20"/>
          <w:szCs w:val="20"/>
          <w:color w:val="auto"/>
        </w:rPr>
      </w:pPr>
    </w:p>
    <w:p>
      <w:pPr>
        <w:ind w:right="80" w:firstLine="720"/>
        <w:spacing w:after="0" w:line="275" w:lineRule="auto"/>
        <w:rPr>
          <w:sz w:val="20"/>
          <w:szCs w:val="20"/>
          <w:color w:val="auto"/>
        </w:rPr>
      </w:pPr>
      <w:r>
        <w:rPr>
          <w:rFonts w:ascii="Times New Roman" w:cs="Times New Roman" w:eastAsia="Times New Roman" w:hAnsi="Times New Roman"/>
          <w:sz w:val="19"/>
          <w:szCs w:val="19"/>
          <w:color w:val="050505"/>
        </w:rPr>
        <w:t>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For instance, our joint venture with HBP has faced challenges relating to the regulatory and competitive environment in China for allogeneic CAR T products, as well as challenges within the capital markets for financing allogeneic CAR T development. Our joint</w:t>
      </w:r>
    </w:p>
    <w:p>
      <w:pPr>
        <w:sectPr>
          <w:pgSz w:w="12240" w:h="15840" w:orient="portrait"/>
          <w:cols w:equalWidth="0" w:num="1">
            <w:col w:w="10240"/>
          </w:cols>
          <w:pgMar w:left="1000" w:top="793" w:right="10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56</w:t>
      </w:r>
    </w:p>
    <w:p>
      <w:pPr>
        <w:sectPr>
          <w:pgSz w:w="12240" w:h="15840" w:orient="portrait"/>
          <w:cols w:equalWidth="0" w:num="1">
            <w:col w:w="10240"/>
          </w:cols>
          <w:pgMar w:left="1000" w:top="793" w:right="1000" w:bottom="0" w:gutter="0" w:footer="0" w:header="0"/>
          <w:type w:val="continuous"/>
        </w:sectPr>
      </w:pPr>
    </w:p>
    <w:bookmarkStart w:id="60" w:name="page61"/>
    <w:bookmarkEnd w:id="60"/>
    <w:p>
      <w:pPr>
        <w:ind w:right="20"/>
        <w:spacing w:after="0" w:line="256" w:lineRule="auto"/>
        <w:rPr>
          <w:sz w:val="20"/>
          <w:szCs w:val="20"/>
          <w:color w:val="auto"/>
        </w:rPr>
      </w:pPr>
      <w:r>
        <w:rPr>
          <w:rFonts w:ascii="Times New Roman" w:cs="Times New Roman" w:eastAsia="Times New Roman" w:hAnsi="Times New Roman"/>
          <w:sz w:val="20"/>
          <w:szCs w:val="20"/>
          <w:color w:val="050505"/>
        </w:rPr>
        <w:t>venture may face manufacturing difficulties, such as from changes in raw materials or processes due to local regulations, or delivering our licensed product candidates in China, Taiwan, South Korea or Singapore, which could prevent any development or commercialization of our licensed product candidates in the region. The joint venture will also require significant operational and financial support in the future by us or third parties, and any future financing of the joint venture would increase our expenses or dilute our ownership in the joint venture. We may also face unknown liabilities due to supporting our joint venture, such as due to any misuse of materials supplied to our joint venture.</w:t>
      </w:r>
    </w:p>
    <w:p>
      <w:pPr>
        <w:spacing w:after="0" w:line="88"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050505"/>
        </w:rPr>
        <w:t>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8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050505"/>
        </w:rPr>
        <w:t>If our security measures, or those of our CROs, CDMOs, collaborators, contractors, consultants or other third parties with whom we work, are or were compromised or the security, confidentiality, integrity or availability of our information technology, software, services, networks, communications or data is compromised, limited or fails, we could experience material adverse consequences, including but not limited to regulatory investigations or actions; litigation; fines and penalties; disruptions of our business operations; reputational harm; and loss of revenue or profits.</w:t>
      </w:r>
    </w:p>
    <w:p>
      <w:pPr>
        <w:spacing w:after="0" w:line="8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In the ordinary course of our business, we and the third parties with whom we work collect, process, receive, store, use, generate, transfer, disclose, make accessible, protect, secure, dispose of, transmit, and share (collectively, process) proprietary, confidential and sensitive information, including personal data (including health information), intellectual property, trade secrets, information we collect about patients in connection with clinical trials, and proprietary business information owned or controlled by ourselves or other parties (collectively, sensitive information).</w:t>
      </w:r>
    </w:p>
    <w:p>
      <w:pPr>
        <w:spacing w:after="0" w:line="8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are increasing in their frequency, sophistication and intensity, and have become increasingly difficult to detect. These threats come from a variety of sources, including traditional computer “hackers,” “hacktivists,” organized criminal threat actors,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and distribute our product candidates.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adware, ransomware attacks, supply-chain attacks, personnel misconduct or error, attacks enhanced or facilitated by AI, and other similar threats. Our information technology systems and data, and those of the third parties with whom we work, may also be subject to failure or disruption from software bugs, server malfunction, software or hardware failures, loss of data or other information technology assets, telecommunications failures, natural disasters such as earthquakes, fires, and floods, and other similar issues.</w:t>
      </w:r>
    </w:p>
    <w:p>
      <w:pPr>
        <w:spacing w:after="0" w:line="93" w:lineRule="exact"/>
        <w:rPr>
          <w:sz w:val="20"/>
          <w:szCs w:val="20"/>
          <w:color w:val="auto"/>
        </w:rPr>
      </w:pPr>
    </w:p>
    <w:p>
      <w:pPr>
        <w:ind w:right="60" w:firstLine="720"/>
        <w:spacing w:after="0" w:line="267" w:lineRule="auto"/>
        <w:rPr>
          <w:sz w:val="20"/>
          <w:szCs w:val="20"/>
          <w:color w:val="auto"/>
        </w:rPr>
      </w:pPr>
      <w:r>
        <w:rPr>
          <w:rFonts w:ascii="Times New Roman" w:cs="Times New Roman" w:eastAsia="Times New Roman" w:hAnsi="Times New Roman"/>
          <w:sz w:val="19"/>
          <w:szCs w:val="19"/>
          <w:color w:val="050505"/>
        </w:rPr>
        <w:t>In particular, severe ransomware attacks are becoming increasingly prevalent and severe and can lead to significant interruptions, delays, or outages in our operations, disruptions to our clinical trials, loss of data (including data related to clinical trials), significant expense to restore data or systems, reputational loss and the diversion of funds. Extortion payments may alleviate the negative impact of a ransomware attack, but we may be unwilling or unable to make such payments due to, for example, applicable laws or regulations prohibiting such payments. In addition, our reliance on third parties could introduce new cybersecurity risks and vulnerabilities, including supply-chain attacks, and other threats to our business operations. Such supply chain attacks have increased in frequency and severity, and we cannot guarantee that third parties’ infrastructure in our supply chain have not been compromised or that they do not contain exploitable defects or bugs that could result in a breach to our information technology systems or those of the third parties with whom we work.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0"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19"/>
          <w:szCs w:val="19"/>
          <w:color w:val="050505"/>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57</w:t>
      </w:r>
    </w:p>
    <w:p>
      <w:pPr>
        <w:sectPr>
          <w:pgSz w:w="12240" w:h="15840" w:orient="portrait"/>
          <w:cols w:equalWidth="0" w:num="1">
            <w:col w:w="10240"/>
          </w:cols>
          <w:pgMar w:left="1000" w:top="793" w:right="1000" w:bottom="0" w:gutter="0" w:footer="0" w:header="0"/>
          <w:type w:val="continuous"/>
        </w:sectPr>
      </w:pPr>
    </w:p>
    <w:bookmarkStart w:id="61" w:name="page62"/>
    <w:bookmarkEnd w:id="61"/>
    <w:p>
      <w:pPr>
        <w:ind w:right="100"/>
        <w:spacing w:after="0" w:line="281" w:lineRule="auto"/>
        <w:rPr>
          <w:sz w:val="20"/>
          <w:szCs w:val="20"/>
          <w:color w:val="auto"/>
        </w:rPr>
      </w:pPr>
      <w:r>
        <w:rPr>
          <w:rFonts w:ascii="Times New Roman" w:cs="Times New Roman" w:eastAsia="Times New Roman" w:hAnsi="Times New Roman"/>
          <w:sz w:val="20"/>
          <w:szCs w:val="20"/>
          <w:color w:val="050505"/>
        </w:rPr>
        <w:t>compromise of our networks or systems to gain access to the networks or systems of third parties with whom we work, such as through phishing or supply chain attacks.</w:t>
      </w:r>
    </w:p>
    <w:p>
      <w:pPr>
        <w:spacing w:after="0" w:line="61"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050505"/>
        </w:rPr>
        <w:t>We work with certain third parties, such as CROs and CDMOs, to operate critical business systems and process our proprietary, confidential and sensitive information. We also share or receive sensitive information with our CROs, CDMOs, or other third parties. Our ability to monitor these third parties’ information security practices is limited, and these third parties may not have adequate information security measures in place. If the third parties with whom we work experience a security incident or other interruption, or are perceived to have experienced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spacing w:after="0" w:line="93" w:lineRule="exact"/>
        <w:rPr>
          <w:sz w:val="20"/>
          <w:szCs w:val="20"/>
          <w:color w:val="auto"/>
        </w:rPr>
      </w:pPr>
    </w:p>
    <w:p>
      <w:pPr>
        <w:ind w:right="640" w:firstLine="720"/>
        <w:spacing w:after="0" w:line="281" w:lineRule="auto"/>
        <w:rPr>
          <w:sz w:val="20"/>
          <w:szCs w:val="20"/>
          <w:color w:val="auto"/>
        </w:rPr>
      </w:pPr>
      <w:r>
        <w:rPr>
          <w:rFonts w:ascii="Times New Roman" w:cs="Times New Roman" w:eastAsia="Times New Roman" w:hAnsi="Times New Roman"/>
          <w:sz w:val="20"/>
          <w:szCs w:val="20"/>
          <w:color w:val="050505"/>
        </w:rPr>
        <w:t>Although we have implemented security measures designed to protect against, mitigate, and remediate security incidents, there can be no assurance that these measures will be effective.</w:t>
      </w:r>
    </w:p>
    <w:p>
      <w:pPr>
        <w:spacing w:after="0" w:line="61"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 our information technology systems, including on a timely basis, because such threats and techniques change frequently, are often sophisticated in nature, and may not be detected until after a security incident has occurred. Unremediated high risk or critical vulnerabilities pose material risks to our business that may be exploited and could result in a security incident. Further, we have experienced and may in the future experience delays in developing and deploying remedial measures designed to address any such identified vulnerabilities. Vulnerabilities could be exploited and result in a security incident. We also face heightened physical and information technology risks due to our sharing office space with other tenants at certain of our sites. Any failure to prevent or mitigate security incidents or improper access to, use of, or disclosure of our clinical data or patients’ personal data could result in significant liability under state, federal, and international law and may cause a material adverse impact to our reputation, affect our ability to conduct our clinical trials and potentially disrupt our business. In addition, as many of our employees work from home at least part of the time and utilize network connections, computers and devices outside our premises, including while at home, in transit, and in public locations, this poses increased risks to our information technology systems and data.</w:t>
      </w:r>
    </w:p>
    <w:p>
      <w:pPr>
        <w:spacing w:after="0" w:line="9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Certain of the previously identified or similar threats have in the past, and any of the identified or similar threats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In addition, from time to time, our vendors inform us of security incidents. For example, in November 2024, one of our vendors notified us that they had detected suspicious activity on their network that compromised several email accounts the vendor used to communicate with us. We took appropriate remedial measures, and based on our investigation, we concluded that the incident did not result in a compromise our systems. To date, we have not determined that such incidents as reported to us were material. However, we may not have all information related to such incidents and future incidents could have an adverse impact on our business. A security incident or other interruption could disrupt our ability (and that of third parties with whom we work) to manufacture or deliver our product candidates.</w:t>
      </w:r>
    </w:p>
    <w:p>
      <w:pPr>
        <w:spacing w:after="0" w:line="91"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We may expend significant resources (including financial), or modify our business activities and operations, including our clinical trial activities, in an effort to protect against security incidents or to detect, investigate, mitigate, contain and remediate a security incident. Certain data privacy and security obligations may require us to implement and maintain specific security measures or use industry-standard or reasonable security measures to protect our information technology systems and sensitive information.</w:t>
      </w:r>
    </w:p>
    <w:p>
      <w:pPr>
        <w:spacing w:after="0" w:line="84"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Applicable data protection laws, privacy policies, data privacy and security obligations and public company disclosure obligations may require us, or we may voluntarily choose, to notify relevant stakeholders, including affected individuals, regulators and investors, of certain security incidents, or to implement other requirements, such as providing credit monitoring and identity theft protection services. Such disclosures and compliance with such requirements are costly, and the disclosures or the failure to comply with such applicable requirements could lead to adverse consequences. A security incident, whether perceived or actual, experienced by us or a third party with whom we work, may cause us to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and mass arbitration; indemnification obligations; negative publicity; reputational harm; monetary fund diversions; diversion of management attention; interruptions in our operations (including availability of data); financial loss; and other similar harms.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58</w:t>
      </w:r>
    </w:p>
    <w:p>
      <w:pPr>
        <w:sectPr>
          <w:pgSz w:w="12240" w:h="15840" w:orient="portrait"/>
          <w:cols w:equalWidth="0" w:num="1">
            <w:col w:w="10240"/>
          </w:cols>
          <w:pgMar w:left="1000" w:top="793" w:right="1000" w:bottom="0" w:gutter="0" w:footer="0" w:header="0"/>
          <w:type w:val="continuous"/>
        </w:sectPr>
      </w:pPr>
    </w:p>
    <w:bookmarkStart w:id="62" w:name="page63"/>
    <w:bookmarkEnd w:id="62"/>
    <w:p>
      <w:pPr>
        <w:ind w:right="140"/>
        <w:spacing w:after="0" w:line="266" w:lineRule="auto"/>
        <w:rPr>
          <w:sz w:val="20"/>
          <w:szCs w:val="20"/>
          <w:color w:val="auto"/>
        </w:rPr>
      </w:pPr>
      <w:r>
        <w:rPr>
          <w:rFonts w:ascii="Times New Roman" w:cs="Times New Roman" w:eastAsia="Times New Roman" w:hAnsi="Times New Roman"/>
          <w:sz w:val="20"/>
          <w:szCs w:val="20"/>
          <w:color w:val="050505"/>
        </w:rPr>
        <w:t>experiencing a material cybersecurity incident and any mandatory disclosures could lead to negative publicity, loss of investor or partner confidence in the effectiveness of our cybersecurity measures, diversion of management’s attention, governmental investigations, lawsuits, and the expenditure of significant capital and other resources.</w:t>
      </w:r>
    </w:p>
    <w:p>
      <w:pPr>
        <w:spacing w:after="0" w:line="75"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050505"/>
        </w:rPr>
        <w:t>Our contracts may not contain limitations of liability, and even where they do, there can be no assurance that the limitations of liability in our contracts are sufficient to protect us from liabilities, damages, or claims related to our data privacy and security obligations.</w:t>
      </w:r>
    </w:p>
    <w:p>
      <w:pPr>
        <w:spacing w:after="0" w:line="75"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20"/>
          <w:szCs w:val="20"/>
          <w:color w:val="050505"/>
        </w:rPr>
        <w:t>We cannot be sure that our insurance coverage will be adequate or sufficient to protect us from or adequately mitigate liabilities arising out of our privacy and security practices, or that such coverage will continue to be available on commercially reasonable terms or at all, or that such coverage will pay future claims.</w:t>
      </w:r>
    </w:p>
    <w:p>
      <w:pPr>
        <w:spacing w:after="0" w:line="75"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the use of generative artificial intelligence technologies by our employees, personnel, or vendors.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Disruptions to the operations of the FDA, the SEC and other government agencies, including comparable foreign regulatory authorities, resulting from funding shortages, policy initiatives, staffing reductions or related uncertainty, could impair their ability to perform regulatory functions and negatively impact our business.</w:t>
      </w:r>
    </w:p>
    <w:p>
      <w:pPr>
        <w:spacing w:after="0" w:line="76"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The ability of the FDA or other comparable foreign regulatory authorities to review and approve new products or take action with respect to other regulatory matters can be affected by a variety of factors, including government budget and funding levels, the ability to hire and retain key personnel and accept payment of user fees, the availability of personnel and other resources, statutory, regulatory and policy changes that may otherwise affect the FDA’s or comparable foreign regulatory authorities’ ability to perform routine functions, and business disruptions, such as those caused by the COVID-19 pandemic. Average review times at the agency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3"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050505"/>
        </w:rPr>
        <w:t>Disruptions at the FDA and other agencies or other comparable foreign regulatory authorities, including substantial leadership departures, personnel cuts, and policy changes, may also slow the time necessary for new drugs to be reviewed and/ 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including the government shutdown during the fourth quarter of 2025. In addition, there have recently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If a prolonged government shutdown occurs, it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or could impact our ability to access the public markets and obtain necessary capital in order to properly capitalize and continue our operations, or to timely obtain patent protection in the U.S. to protect our technology.</w:t>
      </w:r>
    </w:p>
    <w:p>
      <w:pPr>
        <w:spacing w:after="0" w:line="9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current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spacing w:after="0" w:line="202" w:lineRule="exact"/>
        <w:rPr>
          <w:sz w:val="20"/>
          <w:szCs w:val="20"/>
          <w:color w:val="auto"/>
        </w:rPr>
      </w:pPr>
    </w:p>
    <w:p>
      <w:pPr>
        <w:jc w:val="both"/>
        <w:ind w:right="620"/>
        <w:spacing w:after="0" w:line="316" w:lineRule="auto"/>
        <w:rPr>
          <w:sz w:val="20"/>
          <w:szCs w:val="20"/>
          <w:color w:val="auto"/>
        </w:rPr>
      </w:pPr>
      <w:r>
        <w:rPr>
          <w:rFonts w:ascii="Times New Roman" w:cs="Times New Roman" w:eastAsia="Times New Roman" w:hAnsi="Times New Roman"/>
          <w:sz w:val="19"/>
          <w:szCs w:val="19"/>
          <w:b w:val="1"/>
          <w:bCs w:val="1"/>
          <w:i w:val="1"/>
          <w:iCs w:val="1"/>
          <w:color w:val="050505"/>
        </w:rPr>
        <w:t>Significant political, trade, regulatory developments, and other circumstances beyond our control, including ongoing uncertainty regarding tariffs, could have a material adverse effect on our financial condition or results of operations.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59</w:t>
      </w:r>
    </w:p>
    <w:p>
      <w:pPr>
        <w:sectPr>
          <w:pgSz w:w="12240" w:h="15840" w:orient="portrait"/>
          <w:cols w:equalWidth="0" w:num="1">
            <w:col w:w="10240"/>
          </w:cols>
          <w:pgMar w:left="1000" w:top="793" w:right="1000" w:bottom="0" w:gutter="0" w:footer="0" w:header="0"/>
          <w:type w:val="continuous"/>
        </w:sectPr>
      </w:pPr>
    </w:p>
    <w:bookmarkStart w:id="63" w:name="page64"/>
    <w:bookmarkEnd w:id="63"/>
    <w:p>
      <w:pPr>
        <w:ind w:right="80" w:firstLine="720"/>
        <w:spacing w:after="0" w:line="253" w:lineRule="auto"/>
        <w:rPr>
          <w:sz w:val="20"/>
          <w:szCs w:val="20"/>
          <w:color w:val="auto"/>
        </w:rPr>
      </w:pPr>
      <w:r>
        <w:rPr>
          <w:rFonts w:ascii="Times New Roman" w:cs="Times New Roman" w:eastAsia="Times New Roman" w:hAnsi="Times New Roman"/>
          <w:sz w:val="20"/>
          <w:szCs w:val="20"/>
          <w:color w:val="050505"/>
        </w:rPr>
        <w:t>Significant political, trade, or regulatory developments in the jurisdictions in which we develop our product candidates, such as those stemming from U.S. federal policy shifts, are difficult to predict and may have a material adverse effect on us. Policy shifts that affect the geopolitical landscape could give rise to circumstances outside our control that could have negative impacts on our business operations. The U.S. government has announced substantial new tariffs and indicated an intention to continue developing new trade policies, including with respect to the pharmaceutical industry. In response, certain foreign governments announced or implemented retaliatory tariffs and other protectionist measures. Since then, the U.S. government has announced various trade deals and ongoing negotiations with other countries/regions. As relevant policies are rapidly evolving, it may be difficult to evaluate their potential future impacts. These developments have created a dynamic and unpredictable trade landscape, which may adversely impact our business, results of operations, financial condition and prospects. In addition,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91"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We operate in a global economy, which includes utilizing third-party suppliers in several countries outside the United States. Although we currently have no near-term needs for raw materials, we have historically relied upon, and may in the future rely upon, third-party contractors to manufacture cGMP raw materials that are used for the manufacturing of our product candidates. Current or future tariffs may result in increased research and development expenses, including with respect to increased costs associated with raw materials, laboratory equipment and research materials and components.</w:t>
      </w:r>
    </w:p>
    <w:p>
      <w:pPr>
        <w:spacing w:after="0" w:line="19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b w:val="1"/>
          <w:bCs w:val="1"/>
          <w:i w:val="1"/>
          <w:iCs w:val="1"/>
          <w:color w:val="050505"/>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spacing w:after="0" w:line="81"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price reporting, false claims and provider transparency. If our operations are found to be in violation of any of these laws that apply to us, we may be subject to significant civil, criminal and administrative penalties.</w:t>
      </w:r>
    </w:p>
    <w:p>
      <w:pPr>
        <w:spacing w:after="0" w:line="20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050505"/>
        </w:rPr>
        <w:t>We and the third parties with whom we work are subject to stringent and evolving U.S. and foreign laws, regulations, rules, and industry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spacing w:after="0" w:line="8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In the ordinary course of business, we process sensitive information. Accordingly, we are, and may in the future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spacing w:after="0" w:line="84"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spacing w:after="0" w:line="96"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19"/>
          <w:szCs w:val="19"/>
          <w:color w:val="050505"/>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60</w:t>
      </w:r>
    </w:p>
    <w:p>
      <w:pPr>
        <w:sectPr>
          <w:pgSz w:w="12240" w:h="15840" w:orient="portrait"/>
          <w:cols w:equalWidth="0" w:num="1">
            <w:col w:w="10240"/>
          </w:cols>
          <w:pgMar w:left="1000" w:top="793" w:right="1000" w:bottom="0" w:gutter="0" w:footer="0" w:header="0"/>
          <w:type w:val="continuous"/>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20"/>
          <w:szCs w:val="20"/>
          <w:color w:val="050505"/>
        </w:rPr>
        <w:t>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Such laws, if they become applicable to us in the future, may significantly impact our business activities, exemplifying the vulnerability of our business to evolving regulatory environment related to personal data and protected health information. Similar laws are being considered in other states, as well as at the federal and local levels, and we expect more states to pass similar laws in the future.</w:t>
      </w:r>
    </w:p>
    <w:p>
      <w:pPr>
        <w:spacing w:after="0" w:line="93"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050505"/>
        </w:rPr>
        <w:t>Outside the United States, an increasing number of laws, regulations and industry standards govern privacy, data protection, information security and cross-border personal data transfers. For example, the European Union’s General Data Protection Regulation (EU GDPR), the United Kingdom’s GDPR (UK GDPR) (collectively, GDPR), and Australia’s Privacy Act, China’s Personal Information Protection Law (PIPL), and Canada’s Personal Information Protection and Electronic Documents Act (PIPEDA) (and various related provincial laws) and Anti-Spam Legislation (CASL) impose strict requirements for processing personal data.</w:t>
      </w:r>
    </w:p>
    <w:p>
      <w:pPr>
        <w:spacing w:after="0" w:line="88"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For example, under the GDPR, companies may face temporary or definitive bans on data processing and other corrective actions; fines of up to €20,000,000 under the EU GDPR / 17.5 million pounds sterling under the UK GDPR, or up to 4% annual total revenue, in each case, whichever is greater; or private litigation related to processing of personal data brought by classes of data subjects or consumer protection organizations authorized at law to represent their interests.</w:t>
      </w:r>
    </w:p>
    <w:p>
      <w:pPr>
        <w:spacing w:after="0" w:line="83"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050505"/>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Some jurisdictions have adopted, and others may in the future adopt,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penalties, and injunctions against processing or transferring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also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10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In addition, privacy advocates and industry groups have proposed, and may in the future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Regulators in the United States are increasingly scrutinizing these statements, and if any of our privacy notices or related materials or statements are found to be deficient, lacking in transparency, deceptive, unfair, misleading, or misrepresentative of our practices, we may be subject to investigation, enforcement actions by regulators</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61</w:t>
      </w:r>
    </w:p>
    <w:p>
      <w:pPr>
        <w:sectPr>
          <w:pgSz w:w="12240" w:h="15840" w:orient="portrait"/>
          <w:cols w:equalWidth="0" w:num="1">
            <w:col w:w="10240"/>
          </w:cols>
          <w:pgMar w:left="1000" w:top="793" w:right="1000" w:bottom="0" w:gutter="0" w:footer="0" w:header="0"/>
          <w:type w:val="continuous"/>
        </w:sectPr>
      </w:pPr>
    </w:p>
    <w:bookmarkStart w:id="65" w:name="page66"/>
    <w:bookmarkEnd w:id="65"/>
    <w:p>
      <w:pPr>
        <w:ind w:right="200"/>
        <w:spacing w:after="0" w:line="258" w:lineRule="auto"/>
        <w:rPr>
          <w:sz w:val="20"/>
          <w:szCs w:val="20"/>
          <w:color w:val="auto"/>
        </w:rPr>
      </w:pPr>
      <w:r>
        <w:rPr>
          <w:rFonts w:ascii="Times New Roman" w:cs="Times New Roman" w:eastAsia="Times New Roman" w:hAnsi="Times New Roman"/>
          <w:sz w:val="20"/>
          <w:szCs w:val="20"/>
          <w:color w:val="050505"/>
        </w:rPr>
        <w:t>or other adverse consequences. Furthermore, our employees and personnel may use generative artificial intelligence (AI) technologies to perform their work, and the disclosure and use of personal data in such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w:t>
      </w:r>
    </w:p>
    <w:p>
      <w:pPr>
        <w:spacing w:after="0" w:line="8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Obligations related to data privacy and security (including individuals’ data privacy expectations) are quickly changing, becoming increasingly stringent,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 parties that process personal data on our behalf.</w:t>
      </w:r>
    </w:p>
    <w:p>
      <w:pPr>
        <w:spacing w:after="0" w:line="8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applicable obligations related to data privacy and security,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 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7"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If product liability lawsuits are brought against us, we may incur substantial liabilities and may be required to limit commercialization of our product candidates.</w:t>
      </w:r>
    </w:p>
    <w:p>
      <w:pPr>
        <w:spacing w:after="0" w:line="57"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13" w:lineRule="exact"/>
        <w:rPr>
          <w:sz w:val="20"/>
          <w:szCs w:val="20"/>
          <w:color w:val="auto"/>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decreased demand for our product candidates;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injury to our reputation;</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withdrawal of clinical trial participants;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initiation of investigations by regulators;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costs to defend the related litigation;</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diversion of management’s time and our resources;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substantial monetary awards to trial participants or patients;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product recalls, withdrawals or labeling, marketing or promotional restrictions;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loss of revenue;</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exhaustion of any available insurance and our capital resources;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inability to commercialize any product candidate; and</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decline in our share price.</w:t>
      </w:r>
    </w:p>
    <w:p>
      <w:pPr>
        <w:sectPr>
          <w:pgSz w:w="12240" w:h="15840" w:orient="portrait"/>
          <w:cols w:equalWidth="0" w:num="1">
            <w:col w:w="10240"/>
          </w:cols>
          <w:pgMar w:left="1000" w:top="793" w:right="1000" w:bottom="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62</w:t>
      </w:r>
    </w:p>
    <w:p>
      <w:pPr>
        <w:sectPr>
          <w:pgSz w:w="12240" w:h="15840" w:orient="portrait"/>
          <w:cols w:equalWidth="0" w:num="1">
            <w:col w:w="10240"/>
          </w:cols>
          <w:pgMar w:left="1000" w:top="793" w:right="1000" w:bottom="0" w:gutter="0" w:footer="0" w:header="0"/>
          <w:type w:val="continuous"/>
        </w:sectPr>
      </w:pPr>
    </w:p>
    <w:bookmarkStart w:id="66" w:name="page67"/>
    <w:bookmarkEnd w:id="66"/>
    <w:p>
      <w:pPr>
        <w:ind w:right="80" w:firstLine="720"/>
        <w:spacing w:after="0" w:line="254" w:lineRule="auto"/>
        <w:rPr>
          <w:sz w:val="20"/>
          <w:szCs w:val="20"/>
          <w:color w:val="auto"/>
        </w:rPr>
      </w:pPr>
      <w:r>
        <w:rPr>
          <w:rFonts w:ascii="Times New Roman" w:cs="Times New Roman" w:eastAsia="Times New Roman" w:hAnsi="Times New Roman"/>
          <w:sz w:val="20"/>
          <w:szCs w:val="20"/>
          <w:color w:val="050505"/>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and expect to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the Development of Our Product Candidates</w:t>
      </w:r>
    </w:p>
    <w:p>
      <w:pPr>
        <w:spacing w:after="0" w:line="248"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Our engineered allogeneic T cell product candidates represent a novel approach to cancer treatment and treatment of autoimmune diseases, which creates significant challenges for us.</w:t>
      </w:r>
    </w:p>
    <w:p>
      <w:pPr>
        <w:spacing w:after="0" w:line="57"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050505"/>
        </w:rPr>
        <w:t>We are developing a pipeline of allogeneic T cell product candidates that are engineered from healthy donor T cells to express CARs and are intended for use in any eligible patient with certain cancers or autoimmune diseases. Advancing these novel product candidates creates significant challenges for us, including:</w:t>
      </w:r>
    </w:p>
    <w:p>
      <w:pPr>
        <w:spacing w:after="0" w:line="111" w:lineRule="exact"/>
        <w:rPr>
          <w:sz w:val="20"/>
          <w:szCs w:val="20"/>
          <w:color w:val="auto"/>
        </w:rPr>
      </w:pPr>
    </w:p>
    <w:p>
      <w:pPr>
        <w:ind w:left="720" w:right="20" w:hanging="370"/>
        <w:spacing w:after="0" w:line="284"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manufacturing our product candidates to our or regulatory specifications and in a timely manner to support our clinical trials, and, if approved, commercialization;</w:t>
      </w:r>
    </w:p>
    <w:p>
      <w:pPr>
        <w:spacing w:after="0" w:line="97" w:lineRule="exact"/>
        <w:rPr>
          <w:rFonts w:ascii="Arial" w:cs="Arial" w:eastAsia="Arial" w:hAnsi="Arial"/>
          <w:sz w:val="24"/>
          <w:szCs w:val="24"/>
          <w:b w:val="1"/>
          <w:bCs w:val="1"/>
          <w:color w:val="050505"/>
        </w:rPr>
      </w:pPr>
    </w:p>
    <w:p>
      <w:pPr>
        <w:ind w:left="720" w:right="720" w:hanging="370"/>
        <w:spacing w:after="0" w:line="284"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sourcing clinical and, if approved, commercial supplies for the raw materials used to manufacture our product candidates;</w:t>
      </w:r>
    </w:p>
    <w:p>
      <w:pPr>
        <w:spacing w:after="0" w:line="97" w:lineRule="exact"/>
        <w:rPr>
          <w:rFonts w:ascii="Arial" w:cs="Arial" w:eastAsia="Arial" w:hAnsi="Arial"/>
          <w:sz w:val="24"/>
          <w:szCs w:val="24"/>
          <w:b w:val="1"/>
          <w:bCs w:val="1"/>
          <w:color w:val="050505"/>
        </w:rPr>
      </w:pPr>
    </w:p>
    <w:p>
      <w:pPr>
        <w:ind w:left="720" w:right="20" w:hanging="370"/>
        <w:spacing w:after="0" w:line="284"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understanding and addressing variability in the quality of a donor’s T cells, which could ultimately affect our ability to produce product in a reliable and consistent manner and treat certain patients;</w:t>
      </w:r>
    </w:p>
    <w:p>
      <w:pPr>
        <w:spacing w:after="0" w:line="97" w:lineRule="exact"/>
        <w:rPr>
          <w:rFonts w:ascii="Arial" w:cs="Arial" w:eastAsia="Arial" w:hAnsi="Arial"/>
          <w:sz w:val="24"/>
          <w:szCs w:val="24"/>
          <w:b w:val="1"/>
          <w:bCs w:val="1"/>
          <w:color w:val="050505"/>
        </w:rPr>
      </w:pPr>
    </w:p>
    <w:p>
      <w:pPr>
        <w:jc w:val="both"/>
        <w:ind w:left="720" w:right="60" w:hanging="370"/>
        <w:spacing w:after="0" w:line="287"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educating medical personnel regarding the potential side effect profile of our product candidates, if approved, such as the potential adverse side effects related to CRS, neurotoxicity, GvHD, IEC-HS, prolonged cytopenia, aplastic anemia and neutropenic sepsis;</w:t>
      </w:r>
    </w:p>
    <w:p>
      <w:pPr>
        <w:spacing w:after="0" w:line="103" w:lineRule="exact"/>
        <w:rPr>
          <w:rFonts w:ascii="Arial" w:cs="Arial" w:eastAsia="Arial" w:hAnsi="Arial"/>
          <w:sz w:val="24"/>
          <w:szCs w:val="24"/>
          <w:b w:val="1"/>
          <w:bCs w:val="1"/>
          <w:color w:val="050505"/>
        </w:rPr>
      </w:pPr>
    </w:p>
    <w:p>
      <w:pPr>
        <w:jc w:val="both"/>
        <w:ind w:left="720" w:right="480" w:hanging="370"/>
        <w:spacing w:after="0" w:line="287"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using medicines to preempt or manage adverse side effects of our product candidates and such medicines may be difficult to source or costly or may not adequately control the side effects and/or may have other safety risks or a detrimental impact on the efficacy of the treatment;</w:t>
      </w:r>
    </w:p>
    <w:p>
      <w:pPr>
        <w:spacing w:after="0" w:line="103" w:lineRule="exact"/>
        <w:rPr>
          <w:rFonts w:ascii="Arial" w:cs="Arial" w:eastAsia="Arial" w:hAnsi="Arial"/>
          <w:sz w:val="24"/>
          <w:szCs w:val="24"/>
          <w:b w:val="1"/>
          <w:bCs w:val="1"/>
          <w:color w:val="050505"/>
        </w:rPr>
      </w:pPr>
    </w:p>
    <w:p>
      <w:pPr>
        <w:jc w:val="both"/>
        <w:ind w:left="720" w:right="320" w:hanging="370"/>
        <w:spacing w:after="0" w:line="311" w:lineRule="auto"/>
        <w:tabs>
          <w:tab w:leader="none" w:pos="720" w:val="left"/>
        </w:tabs>
        <w:numPr>
          <w:ilvl w:val="0"/>
          <w:numId w:val="37"/>
        </w:numPr>
        <w:rPr>
          <w:rFonts w:ascii="Arial" w:cs="Arial" w:eastAsia="Arial" w:hAnsi="Arial"/>
          <w:sz w:val="23"/>
          <w:szCs w:val="23"/>
          <w:b w:val="1"/>
          <w:bCs w:val="1"/>
          <w:color w:val="050505"/>
        </w:rPr>
      </w:pPr>
      <w:r>
        <w:rPr>
          <w:rFonts w:ascii="Times New Roman" w:cs="Times New Roman" w:eastAsia="Times New Roman" w:hAnsi="Times New Roman"/>
          <w:sz w:val="19"/>
          <w:szCs w:val="19"/>
          <w:color w:val="050505"/>
        </w:rPr>
        <w:t>conditioning patients with chemotherapy or other lymphodepletion agents in advance of administering our product candidates, which may be difficult to source, costly or increase the risk of infections and other adverse side effects;</w:t>
      </w:r>
    </w:p>
    <w:p>
      <w:pPr>
        <w:spacing w:after="0" w:line="70" w:lineRule="exact"/>
        <w:rPr>
          <w:rFonts w:ascii="Arial" w:cs="Arial" w:eastAsia="Arial" w:hAnsi="Arial"/>
          <w:sz w:val="23"/>
          <w:szCs w:val="23"/>
          <w:b w:val="1"/>
          <w:bCs w:val="1"/>
          <w:color w:val="050505"/>
        </w:rPr>
      </w:pPr>
    </w:p>
    <w:p>
      <w:pPr>
        <w:ind w:left="720" w:hanging="370"/>
        <w:spacing w:after="0" w:line="284"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obtaining regulatory approval, as the FDA and other comparable foreign regulatory authorities have limited experience with development of allogeneic T cell therapies for cancer or autoimmune diseases; and</w:t>
      </w:r>
    </w:p>
    <w:p>
      <w:pPr>
        <w:spacing w:after="0" w:line="97" w:lineRule="exact"/>
        <w:rPr>
          <w:rFonts w:ascii="Arial" w:cs="Arial" w:eastAsia="Arial" w:hAnsi="Arial"/>
          <w:sz w:val="24"/>
          <w:szCs w:val="24"/>
          <w:b w:val="1"/>
          <w:bCs w:val="1"/>
          <w:color w:val="050505"/>
        </w:rPr>
      </w:pPr>
    </w:p>
    <w:p>
      <w:pPr>
        <w:ind w:left="720" w:right="260" w:hanging="370"/>
        <w:spacing w:after="0" w:line="284" w:lineRule="auto"/>
        <w:tabs>
          <w:tab w:leader="none" w:pos="720" w:val="left"/>
        </w:tabs>
        <w:numPr>
          <w:ilvl w:val="0"/>
          <w:numId w:val="3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establishing sales and marketing capabilities upon obtaining any regulatory approval to gain market acceptance of a novel therapy.</w:t>
      </w:r>
    </w:p>
    <w:p>
      <w:pPr>
        <w:spacing w:after="0" w:line="172"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Gene-editing is a relatively new technology, and if we are unable to use this technology in our intended product candidates, our revenue opportunities will be materially limited.</w:t>
      </w:r>
    </w:p>
    <w:p>
      <w:pPr>
        <w:spacing w:after="0" w:line="5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Cellectis’ TALEN technology, which we use in our oncology programs, and Arbor’s CRISPR technology, which we use in our AID program, both involve relatively new approaches to gene editing, using sequence-specific DNA-cutting enzymes, or nucleases, to perform precise and stable modifications in the DNA of living-cells and organisms, and we have very little experience with Arbor’s CRISPR technology. Cellectis and Arbor have not created nucleases for all gene sequences that we may seek to target, and they may not agree to or have difficulty creating nucleases for other gene sequences that we may seek to target, which could limit the usefulness of this technology. Cellectis and Arbor are our sole sources for this technology, including for certain tools such as nucleases and vectors. If Cellectis or Arbor were to be unwilling or unable, including due to the Factor Litigation (as defined below), to supply these tools, our ability to develop gene-edited product candidates could be materially and adversely impacted, leading to delays in our development programs and potential failure to commercialize certain product candidates.</w:t>
      </w:r>
    </w:p>
    <w:p>
      <w:pPr>
        <w:spacing w:after="0" w:line="96" w:lineRule="exact"/>
        <w:rPr>
          <w:sz w:val="20"/>
          <w:szCs w:val="20"/>
          <w:color w:val="auto"/>
        </w:rPr>
      </w:pPr>
    </w:p>
    <w:p>
      <w:pPr>
        <w:ind w:right="100" w:firstLine="720"/>
        <w:spacing w:after="0" w:line="309" w:lineRule="auto"/>
        <w:rPr>
          <w:sz w:val="20"/>
          <w:szCs w:val="20"/>
          <w:color w:val="auto"/>
        </w:rPr>
      </w:pPr>
      <w:r>
        <w:rPr>
          <w:rFonts w:ascii="Times New Roman" w:cs="Times New Roman" w:eastAsia="Times New Roman" w:hAnsi="Times New Roman"/>
          <w:sz w:val="19"/>
          <w:szCs w:val="19"/>
          <w:color w:val="050505"/>
        </w:rPr>
        <w:t>This technology may also not be shown to be effective in clinical studies that Cellectis, we or other licensees of Cellectis technology or Arbor’s CRISPR technology may conduct, or may be associated with safety issues that may negatively</w:t>
      </w:r>
    </w:p>
    <w:p>
      <w:pPr>
        <w:sectPr>
          <w:pgSz w:w="12240" w:h="15840" w:orient="portrait"/>
          <w:cols w:equalWidth="0" w:num="1">
            <w:col w:w="10220"/>
          </w:cols>
          <w:pgMar w:left="1000" w:top="793" w:right="1020"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63</w:t>
      </w:r>
    </w:p>
    <w:p>
      <w:pPr>
        <w:sectPr>
          <w:pgSz w:w="12240" w:h="15840" w:orient="portrait"/>
          <w:cols w:equalWidth="0" w:num="1">
            <w:col w:w="10220"/>
          </w:cols>
          <w:pgMar w:left="1000" w:top="793" w:right="1020" w:bottom="0" w:gutter="0" w:footer="0" w:header="0"/>
          <w:type w:val="continuous"/>
        </w:sectPr>
      </w:pPr>
    </w:p>
    <w:bookmarkStart w:id="67" w:name="page68"/>
    <w:bookmarkEnd w:id="67"/>
    <w:p>
      <w:pPr>
        <w:ind w:right="80"/>
        <w:spacing w:after="0" w:line="272" w:lineRule="auto"/>
        <w:rPr>
          <w:sz w:val="20"/>
          <w:szCs w:val="20"/>
          <w:color w:val="auto"/>
        </w:rPr>
      </w:pPr>
      <w:r>
        <w:rPr>
          <w:rFonts w:ascii="Times New Roman" w:cs="Times New Roman" w:eastAsia="Times New Roman" w:hAnsi="Times New Roman"/>
          <w:sz w:val="19"/>
          <w:szCs w:val="19"/>
          <w:color w:val="050505"/>
        </w:rPr>
        <w:t>affect our development programs. For instance, gene-editing may create unintended changes to the DNA such as a non-target site gene-editing, a large deletion, or a DNA translocation, any of which could lead to oncogenesis. In our ALPHA2 trial, we observed a chromosomal abnormality, and the FDA placed our clinical trials on hold following this observation. While our investigation concluded that gene editing was not responsible for the chromosomal abnormality and the hold was resolved, we may discover future abnormalities caused by gene editing or other factors that would impact our development plans. The gene editing of our product candidates may also not be successful in limiting the risk of GvHD or premature rejection by the patient.</w:t>
      </w:r>
    </w:p>
    <w:p>
      <w:pPr>
        <w:spacing w:after="0" w:line="74"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050505"/>
        </w:rPr>
        <w:t>In addition, the gene-editing industry is rapidly developing, and our competitors may introduce new technologies that render our technology obsolete or less attractive. New technology could emerge at any point in the development cycle of our product candidates. As competitors use or develop new technologies, any failures of such technology could adversely impact our program. We also may be placed at a competitive disadvantage, and competitive pressures or the Factor Litigation may force us to implement new technologies at a substantial cost, and which would delay our development programs. In addition,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If we are unable to maintain technological advancements consistent with industry standards, our operations and financial condition may be adversely affected. For additional details on the Factor Litigation, see “Risk Factors – Third-party claims of intellectual property infringement may prevent or delay our product discovery and development efforts and our ability to commercialize our product candidates.”</w:t>
      </w:r>
    </w:p>
    <w:p>
      <w:pPr>
        <w:spacing w:after="0" w:line="202"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There is uncertainty regarding whether the use of FC without ALLO-647 will achieve sufficient lymphodepletion to support the efficacy of our allogeneic CAR T product candidate in the ALPHA3 trial.</w:t>
      </w:r>
    </w:p>
    <w:p>
      <w:pPr>
        <w:spacing w:after="0" w:line="5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Our ALPHA3 clinical trial is now proceeding exclusively with a lymphodepletion regimen consisting of fludarabine and cyclophosphamide (FC) without ALLO-647, and there is uncertainty regarding whether FC alone will achieve sufficient lymphodepletion to support the efficacy of our allogeneic CAR T therapy, cema-cel. Previously, the FCA regimen (fludarabine, cyclophosphamide, and ALLO-647) was anticipated to enhance CAR T cell expansion and persistence by reducing host immune system suppression; however, the FCA arm was terminated following a Grade 5 SAE. Although initial MRD conversion data from the FC arm suggests CAR T cell expansion and persistence, this preliminary data is limited, and derived from a small patient cohort. Therefore, there remains a risk that the FC lymphodepletion regimen alone may not sufficiently suppress the patient’s immune system to allow adequate expansion, persistence, and efficacy of the CAR T cells, potentially resulting in suboptimal clinical outcomes. If the FC regimen proves inadequate, we may be required to amend the study design to enhance lymphodepletion or otherwise modify the treatment regimen, which could significantly delay the completion of the trial. Such delays could materially impact our clinical trial success, regulatory approval prospects, and overall business and financial performance.</w:t>
      </w:r>
    </w:p>
    <w:p>
      <w:pPr>
        <w:spacing w:after="0" w:line="202"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are heavily reliant on our partners, Cellectis and Servier, for access to TALEN gene editing technology for the manufacturing and development of our oncology product candidates.</w:t>
      </w:r>
    </w:p>
    <w:p>
      <w:pPr>
        <w:spacing w:after="0" w:line="57"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A critical aspect to manufacturing allogeneic CAR T cell product candidates involves gene editing the healthy donor T cells in an effort to avoid GvHD and to limit the patient’s immune system from attacking the allogeneic T cells. GvHD results when allogeneic T cells start recognizing the patient’s normal tissue as foreign. For our oncology product candidates, we use Cellectis’ TALEN gene-editing technology to inactivate the gene coding for TCRα, a key component of the natural antigen receptor of T cells, to cause the engineered T cells to be incapable of recognizing foreign antigens. Accordingly, when injected into a patient, the intent is for the engineered T cell not to recognize the patient’s tissue as foreign and thus avoid attacking the patient’s tissue. In addition, we use TALEN gene editing in our oncology product candidates to inactivate the CD52 gene in donor T cells, which codes for the target of an anti-CD52 monoclonal antibody.</w:t>
      </w:r>
    </w:p>
    <w:p>
      <w:pPr>
        <w:spacing w:after="0" w:line="9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We rely on an agreement with Cellectis for exclusive rights to use TALEN technology for 15 select cancer targets, including BCMA, FLT3, CD70, DLL3, Claudin 18.2 and other targets included in our pipeline. We also rely on Cellectis, through our agreement with Servier, for exclusive rights to cema-cel. Any other gene-editing technology used to research and develop product candidates directed at targets not covered by our existing agreements with Cellectis and Servier will require significant investment and time for advancement. In addition, the Cellectis gene-editing technology may fail to produce viable product candidates. Moreover, both Servier and Cellectis may terminate our respective agreements in the event of a material breach of the agreements, or upon certain insolvency events. Cellectis previously challenged and may in the future challenge certain performance by Servier and/or Allogene, and any failure by the parties to resolve such matters may have an adverse impact on us. For example, there was an arbitration between Cellectis and Servier under which Cellectis sought to terminate the Cellectis-Servier Agreement, which would have automatically terminated our sublicense from Servier. Although the outcome of this arbitration was favorable as it relates to cema-cel, if our license agreement was terminated and we were unable to obtain a new direct license from Cellectis, or we lose access to the Cellectis TALEN technology as a result of the Factor Litigation, we would be required to seek other gene editing technology, obtain a license from Factor or abandon our cema-cel or</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64</w:t>
      </w:r>
    </w:p>
    <w:p>
      <w:pPr>
        <w:sectPr>
          <w:pgSz w:w="12240" w:h="15840" w:orient="portrait"/>
          <w:cols w:equalWidth="0" w:num="1">
            <w:col w:w="10240"/>
          </w:cols>
          <w:pgMar w:left="1000" w:top="793" w:right="1000" w:bottom="0" w:gutter="0" w:footer="0" w:header="0"/>
          <w:type w:val="continuous"/>
        </w:sectPr>
      </w:pPr>
    </w:p>
    <w:bookmarkStart w:id="68" w:name="page69"/>
    <w:bookmarkEnd w:id="68"/>
    <w:p>
      <w:pPr>
        <w:ind w:right="20"/>
        <w:spacing w:after="0" w:line="258" w:lineRule="auto"/>
        <w:rPr>
          <w:sz w:val="20"/>
          <w:szCs w:val="20"/>
          <w:color w:val="auto"/>
        </w:rPr>
      </w:pPr>
      <w:r>
        <w:rPr>
          <w:rFonts w:ascii="Times New Roman" w:cs="Times New Roman" w:eastAsia="Times New Roman" w:hAnsi="Times New Roman"/>
          <w:sz w:val="20"/>
          <w:szCs w:val="20"/>
          <w:color w:val="050505"/>
        </w:rPr>
        <w:t>ALLO-316 programs, any one of which could materially impact our business and financial position. Further, alternative gene editing technology may not be available to us on reasonable terms, or at all, and advancing other gene editing technology would require significant resources. For additional details on the Factor Litigation, see “Risk Factors – Third-party claims of intellectual property infringement may prevent or delay our product discovery and development efforts and our ability to commercialize our product candidates.”</w:t>
      </w:r>
    </w:p>
    <w:p>
      <w:pPr>
        <w:spacing w:after="0" w:line="195"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are heavily reliant on our partner, Foresight Diagnostics, for access to their CLARITY™ MRD test for identifying eligible patients for our ALPHA3 trial.</w:t>
      </w:r>
    </w:p>
    <w:p>
      <w:pPr>
        <w:spacing w:after="0" w:line="5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19"/>
          <w:szCs w:val="19"/>
          <w:color w:val="050505"/>
        </w:rPr>
        <w:t>Our ALPHA3 trial design requires the use of Foresight Diagnostics’ investigational CLARITY™ MRD test for patient selection. In addition, MRD status and changes in MRD status, including MRD conversion, may not correlate with clinical outcomes such as event-free survival (EFS), which is the primary endpoint of ALPHA3. As a result, even if MRD conversion or clearance is observed in treated patients, ALPHA3 may not demonstrate a statistically significant improvement in EFS or otherwise meet its primary endpoint. Foresight Diagnostics is a private company founded in 2020. In December 2025, Foresight Diagnostics was acquired by Natera and, although Foresight Diagnostics continues to operate as a standalone subsidiary, the acquisition and related integration activities may create additional risks and uncertainties, including delays or disruptions in assay operations, regulatory activities, and resourcing priorities. Although Foresight Diagnostics has successfully executed its role in our ALPHA3 trial, it has limited resources and limited experience with its MRD assay and in executing clinical trials or supporting a commercial product. In the future, Foresight Diagnostics and/or Natera may not be able to successfully and timely conduct the ALPHA3 MRD tests, obtain regulatory approval of CLARITY or successfully support commercialization of cema-cel, if approved. For example, changes in strategic priorities, staffing, operating processes, quality systems, vendors or information systems as part of integration could adversely affect CLARITY testing capacity, turnaround times, or regulatory submission timelines. If we need to transition to an alternative MRD test in the future, it could result in additional costs, delays, and diversion of resources, any of which would negatively impact our cema-cel development program. Further, we may be unable to identify an alternative approved effective MRD test, which could have a material adverse impact on our business.</w:t>
      </w:r>
    </w:p>
    <w:p>
      <w:pPr>
        <w:spacing w:after="0" w:line="19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Our reliance on specific vendors named in our INDs subject us to risks if these vendors are unable or unwilling to fulfill their obligations or if we need to change vendors, which could delay or prevent the development of our product candidates and commercialization, if approved.</w:t>
      </w:r>
    </w:p>
    <w:p>
      <w:pPr>
        <w:spacing w:after="0" w:line="76"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050505"/>
        </w:rPr>
        <w:t>Our IND applications name specific third-party vendors to supply certain raw materials, components, technology, and services that are essential to manufacturing our product candidates. We do not have the ability to rapidly secure alternative sources for these materials or services. In addition, because these vendors are specified in our INDs, any change to a new vendor would require additional regulatory submissions and approvals, which could significantly delay or complicate our product development efforts. If any of these vendors becomes unable or unwilling to supply the products or services we require on acceptable terms, in sufficient quantities, or in compliance with applicable regulatory requirements, we may experience:</w:t>
      </w:r>
    </w:p>
    <w:p>
      <w:pPr>
        <w:spacing w:after="0" w:line="110" w:lineRule="exact"/>
        <w:rPr>
          <w:sz w:val="20"/>
          <w:szCs w:val="20"/>
          <w:color w:val="auto"/>
        </w:rPr>
      </w:pPr>
    </w:p>
    <w:p>
      <w:pPr>
        <w:ind w:left="720" w:right="540" w:hanging="370"/>
        <w:spacing w:after="0" w:line="284" w:lineRule="auto"/>
        <w:tabs>
          <w:tab w:leader="none" w:pos="720" w:val="left"/>
        </w:tabs>
        <w:numPr>
          <w:ilvl w:val="0"/>
          <w:numId w:val="3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in our preclinical studies or clinical trials due to the need to qualify and obtain regulatory approval for an alternate supplier;</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3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Higher costs associated with the need to qualify and validate a new manufacturing facility and supply chain;</w:t>
      </w:r>
    </w:p>
    <w:p>
      <w:pPr>
        <w:spacing w:after="0" w:line="147" w:lineRule="exact"/>
        <w:rPr>
          <w:rFonts w:ascii="Arial" w:cs="Arial" w:eastAsia="Arial" w:hAnsi="Arial"/>
          <w:sz w:val="24"/>
          <w:szCs w:val="24"/>
          <w:b w:val="1"/>
          <w:bCs w:val="1"/>
          <w:color w:val="050505"/>
        </w:rPr>
      </w:pPr>
    </w:p>
    <w:p>
      <w:pPr>
        <w:ind w:left="720" w:right="160" w:hanging="370"/>
        <w:spacing w:after="0" w:line="287" w:lineRule="auto"/>
        <w:tabs>
          <w:tab w:leader="none" w:pos="720" w:val="left"/>
        </w:tabs>
        <w:numPr>
          <w:ilvl w:val="0"/>
          <w:numId w:val="3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Difficulty ensuring quality and compliance with cGMP or other regulatory standards at a new vendor site, potentially leading to regulatory enforcement actions against us or significant delays in regulatory approvals or commercialization; and</w:t>
      </w:r>
    </w:p>
    <w:p>
      <w:pPr>
        <w:spacing w:after="0" w:line="103" w:lineRule="exact"/>
        <w:rPr>
          <w:rFonts w:ascii="Arial" w:cs="Arial" w:eastAsia="Arial" w:hAnsi="Arial"/>
          <w:sz w:val="24"/>
          <w:szCs w:val="24"/>
          <w:b w:val="1"/>
          <w:bCs w:val="1"/>
          <w:color w:val="050505"/>
        </w:rPr>
      </w:pPr>
    </w:p>
    <w:p>
      <w:pPr>
        <w:ind w:left="720" w:right="420" w:hanging="370"/>
        <w:spacing w:after="0" w:line="284" w:lineRule="auto"/>
        <w:tabs>
          <w:tab w:leader="none" w:pos="720" w:val="left"/>
        </w:tabs>
        <w:numPr>
          <w:ilvl w:val="0"/>
          <w:numId w:val="3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Disruption to our development timeline and commercialization efforts, which could materially harm our business, financial condition, and operating results.</w:t>
      </w:r>
    </w:p>
    <w:p>
      <w:pPr>
        <w:spacing w:after="0" w:line="6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Moreover, our reliance on these third parties reduces our control over manufacturing and quality assurance processes. Any performance failure or compliance breach by our named vendors—such as failing to meet regulatory standards or encountering financial or operational difficulties—could adversely affect the ongoing development and potential commercialization of our product candidates. If we are forced to seek alternative vendors, we may be required to conduct bridging studies or other additional testing to demonstrate comparability of a product candidate when manufactured by a different supplier. Such a process can be time-consuming, expensive, and could delay or limit our ability to obtain regulatory approval or achieve market acceptance of our product candidates. If any of these events occur, our business, financial condition, and results of operations could be materially harmed.</w:t>
      </w:r>
    </w:p>
    <w:p>
      <w:pPr>
        <w:spacing w:after="0" w:line="20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Our oncology development strategy previously relied on incorporating an anti-CD52 monoclonal antibody as part of the lymphodepletion preconditioning regimen prior to infusing allogeneic CAR T cell product candidates.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65</w:t>
      </w:r>
    </w:p>
    <w:p>
      <w:pPr>
        <w:sectPr>
          <w:pgSz w:w="12240" w:h="15840" w:orient="portrait"/>
          <w:cols w:equalWidth="0" w:num="1">
            <w:col w:w="10240"/>
          </w:cols>
          <w:pgMar w:left="1000" w:top="793" w:right="1000" w:bottom="0" w:gutter="0" w:footer="0" w:header="0"/>
          <w:type w:val="continuous"/>
        </w:sectPr>
      </w:pPr>
    </w:p>
    <w:bookmarkStart w:id="69" w:name="page70"/>
    <w:bookmarkEnd w:id="69"/>
    <w:p>
      <w:pPr>
        <w:ind w:firstLine="720"/>
        <w:spacing w:after="0" w:line="254" w:lineRule="auto"/>
        <w:rPr>
          <w:sz w:val="20"/>
          <w:szCs w:val="20"/>
          <w:color w:val="auto"/>
        </w:rPr>
      </w:pPr>
      <w:r>
        <w:rPr>
          <w:rFonts w:ascii="Times New Roman" w:cs="Times New Roman" w:eastAsia="Times New Roman" w:hAnsi="Times New Roman"/>
          <w:sz w:val="20"/>
          <w:szCs w:val="20"/>
          <w:color w:val="050505"/>
        </w:rPr>
        <w:t>Previously, certain of our oncology product candidates utilized an anti-CD52 monoclonal antibody (ALLO-647) as part of a lymphodepletion regimen to be infused prior to infusing our product candidates. The anti-CD52 antibody may reduce the likelihood of a patient’s immune system rejecting the engineered allogeneic T cells for a sufficient period of time to enable a window of persistence during which such engineered allogeneic T cells can actively target and destroy cancer cells. However, the antibody may not have the benefits that we anticipate and could have adverse effects. For instance, our lymphodepletion regimen, including using an anti-CD52 antibody, will cause immune suppression that can be of unpredictable depth and duration and that may be associated with an increased risk of infection, such as to common viral or bacterial or opportunistic pathogens, that may be unable to be cleared and ultimately lead to other SAEs or death.</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In the prior CALM and PALL trials, a commercially available monoclonal antibody, alemtuzumab, that binds CD52 was used. Alemtuzumab is known to have risk of causing certain adverse events. In 2020, within the context of a procedure based on Article 20 of Regulation 726/2204 (EMA Regulation), the EMA completed a pharmacovigilance review of alemtuzumab in the context of the treatment of multiple sclerosis following reports of immune-mediated conditions and problems affecting the heart and blood vessels, including fatal cases. The EMA recommended that alemtuzumab should not be used in patients with certain heart, circulation or bleeding disorders or in patients who have autoimmune disorders other than multiple sclerosis. The EMA also recommended that alemtuzumab only be given in a hospital with ready access to intensive care facilities and specialists who can manage serious adverse reactions. The previous use of our anti-CD52 antibody may result in the same or similar adverse events as alemtuzumab.</w:t>
      </w:r>
    </w:p>
    <w:p>
      <w:pPr>
        <w:spacing w:after="0" w:line="8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To secure our own readily available source of anti-CD52 antibody, we were previously developing our own monoclonal anti-CD52 antibody, ALLO-647, which we used in certain of our clinical trials. ALLO-647 may cause SAEs that alemtuzumab may cause, including fatal adverse events, infusion related reactions, immune thrombocytopenia, glomerular nephropathies, thyroid disorders, autoimmune cytopenias, autoimmune hepatitis, hemophagocytic lymphohistiocytosis, acquired hemophilia, infections, stroke, and progressive multifocal leukoencephalopathy. For example, a patient death occurred in the recently discontinued FCA arm of our ALPHA3 trial. This Grade 5 SAE, which occurred on Day 54 post-infusion, involved fulminant hepatic failure caused by disseminated adenovirus infection, potentially worsened by acetaminophen toxicity. The depth of immunosuppression likely associated with ALLO-647 is believed to have increased susceptibility to this viral infection. In addition, we may explore various dosing strategies for lymphodepletion in our clinical trials, such as including varying doses of the chemotherapy agents and/or other agents or eliminating one or more of the agents, which may alter the risk of SAEs or have other undesirable outcomes such as a reduction of the efficacy of treatment. Additionally, our experimental lymphodepletion regimens may show different safety profiles when paired with different allogeneic CAR T product candidates such that regimens deemed safe with one CAR T product candidate may be determined to be associated with unacceptable toxicity when combined with another CAR T candidate or with the same candidate in a different patient population. If observed, these differences may require additional clinical exploration and may cause delays in the execution or termination of development campaigns. Refer to the section entitled "Business—Product Pipeline and Development Strategy" included in this Annual Report for information on safety events.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Reliance on Third Parties</w:t>
      </w:r>
    </w:p>
    <w:p>
      <w:pPr>
        <w:spacing w:after="0" w:line="2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76"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050505"/>
        </w:rPr>
        <w:t>We depend and will continue to depend upon independent investigators and collaborators, such as universities, medical institutions, CROs and strategic partners to conduct our preclinical and clinical trials under agreements with us.</w:t>
      </w:r>
    </w:p>
    <w:p>
      <w:pPr>
        <w:spacing w:after="0" w:line="61" w:lineRule="exact"/>
        <w:rPr>
          <w:sz w:val="20"/>
          <w:szCs w:val="20"/>
          <w:color w:val="auto"/>
        </w:rPr>
      </w:pPr>
    </w:p>
    <w:p>
      <w:pPr>
        <w:ind w:right="40" w:firstLine="720"/>
        <w:spacing w:after="0" w:line="267" w:lineRule="auto"/>
        <w:rPr>
          <w:sz w:val="20"/>
          <w:szCs w:val="20"/>
          <w:color w:val="auto"/>
        </w:rPr>
      </w:pPr>
      <w:r>
        <w:rPr>
          <w:rFonts w:ascii="Times New Roman" w:cs="Times New Roman" w:eastAsia="Times New Roman" w:hAnsi="Times New Roman"/>
          <w:sz w:val="19"/>
          <w:szCs w:val="19"/>
          <w:color w:val="050505"/>
        </w:rPr>
        <w:t>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66</w:t>
      </w:r>
    </w:p>
    <w:p>
      <w:pPr>
        <w:sectPr>
          <w:pgSz w:w="12240" w:h="15840" w:orient="portrait"/>
          <w:cols w:equalWidth="0" w:num="1">
            <w:col w:w="10240"/>
          </w:cols>
          <w:pgMar w:left="1000" w:top="793" w:right="1000" w:bottom="0" w:gutter="0" w:footer="0" w:header="0"/>
          <w:type w:val="continuous"/>
        </w:sectPr>
      </w:pPr>
    </w:p>
    <w:bookmarkStart w:id="70" w:name="page71"/>
    <w:bookmarkEnd w:id="70"/>
    <w:p>
      <w:pPr>
        <w:ind w:right="620"/>
        <w:spacing w:after="0" w:line="281" w:lineRule="auto"/>
        <w:rPr>
          <w:sz w:val="20"/>
          <w:szCs w:val="20"/>
          <w:color w:val="auto"/>
        </w:rPr>
      </w:pPr>
      <w:r>
        <w:rPr>
          <w:rFonts w:ascii="Times New Roman" w:cs="Times New Roman" w:eastAsia="Times New Roman" w:hAnsi="Times New Roman"/>
          <w:sz w:val="20"/>
          <w:szCs w:val="20"/>
          <w:color w:val="050505"/>
        </w:rPr>
        <w:t>these third parties violates federal or state fraud and abuse or false claims laws and regulations or healthcare privacy and security laws.</w:t>
      </w:r>
    </w:p>
    <w:p>
      <w:pPr>
        <w:spacing w:after="0" w:line="61"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050505"/>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93"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9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rely on third parties to manufacture and store our clinical product supplies, and we may have to rely on third parties to produce and process our product candidates, if approved.</w:t>
      </w:r>
    </w:p>
    <w:p>
      <w:pPr>
        <w:spacing w:after="0" w:line="57"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050505"/>
        </w:rPr>
        <w:t>While we utilize CF1 for clinical manufacturing of our CAR T product candidates, we will continue to use CDMOs to manufacture several core reagents, and for distribution logistics. There can be no assurance that we will not experience supply or manufacturing issues related to our product candidates or core reagents in the future.</w:t>
      </w:r>
    </w:p>
    <w:p>
      <w:pPr>
        <w:spacing w:after="0" w:line="7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050505"/>
        </w:rPr>
        <w:t>We do not have long-term agreements in place with CDMOs for the manufacture of our cell therapies. If we are unable to contract with CDMOs on acceptable terms or at all, our clinical development program would be delayed and our business would be significantly harmed.</w:t>
      </w:r>
    </w:p>
    <w:p>
      <w:pPr>
        <w:spacing w:after="0" w:line="75"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050505"/>
        </w:rPr>
        <w:t>We have built CF1 and have transitioned the manufacturing of our product candidates to our manufacturing facility, and we are reliant on CF1 as our sole manufacturing site for our product candidates. Manufacturing product candidates in our own facility requires that we meet certain regulatory conditions, which may delay or extend our clinical trial timelines. If, for any reason, we are unable to continue manufacturing our product candidates at CF1, there is a risk that we may need to re-engage a CDMO to manufacture material, which would be costly and there is a risk that the CDMO may be unavailable or may fail in manufacturing, such as due to the CDMO having to retrain its personnel, or train new personnel, to manufacture our material. Any disruptions to CF1’s operations, whether due to regulatory non-compliance, supply chain constraints, equipment failures, natural disasters, or other unforeseen circumstances, could have a material adverse effect on our ability to manufacture our products and meet clinical or commercial demand. If CF1 becomes unavailable for any reason, our ability to continue product development and commercialization could be significantly impaired, leading to delays, increased costs, and potential loss of revenue.</w:t>
      </w:r>
    </w:p>
    <w:p>
      <w:pPr>
        <w:spacing w:after="0" w:line="93"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050505"/>
        </w:rPr>
        <w:t>We have not yet caused our product candidates to be manufactured or processed on a commercial scale and may not be able to achieve manufacturing and processing and may be unable to create an inventory of mass-produced, off-the-shelf product to satisfy demands for any of our product candidates. Our clinical supply is also limited to small quantities and any latent defects discovered in our supply could significantly delay our development timelines.</w:t>
      </w:r>
    </w:p>
    <w:p>
      <w:pPr>
        <w:spacing w:after="0" w:line="83" w:lineRule="exact"/>
        <w:rPr>
          <w:sz w:val="20"/>
          <w:szCs w:val="20"/>
          <w:color w:val="auto"/>
        </w:rPr>
      </w:pPr>
    </w:p>
    <w:p>
      <w:pPr>
        <w:ind w:right="80" w:firstLine="720"/>
        <w:spacing w:after="0" w:line="281" w:lineRule="auto"/>
        <w:rPr>
          <w:sz w:val="20"/>
          <w:szCs w:val="20"/>
          <w:color w:val="auto"/>
        </w:rPr>
      </w:pPr>
      <w:r>
        <w:rPr>
          <w:rFonts w:ascii="Times New Roman" w:cs="Times New Roman" w:eastAsia="Times New Roman" w:hAnsi="Times New Roman"/>
          <w:sz w:val="20"/>
          <w:szCs w:val="20"/>
          <w:color w:val="050505"/>
        </w:rPr>
        <w:t>In addition, our actual and potential future reliance on a limited number of third-party manufacturers exposes us to the following risks:</w:t>
      </w:r>
    </w:p>
    <w:p>
      <w:pPr>
        <w:spacing w:after="0" w:line="68" w:lineRule="exact"/>
        <w:rPr>
          <w:sz w:val="20"/>
          <w:szCs w:val="20"/>
          <w:color w:val="auto"/>
        </w:rPr>
      </w:pPr>
    </w:p>
    <w:p>
      <w:pPr>
        <w:ind w:left="720" w:right="20" w:hanging="370"/>
        <w:spacing w:after="0" w:line="258" w:lineRule="auto"/>
        <w:tabs>
          <w:tab w:leader="none" w:pos="720" w:val="left"/>
        </w:tabs>
        <w:numPr>
          <w:ilvl w:val="0"/>
          <w:numId w:val="39"/>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We may be unable to identify manufacturers on acceptable terms or at all because the number of potential manufacturers is limited and the FDA or other comparable foreign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FDA or other comparable foreign regulatory authorities questions, if any.</w:t>
      </w:r>
    </w:p>
    <w:p>
      <w:pPr>
        <w:spacing w:after="0" w:line="82" w:lineRule="exact"/>
        <w:rPr>
          <w:rFonts w:ascii="Arial" w:cs="Arial" w:eastAsia="Arial" w:hAnsi="Arial"/>
          <w:sz w:val="20"/>
          <w:szCs w:val="20"/>
          <w:b w:val="1"/>
          <w:bCs w:val="1"/>
          <w:color w:val="050505"/>
        </w:rPr>
      </w:pPr>
    </w:p>
    <w:p>
      <w:pPr>
        <w:ind w:left="720" w:right="280" w:hanging="370"/>
        <w:spacing w:after="0" w:line="281" w:lineRule="auto"/>
        <w:tabs>
          <w:tab w:leader="none" w:pos="720" w:val="left"/>
        </w:tabs>
        <w:numPr>
          <w:ilvl w:val="0"/>
          <w:numId w:val="39"/>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Our third-party manufacturers might be unable to timely formulate and manufacture our product or core reagents or produce the quantity and quality required to meet our clinical and commercial needs, if any.</w:t>
      </w:r>
    </w:p>
    <w:p>
      <w:pPr>
        <w:spacing w:after="0" w:line="60" w:lineRule="exact"/>
        <w:rPr>
          <w:rFonts w:ascii="Arial" w:cs="Arial" w:eastAsia="Arial" w:hAnsi="Arial"/>
          <w:sz w:val="20"/>
          <w:szCs w:val="20"/>
          <w:b w:val="1"/>
          <w:bCs w:val="1"/>
          <w:color w:val="050505"/>
        </w:rPr>
      </w:pPr>
    </w:p>
    <w:p>
      <w:pPr>
        <w:ind w:left="720" w:hanging="370"/>
        <w:spacing w:after="0"/>
        <w:tabs>
          <w:tab w:leader="none" w:pos="720" w:val="left"/>
        </w:tabs>
        <w:numPr>
          <w:ilvl w:val="0"/>
          <w:numId w:val="39"/>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Contract manufacturers may not be able to execute our manufacturing procedures appropriately.</w:t>
      </w:r>
    </w:p>
    <w:p>
      <w:pPr>
        <w:spacing w:after="0" w:line="122" w:lineRule="exact"/>
        <w:rPr>
          <w:rFonts w:ascii="Arial" w:cs="Arial" w:eastAsia="Arial" w:hAnsi="Arial"/>
          <w:sz w:val="20"/>
          <w:szCs w:val="20"/>
          <w:b w:val="1"/>
          <w:bCs w:val="1"/>
          <w:color w:val="050505"/>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Contract manufacturers may be subject to adverse legislative actions.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67</w:t>
      </w:r>
    </w:p>
    <w:p>
      <w:pPr>
        <w:sectPr>
          <w:pgSz w:w="12240" w:h="15840" w:orient="portrait"/>
          <w:cols w:equalWidth="0" w:num="1">
            <w:col w:w="10240"/>
          </w:cols>
          <w:pgMar w:left="1000" w:top="793" w:right="1000" w:bottom="0" w:gutter="0" w:footer="0" w:header="0"/>
          <w:type w:val="continuous"/>
        </w:sectPr>
      </w:pPr>
    </w:p>
    <w:bookmarkStart w:id="71" w:name="page72"/>
    <w:bookmarkEnd w:id="71"/>
    <w:p>
      <w:pPr>
        <w:ind w:left="720" w:right="360" w:hanging="370"/>
        <w:spacing w:after="0" w:line="260" w:lineRule="auto"/>
        <w:tabs>
          <w:tab w:leader="none" w:pos="720" w:val="left"/>
        </w:tabs>
        <w:numPr>
          <w:ilvl w:val="0"/>
          <w:numId w:val="40"/>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Manufacturers are subject to ongoing periodic unannounced inspection by the FDA, the Drug Enforcement Administration and corresponding state agencies or other comparable foreign regulatory authorities to ensure strict compliance with cGMP and other government regulations and corresponding foreign standards. We do not have control over third-party manufacturers’ compliance with these regulations and standards.</w:t>
      </w:r>
    </w:p>
    <w:p>
      <w:pPr>
        <w:spacing w:after="0" w:line="82" w:lineRule="exact"/>
        <w:rPr>
          <w:rFonts w:ascii="Arial" w:cs="Arial" w:eastAsia="Arial" w:hAnsi="Arial"/>
          <w:sz w:val="20"/>
          <w:szCs w:val="20"/>
          <w:b w:val="1"/>
          <w:bCs w:val="1"/>
          <w:color w:val="050505"/>
        </w:rPr>
      </w:pPr>
    </w:p>
    <w:p>
      <w:pPr>
        <w:ind w:left="720" w:right="180" w:hanging="370"/>
        <w:spacing w:after="0" w:line="281" w:lineRule="auto"/>
        <w:tabs>
          <w:tab w:leader="none" w:pos="720" w:val="left"/>
        </w:tabs>
        <w:numPr>
          <w:ilvl w:val="0"/>
          <w:numId w:val="40"/>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We may not own, or may have to share, the intellectual property rights to any improvements made by our third-party manufacturers in the manufacturing process for our products.</w:t>
      </w:r>
    </w:p>
    <w:p>
      <w:pPr>
        <w:spacing w:after="0" w:line="60" w:lineRule="exact"/>
        <w:rPr>
          <w:rFonts w:ascii="Arial" w:cs="Arial" w:eastAsia="Arial" w:hAnsi="Arial"/>
          <w:sz w:val="20"/>
          <w:szCs w:val="20"/>
          <w:b w:val="1"/>
          <w:bCs w:val="1"/>
          <w:color w:val="050505"/>
        </w:rPr>
      </w:pPr>
    </w:p>
    <w:p>
      <w:pPr>
        <w:ind w:left="720" w:right="140" w:hanging="370"/>
        <w:spacing w:after="0" w:line="265" w:lineRule="auto"/>
        <w:tabs>
          <w:tab w:leader="none" w:pos="720" w:val="left"/>
        </w:tabs>
        <w:numPr>
          <w:ilvl w:val="0"/>
          <w:numId w:val="40"/>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Our future contract manufacturers may not perform as agreed or may not remain in the contract manufacturing business for the time required to supply our clinical trials or to successfully produce, store and distribute our products or core reagents.</w:t>
      </w:r>
    </w:p>
    <w:p>
      <w:pPr>
        <w:spacing w:after="0" w:line="77" w:lineRule="exact"/>
        <w:rPr>
          <w:rFonts w:ascii="Arial" w:cs="Arial" w:eastAsia="Arial" w:hAnsi="Arial"/>
          <w:sz w:val="20"/>
          <w:szCs w:val="20"/>
          <w:b w:val="1"/>
          <w:bCs w:val="1"/>
          <w:color w:val="050505"/>
        </w:rPr>
      </w:pPr>
    </w:p>
    <w:p>
      <w:pPr>
        <w:ind w:left="720" w:hanging="370"/>
        <w:spacing w:after="0"/>
        <w:tabs>
          <w:tab w:leader="none" w:pos="720" w:val="left"/>
        </w:tabs>
        <w:numPr>
          <w:ilvl w:val="0"/>
          <w:numId w:val="40"/>
        </w:numPr>
        <w:rPr>
          <w:rFonts w:ascii="Arial" w:cs="Arial" w:eastAsia="Arial" w:hAnsi="Arial"/>
          <w:sz w:val="20"/>
          <w:szCs w:val="20"/>
          <w:b w:val="1"/>
          <w:bCs w:val="1"/>
          <w:color w:val="050505"/>
        </w:rPr>
      </w:pPr>
      <w:r>
        <w:rPr>
          <w:rFonts w:ascii="Times New Roman" w:cs="Times New Roman" w:eastAsia="Times New Roman" w:hAnsi="Times New Roman"/>
          <w:sz w:val="20"/>
          <w:szCs w:val="20"/>
          <w:color w:val="050505"/>
        </w:rPr>
        <w:t>Our third-party manufacturers could breach or terminate their agreement with us.</w:t>
      </w:r>
    </w:p>
    <w:p>
      <w:pPr>
        <w:spacing w:after="0" w:line="122"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050505"/>
        </w:rPr>
        <w:t>Our contract manufacturers would also be subject to the same risks we face in developing our own manufacturing capabilities, as described above. Our potential future CDMOs may also be required to shut down in response to health epidemics or pandemics, or they may prioritize manufacturing for therapies or vaccines for other diseases. In addition, our CDMOs have certain responsibilities for storage of raw materials and in the past have lost or failed to adequately store our raw materials. We also rely on third parties to store our released product candidates, and any failure to adequately store our product candidates could result in significant delay to our development timelines. Any additional or future damage or loss of raw materials or product candidates could materially impact our ability to manufacture and supply our product candidates. Each of these risks could delay our clinical trials, the approval, if any, of our product candidates by the FDA or other comparable foreign regulatory authorities or the commercialization of our product candidates or result in higher costs or deprive us of potential product revenue.</w:t>
      </w:r>
    </w:p>
    <w:p>
      <w:pPr>
        <w:spacing w:after="0" w:line="96" w:lineRule="exact"/>
        <w:rPr>
          <w:sz w:val="20"/>
          <w:szCs w:val="20"/>
          <w:color w:val="auto"/>
        </w:rPr>
      </w:pPr>
    </w:p>
    <w:p>
      <w:pPr>
        <w:ind w:right="220" w:firstLine="720"/>
        <w:spacing w:after="0" w:line="281" w:lineRule="auto"/>
        <w:rPr>
          <w:sz w:val="20"/>
          <w:szCs w:val="20"/>
          <w:color w:val="auto"/>
        </w:rPr>
      </w:pPr>
      <w:r>
        <w:rPr>
          <w:rFonts w:ascii="Times New Roman" w:cs="Times New Roman" w:eastAsia="Times New Roman" w:hAnsi="Times New Roman"/>
          <w:sz w:val="20"/>
          <w:szCs w:val="20"/>
          <w:color w:val="050505"/>
        </w:rPr>
        <w:t>In addition, we rely on third parties to perform release tests on our product candidates prior to delivery to patients. If these tests are not appropriately done and test data are not reliable, patients could be put at risk of serious harm.</w:t>
      </w:r>
    </w:p>
    <w:p>
      <w:pPr>
        <w:spacing w:after="0" w:line="17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We rely on T cells from healthy donors to manufacture our product candidates, and if we do not obtain an adequate supply of T cells from qualified donors, development of those product candidates, or commercialization, if approved, may be adversely impacted.</w:t>
      </w:r>
    </w:p>
    <w:p>
      <w:pPr>
        <w:spacing w:after="0" w:line="76"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050505"/>
        </w:rPr>
        <w:t>Unlike autologous CAR T companies, we are reliant on receiving healthy donor material to manufacture our product candidates. Healthy donor T cells vary in type and quality, and this variation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but the manufacturing runs we have completed and tested in the clinic are limited across our product candidates. As we gain experience, we may find that our screening process fails to identify suitable donor material and we may discover unacceptable variability with the material after production. We may also have to update our specifications for new risks that may emerge, such as to screen for new viruses or chromosomal abnormalities.</w:t>
      </w:r>
    </w:p>
    <w:p>
      <w:pPr>
        <w:spacing w:after="0" w:line="93"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clinical trials on the timelines we expect, which could harm our reputation and adversely impact our business and prospects.</w:t>
      </w:r>
    </w:p>
    <w:p>
      <w:pPr>
        <w:spacing w:after="0" w:line="8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In addition, vendors face challenges in obtaining donor material. While we have donor material on hand, if our vendors are unable to secure donor material, we may no longer have sufficient donor material to manufacture our product candidates. In addition, we have been advised by a supplier that provides donor material that its donor-material business is expected to be divested to a private equity group in the second quarter of 2026. Although the supplier has represented that the transition in ownership is not expected to disrupt orders in process, personnel supporting our projects, or existing capabilities, there can be no assurance that the divestiture and related transition activities will not result in delays, changes to operating processes, quality systems, capacity allocation, regulatory compliance support, pricing, or prioritization of customer orders.</w:t>
      </w:r>
    </w:p>
    <w:p>
      <w:pPr>
        <w:spacing w:after="0" w:line="90"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We currently have two donor-material sources, and only one is expected to be impacted by this divestiture. While our second source is fully implemented and we believe the overall impact of the divestiture should be minimal given our current inventory for near-term needs, if the divestiture were to materially impact supply from the affected supplier, our other donor-material source may not have sufficient capacity, on acceptable timelines, to fully meet our longer-term needs. In that event, we may need to qualify and onboard one or more additional donor-material suppliers, which could require significant time and resources, including technology transfer activities, updates to specifications, and regulatory review or acceptance, and could delay our manufacturing timelines and adversely affect our development programs.</w:t>
      </w:r>
    </w:p>
    <w:p>
      <w:pPr>
        <w:sectPr>
          <w:pgSz w:w="12240" w:h="15840" w:orient="portrait"/>
          <w:cols w:equalWidth="0" w:num="1">
            <w:col w:w="10240"/>
          </w:cols>
          <w:pgMar w:left="1000" w:top="8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68</w:t>
      </w:r>
    </w:p>
    <w:p>
      <w:pPr>
        <w:sectPr>
          <w:pgSz w:w="12240" w:h="15840" w:orient="portrait"/>
          <w:cols w:equalWidth="0" w:num="1">
            <w:col w:w="10240"/>
          </w:cols>
          <w:pgMar w:left="1000" w:top="800" w:right="1000" w:bottom="0" w:gutter="0" w:footer="0" w:header="0"/>
          <w:type w:val="continuous"/>
        </w:sectPr>
      </w:pPr>
    </w:p>
    <w:bookmarkStart w:id="72" w:name="page73"/>
    <w:bookmarkEnd w:id="72"/>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Cell-based therapies rely on the availability of specialty raw materials, which may not be available to us on acceptable terms or at all.</w:t>
      </w:r>
    </w:p>
    <w:p>
      <w:pPr>
        <w:spacing w:after="0" w:line="57"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Our product candidates require many specialty raw materials, including viral vectors that deliver the CAR sequence and electroporation technology, some of which are manufactured by small companies with limited resources and experience to support a commercial product, and the suppliers may not be able to deliver raw materials to our specifications. We do not have contracts with many of the suppliers, and we may not be able to contract with them on acceptable terms, or at all. As a result of logistical challenges and recent inflation, we may experience higher costs or delays in receiving, or fail to secure entirely, key raw materials to support clinical or commercial manufacturing. Certain raw materials also require third-party testing, and some of the testing service companies may not have capacity or be able to conduct the testing that we request.</w:t>
      </w:r>
    </w:p>
    <w:p>
      <w:pPr>
        <w:spacing w:after="0" w:line="90"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20"/>
          <w:szCs w:val="20"/>
          <w:color w:val="050505"/>
        </w:rPr>
        <w:t>In addition, we have been advised by a supplier that provides viral vectors that its viral vector/CDMO business is expected to be divested to a private equity group in the second quarter of 2026. Although the supplier has represented that the transition in ownership is not expected to disrupt orders in process, project teams supporting our programs, or existing capabilities, there can be no assurance that the divestiture and related transition activities will not result in delays, changes to operating processes, quality systems, capacity allocation, regulatory compliance support, pricing, or prioritization of customer orders. Any disruption or delay in the supply of viral vectors or other key raw materials, including as a result of changes in ownership or integration efforts by the new owners, could delay manufacturing, clinical development activities, and, if applicable, preparation of CMC information for regulatory submissions.</w:t>
      </w:r>
    </w:p>
    <w:p>
      <w:pPr>
        <w:spacing w:after="0" w:line="93"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19"/>
          <w:szCs w:val="19"/>
          <w:color w:val="050505"/>
        </w:rPr>
        <w:t>In addition, many of our suppliers normally support blood-based hospital businesses and generally do not have the capacity to support commercial products manufactured under cGMP by biopharmaceutical firms. The suppliers may be ill-equipped to support our needs, including generating data required for a BLA or an MAA and in non-routine circumstances like an FDA or other comparable foreign regulatory authorities inspection or medical crisis, such as widespread contamination.</w:t>
      </w:r>
    </w:p>
    <w:p>
      <w:pPr>
        <w:spacing w:after="0" w:line="68"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050505"/>
        </w:rPr>
        <w:t>We also face competition for supplies from other cell therapy companies. Such competition may make it difficult for us to secure raw materials or the testing of such materials on commercially reasonable terms or in a timely manner.</w:t>
      </w:r>
    </w:p>
    <w:p>
      <w:pPr>
        <w:spacing w:after="0" w:line="2" w:lineRule="exact"/>
        <w:rPr>
          <w:sz w:val="20"/>
          <w:szCs w:val="20"/>
          <w:color w:val="auto"/>
        </w:rPr>
      </w:pPr>
    </w:p>
    <w:p>
      <w:pPr>
        <w:ind w:right="100" w:firstLine="720"/>
        <w:spacing w:after="0" w:line="235" w:lineRule="auto"/>
        <w:rPr>
          <w:sz w:val="20"/>
          <w:szCs w:val="20"/>
          <w:color w:val="auto"/>
        </w:rPr>
      </w:pPr>
      <w:r>
        <w:rPr>
          <w:rFonts w:ascii="Times New Roman" w:cs="Times New Roman" w:eastAsia="Times New Roman" w:hAnsi="Times New Roman"/>
          <w:sz w:val="20"/>
          <w:szCs w:val="20"/>
          <w:color w:val="050505"/>
        </w:rPr>
        <w:t>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For example, for certain raw materials we previously had to find an alternative supplier, which required qualifying the new supplier, which required meeting regulatory requirements for such qualification. If we need to transition to an alternative supplier in the future, it could result in additional costs, delays, diversion of resources or reduced manufacturing yields, any of which would negatively impact our operating results. Further, we may be unable to enter into agreements with a new supplier on commercially reasonable terms, which could have a material adverse impact on our business. While we believe we currently have sufficient product inventory for near-term needs and have identified alternative suppliers for certain raw materials, there can be no assurance that alternative suppliers will be available on acceptable terms, or that any transition would not require time and resources, including qualification activities, and potentially regulatory notifications or approvals.</w:t>
      </w:r>
    </w:p>
    <w:p>
      <w:pPr>
        <w:spacing w:after="0" w:line="195"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If we or our third-party suppliers use hazardous, non-hazardous, biological or other materials in a manner that causes injury or violates applicable law, we may be liable for damages.</w:t>
      </w:r>
    </w:p>
    <w:p>
      <w:pPr>
        <w:spacing w:after="0" w:line="5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and there is a risk of contamination or injury resulting from medical or hazardous materials. For instance, we have had and may continue to have environmental notice of violations at our manufacturing facility.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In addition, we have previously shipped certain materials to Allogene Overland PRC in China and may do so in the future to its successor entity. Any violation by our joint venture in the use, manufacture, storage, handling and disposal under foreign law may subject us to additional liability.</w:t>
      </w:r>
    </w:p>
    <w:p>
      <w:pPr>
        <w:spacing w:after="0" w:line="93"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050505"/>
        </w:rPr>
        <w:t>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Government Regulation</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69</w:t>
      </w:r>
    </w:p>
    <w:p>
      <w:pPr>
        <w:sectPr>
          <w:pgSz w:w="12240" w:h="15840" w:orient="portrait"/>
          <w:cols w:equalWidth="0" w:num="1">
            <w:col w:w="10240"/>
          </w:cols>
          <w:pgMar w:left="1000" w:top="784" w:right="1000" w:bottom="0" w:gutter="0" w:footer="0" w:header="0"/>
          <w:type w:val="continuous"/>
        </w:sectPr>
      </w:pPr>
    </w:p>
    <w:bookmarkStart w:id="73" w:name="page74"/>
    <w:bookmarkEnd w:id="73"/>
    <w:p>
      <w:pPr>
        <w:ind w:right="160"/>
        <w:spacing w:after="0" w:line="316" w:lineRule="auto"/>
        <w:rPr>
          <w:sz w:val="20"/>
          <w:szCs w:val="20"/>
          <w:color w:val="auto"/>
        </w:rPr>
      </w:pPr>
      <w:r>
        <w:rPr>
          <w:rFonts w:ascii="Times New Roman" w:cs="Times New Roman" w:eastAsia="Times New Roman" w:hAnsi="Times New Roman"/>
          <w:sz w:val="19"/>
          <w:szCs w:val="19"/>
          <w:b w:val="1"/>
          <w:bCs w:val="1"/>
          <w:i w:val="1"/>
          <w:iCs w:val="1"/>
          <w:color w:val="050505"/>
        </w:rPr>
        <w:t>The FDA and other comparable foreign regulatory approval processes are lengthy, time-consuming, and subject to change and we may experience significant delays in the clinical development and regulatory approval of our product candidates.</w:t>
      </w:r>
    </w:p>
    <w:p>
      <w:pPr>
        <w:spacing w:after="0" w:line="34"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The research, testing, manufacturing, labeling, approval, selling, import, export, marketing, and distribution of drug products, including biologics, are subject to extensive regulation by the FDA and other regulatory authorities in the United States and comparable foreign regulatory authorities. We are not permitted to market any biological drug product in the United States or elsewhere until we receive approval of a BLA from the FDA or equivalent approvals from other comparable foreign regulatory authorities such as approval of an MAA. We have not previously submitted a BLA to the FDA, or similar approval filings to comparable foreign regulatory authorities. A BLA or equivalent foreign application must include extensive preclinical and clinical data and supporting information to establish the product candidate’s safety and effectiveness for each desired indication. The BLA or equivalent foreign application must also include significant information regarding CMC matters for the product, and any delay or failure in generating such data to meet the evolving CMC regulatory requirements would delay any BLA filing or equivalent foreign application.</w:t>
      </w:r>
    </w:p>
    <w:p>
      <w:pPr>
        <w:spacing w:after="0" w:line="9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We expect the novel nature of our product candidates to create further challenges in obtaining regulatory approval. For example, the FDA or other comparable foreign regulatory authorities have limited experience with commercial development of allogeneic T cell therapies for cancer. We may also request clinical trial initiation or regulatory approval of future CAR-based product candidates by target, regardless of cancer type or origin, which the FDA or other comparable foreign regulatory authorities may have difficulty accepting. The FDA or other comparable foreign regulatory authorities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or comparable foreign regulatory authorities often adheres to the Advisory Committee’s recommendations. Accordingly, the regulatory approval pathway for our product candidates may be uncertain, complex, expensive and lengthy, and approval may not be obtained.</w:t>
      </w:r>
    </w:p>
    <w:p>
      <w:pPr>
        <w:spacing w:after="0" w:line="96" w:lineRule="exact"/>
        <w:rPr>
          <w:sz w:val="20"/>
          <w:szCs w:val="20"/>
          <w:color w:val="auto"/>
        </w:rPr>
      </w:pPr>
    </w:p>
    <w:p>
      <w:pPr>
        <w:ind w:right="180" w:firstLine="720"/>
        <w:spacing w:after="0" w:line="281" w:lineRule="auto"/>
        <w:rPr>
          <w:sz w:val="20"/>
          <w:szCs w:val="20"/>
          <w:color w:val="auto"/>
        </w:rPr>
      </w:pPr>
      <w:r>
        <w:rPr>
          <w:rFonts w:ascii="Times New Roman" w:cs="Times New Roman" w:eastAsia="Times New Roman" w:hAnsi="Times New Roman"/>
          <w:sz w:val="20"/>
          <w:szCs w:val="20"/>
          <w:color w:val="050505"/>
        </w:rPr>
        <w:t>We have previously experienced a delay in our clinical trials due to a clinical hold, and may experience future delays in completing planned clinical trials for a variety of reasons, including delays related to:</w:t>
      </w:r>
    </w:p>
    <w:p>
      <w:pPr>
        <w:spacing w:after="0" w:line="97" w:lineRule="exact"/>
        <w:rPr>
          <w:sz w:val="20"/>
          <w:szCs w:val="20"/>
          <w:color w:val="auto"/>
        </w:rPr>
      </w:pPr>
    </w:p>
    <w:p>
      <w:pPr>
        <w:ind w:left="720" w:right="520" w:hanging="370"/>
        <w:spacing w:after="0" w:line="284" w:lineRule="auto"/>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obtaining regulatory authorization to begin a trial, if applicable, including regulatory approval of any companion diagnostic, if applicable;</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availability of financial resources to commence and complete the planned trials;</w:t>
      </w:r>
    </w:p>
    <w:p>
      <w:pPr>
        <w:spacing w:after="0" w:line="147" w:lineRule="exact"/>
        <w:rPr>
          <w:rFonts w:ascii="Arial" w:cs="Arial" w:eastAsia="Arial" w:hAnsi="Arial"/>
          <w:sz w:val="24"/>
          <w:szCs w:val="24"/>
          <w:b w:val="1"/>
          <w:bCs w:val="1"/>
          <w:color w:val="050505"/>
        </w:rPr>
      </w:pPr>
    </w:p>
    <w:p>
      <w:pPr>
        <w:ind w:left="720" w:right="500" w:hanging="370"/>
        <w:spacing w:after="0" w:line="284" w:lineRule="auto"/>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reaching agreement on acceptable terms with prospective CROs and clinical trial sites, the terms of which can be subject to extensive negotiation and may vary significantly among different CROs and trial sites;</w:t>
      </w:r>
    </w:p>
    <w:p>
      <w:pPr>
        <w:spacing w:after="0" w:line="97" w:lineRule="exact"/>
        <w:rPr>
          <w:rFonts w:ascii="Arial" w:cs="Arial" w:eastAsia="Arial" w:hAnsi="Arial"/>
          <w:sz w:val="24"/>
          <w:szCs w:val="24"/>
          <w:b w:val="1"/>
          <w:bCs w:val="1"/>
          <w:color w:val="050505"/>
        </w:rPr>
      </w:pPr>
    </w:p>
    <w:p>
      <w:pPr>
        <w:ind w:left="720" w:right="360" w:hanging="370"/>
        <w:spacing w:after="0" w:line="284" w:lineRule="auto"/>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developing and implementing processes and procedures with collaborators relating to the collection and transfer of patient samples and the timely performance of a companion diagnostic, if applicable, on such samples;</w:t>
      </w:r>
    </w:p>
    <w:p>
      <w:pPr>
        <w:spacing w:after="0" w:line="6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obtaining approval at each clinical trial site by an independent IRB or a positive opinion from an Ethics Committee;</w:t>
      </w:r>
    </w:p>
    <w:p>
      <w:pPr>
        <w:spacing w:after="0" w:line="150" w:lineRule="exact"/>
        <w:rPr>
          <w:rFonts w:ascii="Times New Roman" w:cs="Times New Roman" w:eastAsia="Times New Roman" w:hAnsi="Times New Roman"/>
          <w:sz w:val="20"/>
          <w:szCs w:val="20"/>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obtaining regulatory and other approvals to modify the conduct of a clinical trial;</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recruiting suitable patients to participate in a trial;</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delays by a collaboration partner in running a companion diagnostic on patient samples;</w:t>
      </w:r>
    </w:p>
    <w:p>
      <w:pPr>
        <w:spacing w:after="0" w:line="147" w:lineRule="exact"/>
        <w:rPr>
          <w:rFonts w:ascii="Arial" w:cs="Arial" w:eastAsia="Arial" w:hAnsi="Arial"/>
          <w:sz w:val="24"/>
          <w:szCs w:val="24"/>
          <w:b w:val="1"/>
          <w:bCs w:val="1"/>
          <w:color w:val="050505"/>
        </w:rPr>
      </w:pPr>
    </w:p>
    <w:p>
      <w:pPr>
        <w:ind w:left="720" w:right="300" w:hanging="370"/>
        <w:spacing w:after="0" w:line="284" w:lineRule="auto"/>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having patients complete a trial, including having patients enrolled in clinical trials dropping out of the trial prior to treatment, or return for post-treatment follow-up;</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clinical trial sites deviating from trial protocol or dropping out of a trial;</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addressing any patient safety concerns that arise during the course of a trial;</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adding new clinical trial sites; or</w:t>
      </w:r>
    </w:p>
    <w:p>
      <w:pPr>
        <w:spacing w:after="0" w:line="147" w:lineRule="exact"/>
        <w:rPr>
          <w:rFonts w:ascii="Arial" w:cs="Arial" w:eastAsia="Arial" w:hAnsi="Arial"/>
          <w:sz w:val="24"/>
          <w:szCs w:val="24"/>
          <w:b w:val="1"/>
          <w:bCs w:val="1"/>
          <w:color w:val="050505"/>
        </w:rPr>
      </w:pPr>
    </w:p>
    <w:p>
      <w:pPr>
        <w:ind w:left="720" w:right="780" w:hanging="370"/>
        <w:spacing w:after="0" w:line="284" w:lineRule="auto"/>
        <w:tabs>
          <w:tab w:leader="none" w:pos="720" w:val="left"/>
        </w:tabs>
        <w:numPr>
          <w:ilvl w:val="0"/>
          <w:numId w:val="41"/>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manufacturing sufficient quantities of qualified materials under cGMPs, releasing product in accordance with specifications, and delivering product candidates for use in clinical trials.</w:t>
      </w:r>
    </w:p>
    <w:p>
      <w:pPr>
        <w:spacing w:after="0" w:line="61"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19"/>
          <w:szCs w:val="19"/>
          <w:color w:val="050505"/>
        </w:rPr>
        <w:t>We could also encounter future delays if physicians encounter unresolved ethical issues associated with enrolling patients in clinical trials of our product candidates in lieu of prescribing existing treatments that have established safety and efficacy profiles, or with respect to the ALPHA3 trial, in lieu of observation alone. Further, a clinical trial may be suspended or terminated by us, the Institutional Review Boards (IRBs) or Ethics Committees for the institutions in which such trials are being conducted or by the FDA or other comparable foreign regulatory authorities due to a number of factors, including failure to</w:t>
      </w:r>
    </w:p>
    <w:p>
      <w:pPr>
        <w:sectPr>
          <w:pgSz w:w="12240" w:h="15840" w:orient="portrait"/>
          <w:cols w:equalWidth="0" w:num="1">
            <w:col w:w="10240"/>
          </w:cols>
          <w:pgMar w:left="1000" w:top="784" w:right="100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70</w:t>
      </w:r>
    </w:p>
    <w:p>
      <w:pPr>
        <w:sectPr>
          <w:pgSz w:w="12240" w:h="15840" w:orient="portrait"/>
          <w:cols w:equalWidth="0" w:num="1">
            <w:col w:w="10240"/>
          </w:cols>
          <w:pgMar w:left="1000" w:top="784" w:right="1000" w:bottom="0" w:gutter="0" w:footer="0" w:header="0"/>
          <w:type w:val="continuous"/>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20"/>
          <w:szCs w:val="20"/>
          <w:color w:val="050505"/>
        </w:rPr>
        <w:t>conduct the clinical trial in accordance with regulatory requirements or our clinical protocols, inspection of the clinical trial operations or trial site by the FDA or other comparable foreign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any data safety monitoring board or committee. The FDA or other comparable foreign regulatory authorities’ review of our data of our clinical trials may, depending on the data, also result in the delay, suspension or termination of one or more of our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93" w:lineRule="exact"/>
        <w:rPr>
          <w:sz w:val="20"/>
          <w:szCs w:val="20"/>
          <w:color w:val="auto"/>
        </w:rPr>
      </w:pPr>
    </w:p>
    <w:p>
      <w:pPr>
        <w:ind w:right="40" w:firstLine="720"/>
        <w:spacing w:after="0" w:line="281" w:lineRule="auto"/>
        <w:rPr>
          <w:sz w:val="20"/>
          <w:szCs w:val="20"/>
          <w:color w:val="auto"/>
        </w:rPr>
      </w:pPr>
      <w:r>
        <w:rPr>
          <w:rFonts w:ascii="Times New Roman" w:cs="Times New Roman" w:eastAsia="Times New Roman" w:hAnsi="Times New Roman"/>
          <w:sz w:val="20"/>
          <w:szCs w:val="20"/>
          <w:color w:val="050505"/>
        </w:rPr>
        <w:t>Many of the factors that cause, or lead to, a delay in the commencement or completion of clinical trials may ultimately lead to the denial of regulatory approval of our product candidates.</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050505"/>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or maintaining any regulatory approval.</w:t>
      </w:r>
    </w:p>
    <w:p>
      <w:pPr>
        <w:spacing w:after="0" w:line="81"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Because we are developing novel CAR T cell immunotherapy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and guidance from regulatory authorities may continue to change in the future.</w:t>
      </w:r>
    </w:p>
    <w:p>
      <w:pPr>
        <w:spacing w:after="0" w:line="83"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Moreover, there is substantial, and sometimes uncoordinated, overlap in those responsible for regulation of existing gene therapy products and cell therapy products. For example, in the United States, the FDA has established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In addition, adverse developments in clinical trials of gene therapy products conducted by others may cause the FDA or other regulatory bodies to change the requirements for approval of any of our product candidates.</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(CAT) was established within the EMA in accordance with Regulation (EC) No 1394/2007 on advanced-therapy medicinal products (ATMPs) to assess the quality, safety and efficacy of ATMPs, and to follow scientific developments in the field. ATMPs include gene therapy products as well as somatic cell therapy products and tissue engineered products. In this regard, on May 28, 2014, the EMA issued a recommendation that UCART19 be considered a gene therapy product under Regulation (EC) No 1394/2007 on ATMPs. We cannot conclude that our product candidates will receive a similar recommendation.</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CAR 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93" w:lineRule="exact"/>
        <w:rPr>
          <w:sz w:val="20"/>
          <w:szCs w:val="20"/>
          <w:color w:val="auto"/>
        </w:rPr>
      </w:pPr>
    </w:p>
    <w:p>
      <w:pPr>
        <w:ind w:right="440" w:firstLine="720"/>
        <w:spacing w:after="0" w:line="281" w:lineRule="auto"/>
        <w:rPr>
          <w:sz w:val="20"/>
          <w:szCs w:val="20"/>
          <w:color w:val="auto"/>
        </w:rPr>
      </w:pPr>
      <w:r>
        <w:rPr>
          <w:rFonts w:ascii="Times New Roman" w:cs="Times New Roman" w:eastAsia="Times New Roman" w:hAnsi="Times New Roman"/>
          <w:sz w:val="20"/>
          <w:szCs w:val="20"/>
          <w:color w:val="050505"/>
        </w:rPr>
        <w:t>Delay or failure to obtain, or unexpected costs in obtaining, the regulatory approval necessary to bring a potential product to market could decrease our ability to generate sufficient product revenue to maintain our business.</w:t>
      </w:r>
    </w:p>
    <w:p>
      <w:pPr>
        <w:spacing w:after="0" w:line="172"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The FDA or comparable foreign regulatory authorities may disagree with our regulatory plan and we may fail to obtain regulatory approval of our CAR T cell product candidates.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71</w:t>
      </w:r>
    </w:p>
    <w:p>
      <w:pPr>
        <w:sectPr>
          <w:pgSz w:w="12240" w:h="15840" w:orient="portrait"/>
          <w:cols w:equalWidth="0" w:num="1">
            <w:col w:w="10220"/>
          </w:cols>
          <w:pgMar w:left="1000" w:top="793" w:right="1020" w:bottom="0" w:gutter="0" w:footer="0" w:header="0"/>
          <w:type w:val="continuous"/>
        </w:sectPr>
      </w:pPr>
    </w:p>
    <w:bookmarkStart w:id="75" w:name="page76"/>
    <w:bookmarkEnd w:id="75"/>
    <w:p>
      <w:pPr>
        <w:ind w:right="60" w:firstLine="720"/>
        <w:spacing w:after="0" w:line="257" w:lineRule="auto"/>
        <w:rPr>
          <w:sz w:val="20"/>
          <w:szCs w:val="20"/>
          <w:color w:val="auto"/>
        </w:rPr>
      </w:pPr>
      <w:r>
        <w:rPr>
          <w:rFonts w:ascii="Times New Roman" w:cs="Times New Roman" w:eastAsia="Times New Roman" w:hAnsi="Times New Roman"/>
          <w:sz w:val="20"/>
          <w:szCs w:val="20"/>
          <w:color w:val="050505"/>
        </w:rPr>
        <w:t>The general approach for FDA or comparable foreign regulatory authorities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expect ongoing FDA, EMA, or comparable foreign regulatory authorities feedback on our trials, some of which may lead to changes in the trials, which could cause future delays to our trials. In addition, even if we believe the results are sufficiently compelling, such as for the ALPHA3 trial, the FDA, EMA, or comparable foreign regulatory authorities could ultimately require longer-term follow-up results, additional data from our clinical trials or additional trials that could delay or prevent our first BLA or MAA submission. The FDA, EMA, or comparable foreign regulatory authorities may require that we conduct a comparative trial against an approved therapy including potentially an approved autologous T cell therapy, which would significantly delay our development timelines and require substantially more resources. In addition, the FDA, EMA, or comparable foreign regulatory authorities may only allow us to evaluate patients that have failed or who are ineligible for autologous therapy, which are extremely difficult patients to treat and patients with advanced and aggressive cancer, and our product candidates may fail to improve outcomes for such patients.</w:t>
      </w:r>
    </w:p>
    <w:p>
      <w:pPr>
        <w:spacing w:after="0" w:line="87"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If the FDA or European Commission grant accelerated approval for our product candidates, as a condition for accelerated approval, the FDA or the European Commission may require us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or European Commission may ultimately refuse to grant accelerated approval for our product candidates and require a Phase 3 clinical trial prior to approval, particularly since our product candidates represent a novel treatment. In addition, the standard of care may change with the approval of new products in the same indications that we are studying. This may result in the FDA, the European Commission, or other regulatory agencies requesting additional studies to show that our product candidate is superior to the new products.</w:t>
      </w:r>
    </w:p>
    <w:p>
      <w:pPr>
        <w:spacing w:after="0" w:line="89" w:lineRule="exact"/>
        <w:rPr>
          <w:sz w:val="20"/>
          <w:szCs w:val="20"/>
          <w:color w:val="auto"/>
        </w:rPr>
      </w:pPr>
    </w:p>
    <w:p>
      <w:pPr>
        <w:ind w:right="660" w:firstLine="720"/>
        <w:spacing w:after="0" w:line="281" w:lineRule="auto"/>
        <w:rPr>
          <w:sz w:val="20"/>
          <w:szCs w:val="20"/>
          <w:color w:val="auto"/>
        </w:rPr>
      </w:pPr>
      <w:r>
        <w:rPr>
          <w:rFonts w:ascii="Times New Roman" w:cs="Times New Roman" w:eastAsia="Times New Roman" w:hAnsi="Times New Roman"/>
          <w:sz w:val="20"/>
          <w:szCs w:val="20"/>
          <w:color w:val="050505"/>
        </w:rPr>
        <w:t>Our clinical trial results may also not support approval. In addition, our product candidates could be delayed in receiving approval or fail to receive regulatory approval for many reasons, including the following:</w:t>
      </w:r>
    </w:p>
    <w:p>
      <w:pPr>
        <w:spacing w:after="0" w:line="82" w:lineRule="exact"/>
        <w:rPr>
          <w:sz w:val="20"/>
          <w:szCs w:val="20"/>
          <w:color w:val="auto"/>
        </w:rPr>
      </w:pPr>
    </w:p>
    <w:p>
      <w:pPr>
        <w:ind w:left="720" w:hanging="370"/>
        <w:spacing w:after="0"/>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inability to resolve any future clinical hold;</w:t>
      </w:r>
    </w:p>
    <w:p>
      <w:pPr>
        <w:spacing w:after="0" w:line="147" w:lineRule="exact"/>
        <w:rPr>
          <w:rFonts w:ascii="Arial" w:cs="Arial" w:eastAsia="Arial" w:hAnsi="Arial"/>
          <w:sz w:val="24"/>
          <w:szCs w:val="24"/>
          <w:b w:val="1"/>
          <w:bCs w:val="1"/>
          <w:color w:val="050505"/>
        </w:rPr>
      </w:pPr>
    </w:p>
    <w:p>
      <w:pPr>
        <w:ind w:left="720" w:right="220" w:hanging="370"/>
        <w:spacing w:after="0" w:line="284"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FDA, EMA, or comparable foreign regulatory authorities may disagree with the design or implementation of our clinical trials or any changes thereto submitted in protocol amendments;</w:t>
      </w:r>
    </w:p>
    <w:p>
      <w:pPr>
        <w:spacing w:after="0" w:line="97" w:lineRule="exact"/>
        <w:rPr>
          <w:rFonts w:ascii="Arial" w:cs="Arial" w:eastAsia="Arial" w:hAnsi="Arial"/>
          <w:sz w:val="24"/>
          <w:szCs w:val="24"/>
          <w:b w:val="1"/>
          <w:bCs w:val="1"/>
          <w:color w:val="050505"/>
        </w:rPr>
      </w:pPr>
    </w:p>
    <w:p>
      <w:pPr>
        <w:ind w:left="720" w:right="240" w:hanging="370"/>
        <w:spacing w:after="0" w:line="284"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we may be unable to demonstrate to the satisfaction of the FDA, EMA, or comparable foreign regulatory authorities that our product candidates are safe and effective for any of their proposed indications;</w:t>
      </w:r>
    </w:p>
    <w:p>
      <w:pPr>
        <w:spacing w:after="0" w:line="97" w:lineRule="exact"/>
        <w:rPr>
          <w:rFonts w:ascii="Arial" w:cs="Arial" w:eastAsia="Arial" w:hAnsi="Arial"/>
          <w:sz w:val="24"/>
          <w:szCs w:val="24"/>
          <w:b w:val="1"/>
          <w:bCs w:val="1"/>
          <w:color w:val="050505"/>
        </w:rPr>
      </w:pPr>
    </w:p>
    <w:p>
      <w:pPr>
        <w:ind w:left="720" w:hanging="370"/>
        <w:spacing w:after="0" w:line="284"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results of clinical trials may not meet the level of statistical significance required by the FDA, EMA, or comparable foreign regulatory authorities for approval, including due to the heterogeneity of patient populations;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we may be unable to demonstrate that our product candidates’ clinical and other benefits outweigh their safety risks;</w:t>
      </w:r>
    </w:p>
    <w:p>
      <w:pPr>
        <w:spacing w:after="0" w:line="147" w:lineRule="exact"/>
        <w:rPr>
          <w:rFonts w:ascii="Arial" w:cs="Arial" w:eastAsia="Arial" w:hAnsi="Arial"/>
          <w:sz w:val="24"/>
          <w:szCs w:val="24"/>
          <w:b w:val="1"/>
          <w:bCs w:val="1"/>
          <w:color w:val="050505"/>
        </w:rPr>
      </w:pPr>
    </w:p>
    <w:p>
      <w:pPr>
        <w:ind w:left="720" w:right="660" w:hanging="370"/>
        <w:spacing w:after="0" w:line="284"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FDA, EMA, or comparable foreign regulatory authorities may disagree with our interpretation of data from preclinical studies or clinical trials;</w:t>
      </w:r>
    </w:p>
    <w:p>
      <w:pPr>
        <w:spacing w:after="0" w:line="97" w:lineRule="exact"/>
        <w:rPr>
          <w:rFonts w:ascii="Arial" w:cs="Arial" w:eastAsia="Arial" w:hAnsi="Arial"/>
          <w:sz w:val="24"/>
          <w:szCs w:val="24"/>
          <w:b w:val="1"/>
          <w:bCs w:val="1"/>
          <w:color w:val="050505"/>
        </w:rPr>
      </w:pPr>
    </w:p>
    <w:p>
      <w:pPr>
        <w:ind w:left="720" w:right="300" w:hanging="370"/>
        <w:spacing w:after="0" w:line="287"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data collected from clinical trials of our product candidates may not be sufficient to the satisfaction of the FDA, EMA, or comparable foreign regulatory authorities to support the submission of a BLA or other comparable submission in foreign jurisdictions (e.g., MAA) or to obtain regulatory approval in the United States or elsewhere;</w:t>
      </w:r>
    </w:p>
    <w:p>
      <w:pPr>
        <w:spacing w:after="0" w:line="103" w:lineRule="exact"/>
        <w:rPr>
          <w:rFonts w:ascii="Arial" w:cs="Arial" w:eastAsia="Arial" w:hAnsi="Arial"/>
          <w:sz w:val="24"/>
          <w:szCs w:val="24"/>
          <w:b w:val="1"/>
          <w:bCs w:val="1"/>
          <w:color w:val="050505"/>
        </w:rPr>
      </w:pPr>
    </w:p>
    <w:p>
      <w:pPr>
        <w:ind w:left="720" w:right="40" w:hanging="370"/>
        <w:spacing w:after="0" w:line="287"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FDA, EMA, or comparable foreign regulatory authorities will review extensive CMC data, our manufacturing process and inspect the relevant commercial manufacturing facility and may not approve our manufacturing process or facility;</w:t>
      </w:r>
    </w:p>
    <w:p>
      <w:pPr>
        <w:spacing w:after="0" w:line="103" w:lineRule="exact"/>
        <w:rPr>
          <w:rFonts w:ascii="Arial" w:cs="Arial" w:eastAsia="Arial" w:hAnsi="Arial"/>
          <w:sz w:val="24"/>
          <w:szCs w:val="24"/>
          <w:b w:val="1"/>
          <w:bCs w:val="1"/>
          <w:color w:val="050505"/>
        </w:rPr>
      </w:pPr>
    </w:p>
    <w:p>
      <w:pPr>
        <w:ind w:left="720" w:right="300" w:hanging="370"/>
        <w:spacing w:after="0" w:line="284" w:lineRule="auto"/>
        <w:tabs>
          <w:tab w:leader="none" w:pos="720" w:val="left"/>
        </w:tabs>
        <w:numPr>
          <w:ilvl w:val="0"/>
          <w:numId w:val="42"/>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approval policies or regulations of the FDA, EU, or comparable foreign regulatory authorities may significantly change in a manner rendering our clinical data insufficient for approval; and</w:t>
      </w:r>
    </w:p>
    <w:p>
      <w:pPr>
        <w:spacing w:after="0" w:line="61" w:lineRule="exact"/>
        <w:rPr>
          <w:rFonts w:ascii="Arial" w:cs="Arial" w:eastAsia="Arial" w:hAnsi="Arial"/>
          <w:sz w:val="24"/>
          <w:szCs w:val="24"/>
          <w:b w:val="1"/>
          <w:bCs w:val="1"/>
          <w:color w:val="050505"/>
        </w:rPr>
      </w:pPr>
    </w:p>
    <w:p>
      <w:pPr>
        <w:ind w:left="720" w:right="40" w:hanging="370"/>
        <w:spacing w:after="0" w:line="281" w:lineRule="auto"/>
        <w:tabs>
          <w:tab w:leader="none" w:pos="720" w:val="left"/>
        </w:tabs>
        <w:numPr>
          <w:ilvl w:val="0"/>
          <w:numId w:val="42"/>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we may be unable to agree on any required pediatric investigation plan with regulatory authorities prior to any BLA or MAA filing.</w:t>
      </w:r>
    </w:p>
    <w:p>
      <w:pPr>
        <w:spacing w:after="0" w:line="17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9"/>
          <w:szCs w:val="19"/>
          <w:b w:val="1"/>
          <w:bCs w:val="1"/>
          <w:i w:val="1"/>
          <w:iCs w:val="1"/>
          <w:color w:val="050505"/>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72</w:t>
      </w:r>
    </w:p>
    <w:p>
      <w:pPr>
        <w:sectPr>
          <w:pgSz w:w="12240" w:h="15840" w:orient="portrait"/>
          <w:cols w:equalWidth="0" w:num="1">
            <w:col w:w="10240"/>
          </w:cols>
          <w:pgMar w:left="1000" w:top="793" w:right="1000" w:bottom="0" w:gutter="0" w:footer="0" w:header="0"/>
          <w:type w:val="continuous"/>
        </w:sectPr>
      </w:pPr>
    </w:p>
    <w:bookmarkStart w:id="76" w:name="page77"/>
    <w:bookmarkEnd w:id="76"/>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companion diagnostic device, we will not be able to commercialize the product candidate, and our ability to generate revenue will be materially impaired.</w:t>
      </w:r>
    </w:p>
    <w:p>
      <w:pPr>
        <w:spacing w:after="0" w:line="57" w:lineRule="exact"/>
        <w:rPr>
          <w:sz w:val="20"/>
          <w:szCs w:val="20"/>
          <w:color w:val="auto"/>
        </w:rPr>
      </w:pPr>
    </w:p>
    <w:p>
      <w:pPr>
        <w:ind w:right="260" w:firstLine="720"/>
        <w:spacing w:after="0" w:line="255" w:lineRule="auto"/>
        <w:rPr>
          <w:sz w:val="20"/>
          <w:szCs w:val="20"/>
          <w:color w:val="auto"/>
        </w:rPr>
      </w:pPr>
      <w:r>
        <w:rPr>
          <w:rFonts w:ascii="Times New Roman" w:cs="Times New Roman" w:eastAsia="Times New Roman" w:hAnsi="Times New Roman"/>
          <w:sz w:val="20"/>
          <w:szCs w:val="20"/>
          <w:color w:val="050505"/>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are collaborating with Foresight Diagnostics as part of our clinical trial enrollment process for ALPHA3 to identify patients with MRD that we believe may be most likely to benefit from treatment with cema-cel. The process of validating such diagnostic can be time consuming and costly.</w:t>
      </w:r>
    </w:p>
    <w:p>
      <w:pPr>
        <w:spacing w:after="0" w:line="90"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concurrent with approval of the therapeutic product and before a product can be commercialized. In the EEA, companion diagnostics are deemed to be in vitro diagnostic medical devices (IVDs) and are governed by Regulation 2017/746 (IVDR). IVDs, including companion diagnostics, must conform with the general safety and performance requirements (GSPR) of the IVDR by December 2028.</w:t>
      </w:r>
    </w:p>
    <w:p>
      <w:pPr>
        <w:spacing w:after="0" w:line="93"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050505"/>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89"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Our ALPHA3 trial design requires the use of an MRD assay, and we are conducting the trial with the use of Foresight Diagnostics’ PhasED-Seq™ Circulating Tumor DNA Platform. Although the Foresight CLARITY™ Investigational Use Only (IUO) MRD test, powered by PhasED-Seq, has received IDE approval from the FDA allowing PhasEd-Seq to be used as part of the ALPHA3 trial, there can be no assurance that Foresight Diagnostic will be able to obtain the necessary regulatory approvals to support ALPHA3 clinical trial sites outside the U.S., or that we would be able to manage logistical challenges associated with timely international shipment of patient samples to Foresight’s U.S. facility for testing, all of which could delay the expansion of our ALPHA3 trial to trial sites outside the U.S.</w:t>
      </w:r>
    </w:p>
    <w:p>
      <w:pPr>
        <w:spacing w:after="0" w:line="90" w:lineRule="exact"/>
        <w:rPr>
          <w:sz w:val="20"/>
          <w:szCs w:val="20"/>
          <w:color w:val="auto"/>
        </w:rPr>
      </w:pPr>
    </w:p>
    <w:p>
      <w:pPr>
        <w:ind w:right="460" w:firstLine="720"/>
        <w:spacing w:after="0" w:line="260" w:lineRule="auto"/>
        <w:rPr>
          <w:sz w:val="20"/>
          <w:szCs w:val="20"/>
          <w:color w:val="auto"/>
        </w:rPr>
      </w:pPr>
      <w:r>
        <w:rPr>
          <w:rFonts w:ascii="Times New Roman" w:cs="Times New Roman" w:eastAsia="Times New Roman" w:hAnsi="Times New Roman"/>
          <w:sz w:val="20"/>
          <w:szCs w:val="20"/>
          <w:color w:val="050505"/>
        </w:rPr>
        <w:t>Furthermore, in order to commercialize cema-cel, if approved based on the outcome of our ALPHA3 trial, we anticipate that an approved MRD assay must be commercially available to identify patients eligible to receive cema-cel. A delay or failure by Foresight Diagnostics to obtain regulatory approval may delay the commercialization of cema-cel, if approved based on the outcome of our ALPHA3 trial.</w:t>
      </w:r>
    </w:p>
    <w:p>
      <w:pPr>
        <w:spacing w:after="0" w:line="194"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Regenerative Medicine Advanced Therapy designation and fast track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We have received Regenerative Medicine Advanced Therapy (RMAT) designation for cema-cel, ALLO-316, and ALLO-715 and fast track designation for ALLO-316 and ALLO-329. There is no assurance that we will be able to obtain RMAT designation or fast track designation for any of our additional product candidates. RMAT designation and fast track designation do not change the FDA’s standards for product approval, and there is no assurance that such designation will result in expedited review or approval or that the approved indication will not be narrower than the indication covered by the designation. Additionally, RMAT designation and fast track designation can be revoked if the criteria for eligibility cease to be met as clinical data emerges.</w:t>
      </w:r>
    </w:p>
    <w:p>
      <w:pPr>
        <w:spacing w:after="0" w:line="20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We plan to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76" w:lineRule="exact"/>
        <w:rPr>
          <w:sz w:val="20"/>
          <w:szCs w:val="20"/>
          <w:color w:val="auto"/>
        </w:rPr>
      </w:pPr>
    </w:p>
    <w:p>
      <w:pPr>
        <w:ind w:right="60" w:firstLine="720"/>
        <w:spacing w:after="0" w:line="286" w:lineRule="auto"/>
        <w:rPr>
          <w:sz w:val="20"/>
          <w:szCs w:val="20"/>
          <w:color w:val="auto"/>
        </w:rPr>
      </w:pPr>
      <w:r>
        <w:rPr>
          <w:rFonts w:ascii="Times New Roman" w:cs="Times New Roman" w:eastAsia="Times New Roman" w:hAnsi="Times New Roman"/>
          <w:sz w:val="19"/>
          <w:szCs w:val="19"/>
          <w:color w:val="050505"/>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73</w:t>
      </w:r>
    </w:p>
    <w:p>
      <w:pPr>
        <w:sectPr>
          <w:pgSz w:w="12240" w:h="15840" w:orient="portrait"/>
          <w:cols w:equalWidth="0" w:num="1">
            <w:col w:w="10240"/>
          </w:cols>
          <w:pgMar w:left="1000" w:top="784" w:right="1000" w:bottom="0" w:gutter="0" w:footer="0" w:header="0"/>
          <w:type w:val="continuous"/>
        </w:sectPr>
      </w:pPr>
    </w:p>
    <w:bookmarkStart w:id="77" w:name="page78"/>
    <w:bookmarkEnd w:id="77"/>
    <w:p>
      <w:pPr>
        <w:ind w:right="80"/>
        <w:spacing w:after="0" w:line="256" w:lineRule="auto"/>
        <w:rPr>
          <w:sz w:val="20"/>
          <w:szCs w:val="20"/>
          <w:color w:val="auto"/>
        </w:rPr>
      </w:pPr>
      <w:r>
        <w:rPr>
          <w:rFonts w:ascii="Times New Roman" w:cs="Times New Roman" w:eastAsia="Times New Roman" w:hAnsi="Times New Roman"/>
          <w:sz w:val="20"/>
          <w:szCs w:val="20"/>
          <w:color w:val="050505"/>
        </w:rPr>
        <w:t>and making available the drug or biologic in the United States will be recovered from sales in the United States for that drug or biologic. In order to obtain orphan drug designation, the request must be made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8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The FDA granted orphan drug designation to ALLO-715 for the treatment of multiple myeloma. We plan to seek orphan drug designation for additional product candidates in specific orphan indications in which there is a medically plausible basis for the use of these products, but may never receive such designations. Some of our product candidates target indications that are not orphan indications. In addition, even with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w:t>
      </w:r>
    </w:p>
    <w:p>
      <w:pPr>
        <w:spacing w:after="0" w:line="204"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Negative public opinion and increased regulatory scrutiny of genetic research and therapies involving gene editing may damage public perception of our product candidates or adversely affect our ability to conduct our business or obtain regulatory approvals for our product candidates.</w:t>
      </w:r>
    </w:p>
    <w:p>
      <w:pPr>
        <w:spacing w:after="0" w:line="76" w:lineRule="exact"/>
        <w:rPr>
          <w:sz w:val="20"/>
          <w:szCs w:val="20"/>
          <w:color w:val="auto"/>
        </w:rPr>
      </w:pPr>
    </w:p>
    <w:p>
      <w:pPr>
        <w:ind w:right="140" w:firstLine="720"/>
        <w:spacing w:after="0" w:line="254" w:lineRule="auto"/>
        <w:rPr>
          <w:sz w:val="20"/>
          <w:szCs w:val="20"/>
          <w:color w:val="auto"/>
        </w:rPr>
      </w:pPr>
      <w:r>
        <w:rPr>
          <w:rFonts w:ascii="Times New Roman" w:cs="Times New Roman" w:eastAsia="Times New Roman" w:hAnsi="Times New Roman"/>
          <w:sz w:val="20"/>
          <w:szCs w:val="20"/>
          <w:color w:val="050505"/>
        </w:rPr>
        <w:t>The gene-editing technologies that we use are novel. Public perception may be influenced by claims that gene editing is unsafe, and products incorporating gene editing may not gain the acceptance of the public or the medical community. Given the previous clinical hold involved a chromosomal abnormality, our manufacturing or gene editing may be further scrutinized or may be viewed as unsafe, even though our investigation found that the abnormality was not related to our manufacturing or gene editing.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may result in fewer physicians prescribing our treatments or may reduce the willingness of patients to utilize our treatments or participate in clinical trials for our product candidates.</w:t>
      </w:r>
    </w:p>
    <w:p>
      <w:pPr>
        <w:spacing w:after="0" w:line="89"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In addition, given the novel nature of gene-editing and cell therapy technologies, governments may place import, export or other restrictions in order to retain control or limit the use of the technologies. For instance, any limits on exporting certain of our technology to China may adversely affect Overland Therapeutics, a joint venture between us and HBP. Increased negative public opinion or more restrictive government regulations either in the United States or internationally, would have a negative effect on our business or financial condition and may delay or impair the development and commercialization of our product candidates or demand for such product candidates.</w:t>
      </w:r>
    </w:p>
    <w:p>
      <w:pPr>
        <w:spacing w:after="0" w:line="19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expect the product candidates we develop will be regulated as biological products, or biologics, and therefore they may be subject to competition sooner than anticipated.</w:t>
      </w:r>
    </w:p>
    <w:p>
      <w:pPr>
        <w:spacing w:after="0" w:line="57"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050505"/>
        </w:rPr>
        <w:t>The Biologics Price Competition and Innovation Act of 2009 (BPCIA) was enacted as part of the Patient Protection and Affordable Care Act, as amended by the Health Care and Education Reconciliation Act of 2010 (collectively,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74</w:t>
      </w:r>
    </w:p>
    <w:p>
      <w:pPr>
        <w:sectPr>
          <w:pgSz w:w="12240" w:h="15840" w:orient="portrait"/>
          <w:cols w:equalWidth="0" w:num="1">
            <w:col w:w="10240"/>
          </w:cols>
          <w:pgMar w:left="1000" w:top="793" w:right="1000" w:bottom="0" w:gutter="0" w:footer="0" w:header="0"/>
          <w:type w:val="continuous"/>
        </w:sectPr>
      </w:pPr>
    </w:p>
    <w:bookmarkStart w:id="78" w:name="page79"/>
    <w:bookmarkEnd w:id="78"/>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90"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050505"/>
        </w:rPr>
        <w:t>The European Union provides opportunities for data and market exclusivity for innovative medicinal products in relation to which marketing authorization is granted. Upon grant of marketing authorization, innovative medicinal products are generally entitled to benefit from eight years of data exclusivity and 10 years of market exclusivity. Data exclusivity, if granted, prevents regulatory authorities in the European Union from referencing the innovator’s data to assess an application for marketing authorization for a generic or a biosimilar for eight years from the date of authorization of the innovative product, after which an application may be made for authorization of a generic or biosimilar,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97"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Even if we obtain regulatory approval of our product candidates, the products may not gain market acceptance among physicians, patients, hospitals, cancer treatment centers and others in the medical community.</w:t>
      </w:r>
    </w:p>
    <w:p>
      <w:pPr>
        <w:spacing w:after="0" w:line="57" w:lineRule="exact"/>
        <w:rPr>
          <w:sz w:val="20"/>
          <w:szCs w:val="20"/>
          <w:color w:val="auto"/>
        </w:rPr>
      </w:pPr>
    </w:p>
    <w:p>
      <w:pPr>
        <w:ind w:firstLine="720"/>
        <w:spacing w:after="0" w:line="262" w:lineRule="auto"/>
        <w:rPr>
          <w:sz w:val="20"/>
          <w:szCs w:val="20"/>
          <w:color w:val="auto"/>
        </w:rPr>
      </w:pPr>
      <w:r>
        <w:rPr>
          <w:rFonts w:ascii="Times New Roman" w:cs="Times New Roman" w:eastAsia="Times New Roman" w:hAnsi="Times New Roman"/>
          <w:sz w:val="20"/>
          <w:szCs w:val="20"/>
          <w:color w:val="050505"/>
        </w:rPr>
        <w:t>The use of engineered T cells as a potential cancer treatment is a recent development and may not become broadly accepted by physicians, patients, hospitals, cancer treatment centers and others in the medical community. We expect physicians in the large bone marrow transplant centers to be particularly important to the market acceptance of our products and we may not be able to educate them on the benefits of using our product candidates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 Additional factors will influence whether our product candidates are accepted in the market, including:</w:t>
      </w:r>
    </w:p>
    <w:p>
      <w:pPr>
        <w:spacing w:after="0" w:line="100" w:lineRule="exact"/>
        <w:rPr>
          <w:sz w:val="20"/>
          <w:szCs w:val="20"/>
          <w:color w:val="auto"/>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clinical indications for which our product candidates are approved;</w:t>
      </w:r>
    </w:p>
    <w:p>
      <w:pPr>
        <w:spacing w:after="0" w:line="147" w:lineRule="exact"/>
        <w:rPr>
          <w:rFonts w:ascii="Arial" w:cs="Arial" w:eastAsia="Arial" w:hAnsi="Arial"/>
          <w:sz w:val="24"/>
          <w:szCs w:val="24"/>
          <w:b w:val="1"/>
          <w:bCs w:val="1"/>
          <w:color w:val="050505"/>
        </w:rPr>
      </w:pPr>
    </w:p>
    <w:p>
      <w:pPr>
        <w:ind w:left="720" w:right="140" w:hanging="370"/>
        <w:spacing w:after="0" w:line="284" w:lineRule="auto"/>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physicians, hospitals, cancer treatment centers and patients considering our product candidates as a safe and effective treatment;</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potential and perceived advantages of our product candidates over alternative treatments;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prevalence and severity of any side effects;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product labeling or product insert requirements of the FDA or other comparable foreign regulatory authorities;</w:t>
      </w:r>
    </w:p>
    <w:p>
      <w:pPr>
        <w:spacing w:after="0" w:line="147" w:lineRule="exact"/>
        <w:rPr>
          <w:rFonts w:ascii="Arial" w:cs="Arial" w:eastAsia="Arial" w:hAnsi="Arial"/>
          <w:sz w:val="24"/>
          <w:szCs w:val="24"/>
          <w:b w:val="1"/>
          <w:bCs w:val="1"/>
          <w:color w:val="050505"/>
        </w:rPr>
      </w:pPr>
    </w:p>
    <w:p>
      <w:pPr>
        <w:ind w:left="720" w:right="700" w:hanging="370"/>
        <w:spacing w:after="0" w:line="284" w:lineRule="auto"/>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limitations or warnings contained in the labeling approved by the FDA or other comparable foreign regulatory authorities;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timing of market introduction of our product candidates as well as competitive products;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cost of treatment in relation to alternative treatments;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availability of coverage and adequate reimbursement by third-party payors and government authorities;</w:t>
      </w:r>
    </w:p>
    <w:p>
      <w:pPr>
        <w:spacing w:after="0" w:line="147" w:lineRule="exact"/>
        <w:rPr>
          <w:rFonts w:ascii="Arial" w:cs="Arial" w:eastAsia="Arial" w:hAnsi="Arial"/>
          <w:sz w:val="24"/>
          <w:szCs w:val="24"/>
          <w:b w:val="1"/>
          <w:bCs w:val="1"/>
          <w:color w:val="050505"/>
        </w:rPr>
      </w:pPr>
    </w:p>
    <w:p>
      <w:pPr>
        <w:ind w:left="720" w:right="60" w:hanging="370"/>
        <w:spacing w:after="0" w:line="284" w:lineRule="auto"/>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willingness of patients to pay out-of-pocket in the absence of coverage and adequate reimbursement by third-party payors and government authorities;</w:t>
      </w:r>
    </w:p>
    <w:p>
      <w:pPr>
        <w:spacing w:after="0" w:line="97" w:lineRule="exact"/>
        <w:rPr>
          <w:rFonts w:ascii="Arial" w:cs="Arial" w:eastAsia="Arial" w:hAnsi="Arial"/>
          <w:sz w:val="24"/>
          <w:szCs w:val="24"/>
          <w:b w:val="1"/>
          <w:bCs w:val="1"/>
          <w:color w:val="050505"/>
        </w:rPr>
      </w:pPr>
    </w:p>
    <w:p>
      <w:pPr>
        <w:ind w:left="720" w:right="480" w:hanging="370"/>
        <w:spacing w:after="0" w:line="284" w:lineRule="auto"/>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relative convenience and ease of administration, including as compared to alternative treatments and competitive therapies; and</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3"/>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effectiveness of our sales and marketing efforts.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75</w:t>
      </w:r>
    </w:p>
    <w:p>
      <w:pPr>
        <w:sectPr>
          <w:pgSz w:w="12240" w:h="15840" w:orient="portrait"/>
          <w:cols w:equalWidth="0" w:num="1">
            <w:col w:w="10220"/>
          </w:cols>
          <w:pgMar w:left="1000" w:top="793" w:right="1020" w:bottom="0" w:gutter="0" w:footer="0" w:header="0"/>
          <w:type w:val="continuous"/>
        </w:sectPr>
      </w:pPr>
    </w:p>
    <w:bookmarkStart w:id="79" w:name="page80"/>
    <w:bookmarkEnd w:id="79"/>
    <w:p>
      <w:pPr>
        <w:ind w:right="200" w:firstLine="720"/>
        <w:spacing w:after="0" w:line="258" w:lineRule="auto"/>
        <w:rPr>
          <w:sz w:val="20"/>
          <w:szCs w:val="20"/>
          <w:color w:val="auto"/>
        </w:rPr>
      </w:pPr>
      <w:r>
        <w:rPr>
          <w:rFonts w:ascii="Times New Roman" w:cs="Times New Roman" w:eastAsia="Times New Roman" w:hAnsi="Times New Roman"/>
          <w:sz w:val="20"/>
          <w:szCs w:val="20"/>
          <w:color w:val="050505"/>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95"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Coverage and reimbursement may be limited or unavailable in certain market segments for our product candidates, which could make it difficult for us to sell our product candidates, if approved, profitably.</w:t>
      </w:r>
    </w:p>
    <w:p>
      <w:pPr>
        <w:spacing w:after="0" w:line="57" w:lineRule="exact"/>
        <w:rPr>
          <w:sz w:val="20"/>
          <w:szCs w:val="20"/>
          <w:color w:val="auto"/>
        </w:rPr>
      </w:pPr>
    </w:p>
    <w:p>
      <w:pPr>
        <w:ind w:right="40" w:firstLine="720"/>
        <w:spacing w:after="0" w:line="275" w:lineRule="auto"/>
        <w:rPr>
          <w:sz w:val="20"/>
          <w:szCs w:val="20"/>
          <w:color w:val="auto"/>
        </w:rPr>
      </w:pPr>
      <w:r>
        <w:rPr>
          <w:rFonts w:ascii="Times New Roman" w:cs="Times New Roman" w:eastAsia="Times New Roman" w:hAnsi="Times New Roman"/>
          <w:sz w:val="19"/>
          <w:szCs w:val="19"/>
          <w:color w:val="050505"/>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68" w:lineRule="exact"/>
        <w:rPr>
          <w:sz w:val="20"/>
          <w:szCs w:val="20"/>
          <w:color w:val="auto"/>
        </w:rPr>
      </w:pPr>
    </w:p>
    <w:p>
      <w:pPr>
        <w:jc w:val="both"/>
        <w:ind w:right="140" w:firstLine="720"/>
        <w:spacing w:after="0" w:line="266" w:lineRule="auto"/>
        <w:rPr>
          <w:sz w:val="20"/>
          <w:szCs w:val="20"/>
          <w:color w:val="auto"/>
        </w:rPr>
      </w:pPr>
      <w:r>
        <w:rPr>
          <w:rFonts w:ascii="Times New Roman" w:cs="Times New Roman" w:eastAsia="Times New Roman" w:hAnsi="Times New Roman"/>
          <w:sz w:val="20"/>
          <w:szCs w:val="20"/>
          <w:color w:val="050505"/>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75"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5"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The advancement of healthcare reform may negatively impact our ability to sell our product candidates, if approved, profitably.</w:t>
      </w:r>
    </w:p>
    <w:p>
      <w:pPr>
        <w:spacing w:after="0" w:line="57"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Any reduction in reimbursement from Medicare or other government programs may result in a similar reduction in payments from private payors, which may adversely affect our future profitability.</w:t>
      </w:r>
    </w:p>
    <w:p>
      <w:pPr>
        <w:spacing w:after="0" w:line="93"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050505"/>
        </w:rPr>
        <w:t>The current administration is pursuing policies to reduce regulations and expenditures across government including at the U.S. Department of Health and Human Services (HHS), the FDA, the Centers for Medicare &amp; Medicaid Services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Most-Favored-Nation pricing equal to or lower than those paid in other developed nations, with additional mandates for direct-to-patient discounts and repatriation of foreign revenues. Other recent actions include, for example, directing agencies to reduce agency workforce and cut programs; directing HHS and other agencies to lower prescription drug costs through a variety of initiatives; imposing tariffs on imported pharmaceutical products; and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In addition, CMS has proposed the Global Benchmark for Efficient Drug Pricing (GLOBE) Model, a mandatory model that would assess manufacturer rebates for certain drugs payable under Medicare Part B if prices exceed an international benchmark, which, if implemented, could further increase pricing pressure on physician-administered therapies, including certain oncology and autoimmune treatments. If finalized, the proposed rule would apply to 25% of Medicare beneficiaries who reside in certain defined geographic areas. In addition, if implemented, a “Most-Favored-Nation” pricing policy that is determined to apply to us and any of our products that receives regulatory approval based on a reference to the lowest ex-U.S. list price for such products, could significantly reduce the U.S. list price for such products and likewise reduce our annual market opportunity in the United States.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76</w:t>
      </w:r>
    </w:p>
    <w:p>
      <w:pPr>
        <w:sectPr>
          <w:pgSz w:w="12240" w:h="15840" w:orient="portrait"/>
          <w:cols w:equalWidth="0" w:num="1">
            <w:col w:w="10240"/>
          </w:cols>
          <w:pgMar w:left="1000" w:top="793" w:right="1000" w:bottom="0" w:gutter="0" w:footer="0" w:header="0"/>
          <w:type w:val="continuous"/>
        </w:sectPr>
      </w:pPr>
    </w:p>
    <w:bookmarkStart w:id="80" w:name="page81"/>
    <w:bookmarkEnd w:id="80"/>
    <w:p>
      <w:pPr>
        <w:ind w:right="6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Our business could be negatively impacted by environmental, social and corporate governance (ESG) matters or our reporting of such matters.</w:t>
      </w:r>
    </w:p>
    <w:p>
      <w:pPr>
        <w:spacing w:after="0" w:line="57"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050505"/>
        </w:rPr>
        <w:t>There is an increasing focus from certain investors, employees, partners, and other stakeholders concerning ESG matters, and in many cases with conflicting views. While we have had internal efforts directed at ESG matters, we may be perceived by certain stakeholders as not acting responsibly in connection with these matters, which could negatively impact us. The SEC recently adopted rules designed to enhance and standardize climate-related disclosures, which were stayed pending judicial review, and the SEC subsequently voted to cease its defense of the climate-related disclosure rules, effectively halting their implementation. If other climate-related disclosure rules or other ESG rules become effective or become applicable to us, they may significantly increase our compliance and reporting costs and may also result in disclosures that certain investors or other stakeholders deem to negatively impact our reputation and/or that harm our stock price.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Our Intellectual Property</w:t>
      </w:r>
    </w:p>
    <w:p>
      <w:pPr>
        <w:spacing w:after="0" w:line="24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depend on intellectual property licensed from third parties and termination of any of these licenses could result in the loss of significant rights, which would harm our business.</w:t>
      </w:r>
    </w:p>
    <w:p>
      <w:pPr>
        <w:spacing w:after="0" w:line="5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We are dependent on patents, know-how and proprietary technology, both our own and licensed from others. We depend substantially on our license agreements with Pfizer, Servier and Cellectis. These licenses may be terminated upon certain conditions. Any termination of these licenses could result in the loss of significant rights and could harm our ability to commercialize our product candidates. For example, we are dependent on our license with Cellectis for gene-editing technology that is necessary to produce certain of our engineered T cells. In addition, we are reliant on Servier in-licensing from Cellectis some of the intellectual property rights they are licensing to us, including certain intellectual property rights relating to ALLO-501 and cema-cel. To the extent these licensors fail to meet their obligations under their license agreements, which we are not in control of, we may lose the benefits of our license agreements with these licensors. For instance, Cellectis has challenged and may in the future challenge certain performance by Servier, such as its termination of development of products licensed under the Cellectis-Servier Agreement in ALL. There was an arbitration between Cellectis and Servier under which Cellectis sought to terminate the Cellectis-Servier Agreement, which would have automatically terminated our sublicense from Servier. Although the outcome of the arbitration was favorable as it relates to cema-cel, if our license agreement were terminated and we were unable to obtain a new license, we would be required to seek other gene editing technology or abandon our cema-cel or ALLO-316 programs, both of which could materially impact our business and financial position. Further, alternative gene editing technology may not be available to us on reasonable terms, or at all, and advancing other gene editing technology would require significant resources. In the future, we may also enter into additional license agreements that are material to the development of our product candidates.</w:t>
      </w:r>
    </w:p>
    <w:p>
      <w:pPr>
        <w:spacing w:after="0" w:line="95" w:lineRule="exact"/>
        <w:rPr>
          <w:sz w:val="20"/>
          <w:szCs w:val="20"/>
          <w:color w:val="auto"/>
        </w:rPr>
      </w:pPr>
    </w:p>
    <w:p>
      <w:pPr>
        <w:ind w:right="300" w:firstLine="720"/>
        <w:spacing w:after="0" w:line="281" w:lineRule="auto"/>
        <w:rPr>
          <w:sz w:val="20"/>
          <w:szCs w:val="20"/>
          <w:color w:val="auto"/>
        </w:rPr>
      </w:pPr>
      <w:r>
        <w:rPr>
          <w:rFonts w:ascii="Times New Roman" w:cs="Times New Roman" w:eastAsia="Times New Roman" w:hAnsi="Times New Roman"/>
          <w:sz w:val="20"/>
          <w:szCs w:val="20"/>
          <w:color w:val="050505"/>
        </w:rPr>
        <w:t>Disputes may also arise between us and our licensors regarding intellectual property subject to a license agreement, including those related to:</w:t>
      </w:r>
    </w:p>
    <w:p>
      <w:pPr>
        <w:spacing w:after="0" w:line="82" w:lineRule="exact"/>
        <w:rPr>
          <w:sz w:val="20"/>
          <w:szCs w:val="20"/>
          <w:color w:val="auto"/>
        </w:rPr>
      </w:pPr>
    </w:p>
    <w:p>
      <w:pPr>
        <w:ind w:left="720" w:hanging="370"/>
        <w:spacing w:after="0"/>
        <w:tabs>
          <w:tab w:leader="none" w:pos="720" w:val="left"/>
        </w:tabs>
        <w:numPr>
          <w:ilvl w:val="0"/>
          <w:numId w:val="4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scope of rights granted under the license agreement and other interpretation-related issues;</w:t>
      </w:r>
    </w:p>
    <w:p>
      <w:pPr>
        <w:spacing w:after="0" w:line="147" w:lineRule="exact"/>
        <w:rPr>
          <w:rFonts w:ascii="Arial" w:cs="Arial" w:eastAsia="Arial" w:hAnsi="Arial"/>
          <w:sz w:val="24"/>
          <w:szCs w:val="24"/>
          <w:b w:val="1"/>
          <w:bCs w:val="1"/>
          <w:color w:val="050505"/>
        </w:rPr>
      </w:pPr>
    </w:p>
    <w:p>
      <w:pPr>
        <w:ind w:left="720" w:right="20" w:hanging="370"/>
        <w:spacing w:after="0" w:line="284" w:lineRule="auto"/>
        <w:tabs>
          <w:tab w:leader="none" w:pos="720" w:val="left"/>
        </w:tabs>
        <w:numPr>
          <w:ilvl w:val="0"/>
          <w:numId w:val="4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whether and the extent to which our technology and processes may infringe on intellectual property of the licensor that is not subject to the licensing agreement;</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right to sublicense patent and other rights to third parties under collaborative development relationships;</w:t>
      </w:r>
    </w:p>
    <w:p>
      <w:pPr>
        <w:spacing w:after="0" w:line="147" w:lineRule="exact"/>
        <w:rPr>
          <w:rFonts w:ascii="Arial" w:cs="Arial" w:eastAsia="Arial" w:hAnsi="Arial"/>
          <w:sz w:val="24"/>
          <w:szCs w:val="24"/>
          <w:b w:val="1"/>
          <w:bCs w:val="1"/>
          <w:color w:val="050505"/>
        </w:rPr>
      </w:pPr>
    </w:p>
    <w:p>
      <w:pPr>
        <w:ind w:left="720" w:right="740" w:hanging="370"/>
        <w:spacing w:after="0" w:line="284" w:lineRule="auto"/>
        <w:tabs>
          <w:tab w:leader="none" w:pos="720" w:val="left"/>
        </w:tabs>
        <w:numPr>
          <w:ilvl w:val="0"/>
          <w:numId w:val="4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diligence obligations with respect to the use of the licensed technology in relation to our development and commercialization of our product candidates, and what activities satisfy those diligence obligations; and</w:t>
      </w:r>
    </w:p>
    <w:p>
      <w:pPr>
        <w:spacing w:after="0" w:line="97" w:lineRule="exact"/>
        <w:rPr>
          <w:rFonts w:ascii="Arial" w:cs="Arial" w:eastAsia="Arial" w:hAnsi="Arial"/>
          <w:sz w:val="24"/>
          <w:szCs w:val="24"/>
          <w:b w:val="1"/>
          <w:bCs w:val="1"/>
          <w:color w:val="050505"/>
        </w:rPr>
      </w:pPr>
    </w:p>
    <w:p>
      <w:pPr>
        <w:ind w:left="720" w:right="480" w:hanging="370"/>
        <w:spacing w:after="0" w:line="284" w:lineRule="auto"/>
        <w:tabs>
          <w:tab w:leader="none" w:pos="720" w:val="left"/>
        </w:tabs>
        <w:numPr>
          <w:ilvl w:val="0"/>
          <w:numId w:val="44"/>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ownership of inventions and know-how resulting from the joint creation or use of intellectual property by our licensors and us and our partners.</w:t>
      </w:r>
    </w:p>
    <w:p>
      <w:pPr>
        <w:spacing w:after="0" w:line="61"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For example, previously we and Servier had different interpretations regarding the respective parties’ respective rights and obligations under the Original Servier Agreement. In May 2024, we entered into the Servier Amendment which clarified each party's rights and obligations. Additionally, Cellectis and Servier previously had a dispute regarding Servier's withdrawal from UCART19 development, which could have negatively impacted our sublicense from Servier. In December 2025, an arbitration panel ruled substantially in Servier's favor, resulting in our retention of sublicense rights for cema-cel, but the termination of our sublicense rights for ALLO-501, which we had previously discontinued. There can be no assurance that further contract interpretation issues will not arise or that we would be able to amicably resolve such issues. If other issues arise over intellectual property that we have licensed, or license in the future, it could prevent or impair our ability to maintain our current licensing arrangements on acceptable terms, and we may be unable to successfully develop and commercialize the affected product candidates.</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77</w:t>
      </w:r>
    </w:p>
    <w:p>
      <w:pPr>
        <w:sectPr>
          <w:pgSz w:w="12240" w:h="15840" w:orient="portrait"/>
          <w:cols w:equalWidth="0" w:num="1">
            <w:col w:w="10240"/>
          </w:cols>
          <w:pgMar w:left="1000" w:top="784" w:right="1000" w:bottom="0" w:gutter="0" w:footer="0" w:header="0"/>
          <w:type w:val="continuous"/>
        </w:sectPr>
      </w:pPr>
    </w:p>
    <w:bookmarkStart w:id="81" w:name="page82"/>
    <w:bookmarkEnd w:id="81"/>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050505"/>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186"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If our efforts to protect the proprietary nature of the intellectual property related to our technologies are not adequate, we may not be able to compete effectively in our market.</w:t>
      </w:r>
    </w:p>
    <w:p>
      <w:pPr>
        <w:spacing w:after="0" w:line="57" w:lineRule="exact"/>
        <w:rPr>
          <w:sz w:val="20"/>
          <w:szCs w:val="20"/>
          <w:color w:val="auto"/>
        </w:rPr>
      </w:pPr>
    </w:p>
    <w:p>
      <w:pPr>
        <w:ind w:right="520" w:firstLine="720"/>
        <w:spacing w:after="0" w:line="260" w:lineRule="auto"/>
        <w:rPr>
          <w:sz w:val="20"/>
          <w:szCs w:val="20"/>
          <w:color w:val="auto"/>
        </w:rPr>
      </w:pPr>
      <w:r>
        <w:rPr>
          <w:rFonts w:ascii="Times New Roman" w:cs="Times New Roman" w:eastAsia="Times New Roman" w:hAnsi="Times New Roman"/>
          <w:sz w:val="20"/>
          <w:szCs w:val="20"/>
          <w:color w:val="050505"/>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spacing w:after="0" w:line="8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Under the Servier Agreement, we have an exclusive license to develop and commercialize certain anti-CD19 allogeneic CAR T cell product candidates, including cema-cel, and we hold the commercial rights to these product candidates in the United States, the European Union and the United Kingdom. We also have an exclusive worldwide license from Cellectis to its TALEN gene-editing technology for the development of allogeneic T cell product candidates directed against 15 different cancer antigens. The Servier Agreement gives us access to TALEN gene-editing technology for all product candidates under the agreement. Certain intellectual property which is covered by these agreements may have been developed with funding from the U.S. government. If so, our rights in this intellectual property may be subject to certain research and other rights of the government.</w:t>
      </w:r>
    </w:p>
    <w:p>
      <w:pPr>
        <w:spacing w:after="0" w:line="93" w:lineRule="exact"/>
        <w:rPr>
          <w:sz w:val="20"/>
          <w:szCs w:val="20"/>
          <w:color w:val="auto"/>
        </w:rPr>
      </w:pPr>
    </w:p>
    <w:p>
      <w:pPr>
        <w:ind w:right="280" w:firstLine="720"/>
        <w:spacing w:after="0" w:line="281" w:lineRule="auto"/>
        <w:rPr>
          <w:sz w:val="20"/>
          <w:szCs w:val="20"/>
          <w:color w:val="auto"/>
        </w:rPr>
      </w:pPr>
      <w:r>
        <w:rPr>
          <w:rFonts w:ascii="Times New Roman" w:cs="Times New Roman" w:eastAsia="Times New Roman" w:hAnsi="Times New Roman"/>
          <w:sz w:val="20"/>
          <w:szCs w:val="20"/>
          <w:color w:val="050505"/>
        </w:rPr>
        <w:t>Additional patent applications have been filed, and we anticipate additional patent applications will be filed, both in the United States and in other countries, as appropriate. However, we cannot predict:</w:t>
      </w:r>
    </w:p>
    <w:p>
      <w:pPr>
        <w:spacing w:after="0" w:line="82" w:lineRule="exact"/>
        <w:rPr>
          <w:sz w:val="20"/>
          <w:szCs w:val="20"/>
          <w:color w:val="auto"/>
        </w:rPr>
      </w:pPr>
    </w:p>
    <w:p>
      <w:pPr>
        <w:ind w:left="720" w:hanging="370"/>
        <w:spacing w:after="0"/>
        <w:tabs>
          <w:tab w:leader="none" w:pos="720" w:val="left"/>
        </w:tabs>
        <w:numPr>
          <w:ilvl w:val="0"/>
          <w:numId w:val="45"/>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if and when patents will issue;</w:t>
      </w:r>
    </w:p>
    <w:p>
      <w:pPr>
        <w:spacing w:after="0" w:line="147" w:lineRule="exact"/>
        <w:rPr>
          <w:rFonts w:ascii="Arial" w:cs="Arial" w:eastAsia="Arial" w:hAnsi="Arial"/>
          <w:sz w:val="24"/>
          <w:szCs w:val="24"/>
          <w:b w:val="1"/>
          <w:bCs w:val="1"/>
          <w:color w:val="050505"/>
        </w:rPr>
      </w:pPr>
    </w:p>
    <w:p>
      <w:pPr>
        <w:ind w:left="720" w:right="40" w:hanging="370"/>
        <w:spacing w:after="0" w:line="284" w:lineRule="auto"/>
        <w:tabs>
          <w:tab w:leader="none" w:pos="720" w:val="left"/>
        </w:tabs>
        <w:numPr>
          <w:ilvl w:val="0"/>
          <w:numId w:val="45"/>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degree and range of protection any issued patents will afford us against competitors including whether third parties will find ways to invalidate or otherwise circumvent our patents;</w:t>
      </w:r>
    </w:p>
    <w:p>
      <w:pPr>
        <w:spacing w:after="0" w:line="97" w:lineRule="exact"/>
        <w:rPr>
          <w:rFonts w:ascii="Arial" w:cs="Arial" w:eastAsia="Arial" w:hAnsi="Arial"/>
          <w:sz w:val="24"/>
          <w:szCs w:val="24"/>
          <w:b w:val="1"/>
          <w:bCs w:val="1"/>
          <w:color w:val="050505"/>
        </w:rPr>
      </w:pPr>
    </w:p>
    <w:p>
      <w:pPr>
        <w:ind w:left="720" w:right="900" w:hanging="370"/>
        <w:spacing w:after="0" w:line="284" w:lineRule="auto"/>
        <w:tabs>
          <w:tab w:leader="none" w:pos="720" w:val="left"/>
        </w:tabs>
        <w:numPr>
          <w:ilvl w:val="0"/>
          <w:numId w:val="45"/>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whether or not others will obtain patents claiming aspects similar to those covered by our patents and patent applications; or</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5"/>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whether we will need to initiate litigation or administrative proceedings which may be costly whether we win or lose.</w:t>
      </w:r>
    </w:p>
    <w:p>
      <w:pPr>
        <w:spacing w:after="0" w:line="112" w:lineRule="exact"/>
        <w:rPr>
          <w:sz w:val="20"/>
          <w:szCs w:val="20"/>
          <w:color w:val="auto"/>
        </w:rPr>
      </w:pPr>
    </w:p>
    <w:p>
      <w:pPr>
        <w:ind w:firstLine="720"/>
        <w:spacing w:after="0" w:line="268" w:lineRule="auto"/>
        <w:rPr>
          <w:sz w:val="20"/>
          <w:szCs w:val="20"/>
          <w:color w:val="auto"/>
        </w:rPr>
      </w:pPr>
      <w:r>
        <w:rPr>
          <w:rFonts w:ascii="Times New Roman" w:cs="Times New Roman" w:eastAsia="Times New Roman" w:hAnsi="Times New Roman"/>
          <w:sz w:val="19"/>
          <w:szCs w:val="19"/>
          <w:color w:val="050505"/>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compositions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method of use patents, the practice is common and such infringement is difficult to prevent or prosecute.</w:t>
      </w:r>
    </w:p>
    <w:p>
      <w:pPr>
        <w:spacing w:after="0" w:line="8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The strength of patents in the biotechnology and pharmaceutical fields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at any time a claim not entitled to a priority date before March 16, 2013 are subject to the “first to file” system implemented by the America Invents Act (2011).</w:t>
      </w:r>
    </w:p>
    <w:p>
      <w:pPr>
        <w:spacing w:after="0" w:line="99" w:lineRule="exact"/>
        <w:rPr>
          <w:sz w:val="20"/>
          <w:szCs w:val="20"/>
          <w:color w:val="auto"/>
        </w:rPr>
      </w:pPr>
    </w:p>
    <w:p>
      <w:pPr>
        <w:ind w:right="440" w:firstLine="720"/>
        <w:spacing w:after="0" w:line="309" w:lineRule="auto"/>
        <w:rPr>
          <w:sz w:val="20"/>
          <w:szCs w:val="20"/>
          <w:color w:val="auto"/>
        </w:rPr>
      </w:pPr>
      <w:r>
        <w:rPr>
          <w:rFonts w:ascii="Times New Roman" w:cs="Times New Roman" w:eastAsia="Times New Roman" w:hAnsi="Times New Roman"/>
          <w:sz w:val="19"/>
          <w:szCs w:val="19"/>
          <w:color w:val="050505"/>
        </w:rPr>
        <w:t>This first-to-file system will require us to be cognizant of the time from invention to filing of a patent application. Since patent applications in the United States and most other countries are confidential for a period of time after filing, we</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78</w:t>
      </w:r>
    </w:p>
    <w:p>
      <w:pPr>
        <w:sectPr>
          <w:pgSz w:w="12240" w:h="15840" w:orient="portrait"/>
          <w:cols w:equalWidth="0" w:num="1">
            <w:col w:w="10240"/>
          </w:cols>
          <w:pgMar w:left="1000" w:top="793" w:right="1000" w:bottom="0" w:gutter="0" w:footer="0" w:header="0"/>
          <w:type w:val="continuous"/>
        </w:sectPr>
      </w:pPr>
    </w:p>
    <w:bookmarkStart w:id="82" w:name="page83"/>
    <w:bookmarkEnd w:id="82"/>
    <w:p>
      <w:pPr>
        <w:spacing w:after="0" w:line="255" w:lineRule="auto"/>
        <w:rPr>
          <w:sz w:val="20"/>
          <w:szCs w:val="20"/>
          <w:color w:val="auto"/>
        </w:rPr>
      </w:pPr>
      <w:r>
        <w:rPr>
          <w:rFonts w:ascii="Times New Roman" w:cs="Times New Roman" w:eastAsia="Times New Roman" w:hAnsi="Times New Roman"/>
          <w:sz w:val="20"/>
          <w:szCs w:val="20"/>
          <w:color w:val="050505"/>
        </w:rPr>
        <w:t>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spacing w:after="0" w:line="20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Confidentiality agreements with employees and third parties, including any strategic partners, may not prevent unauthorized disclosure or use of trade secrets and other proprietary information.</w:t>
      </w:r>
    </w:p>
    <w:p>
      <w:pPr>
        <w:spacing w:after="0" w:line="5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050505"/>
        </w:rPr>
        <w:t>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inappropriately used,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For example, we have and may continue to transfer technology to Overland Therapeutics or its affiliates in certain developing countries, and we cannot be certain that we or Overland Therapeutics or any of its affiliates will be able to protect or enforce any proprietary rights in these countries.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20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Third-party claims of intellectual property infringement may prevent or delay our product discovery and development efforts and our ability to commercialize our product candidates.</w:t>
      </w:r>
    </w:p>
    <w:p>
      <w:pPr>
        <w:spacing w:after="0" w:line="57"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20"/>
          <w:szCs w:val="20"/>
          <w:color w:val="050505"/>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spacing w:after="0" w:line="88" w:lineRule="exact"/>
        <w:rPr>
          <w:sz w:val="20"/>
          <w:szCs w:val="20"/>
          <w:color w:val="auto"/>
        </w:rPr>
      </w:pPr>
    </w:p>
    <w:p>
      <w:pPr>
        <w:ind w:right="20" w:firstLine="720"/>
        <w:spacing w:after="0" w:line="265" w:lineRule="auto"/>
        <w:rPr>
          <w:sz w:val="20"/>
          <w:szCs w:val="20"/>
          <w:color w:val="auto"/>
        </w:rPr>
      </w:pPr>
      <w:r>
        <w:rPr>
          <w:rFonts w:ascii="Times New Roman" w:cs="Times New Roman" w:eastAsia="Times New Roman" w:hAnsi="Times New Roman"/>
          <w:sz w:val="19"/>
          <w:szCs w:val="19"/>
          <w:color w:val="050505"/>
        </w:rPr>
        <w:t>Third parties may assert that we or our collaboration partners infringe their patents or are otherwise employing their proprietary technology without authorization and may sue us and/or our collaboration partners. These risks are illustrated by two recent lawsuits. In July 2024 Roche Molecular Systems, Inc. and Roche Sequencing Solutions, Inc. (collectively, the Roche Parties) filed lawsuits in Federal District Courts in California and Delaware against Foresight Diagnostics Inc. (Foresight Diagnostics), who is our collaboration partner, as well as Stanford University and three of Foresight’s founders, alleging misappropriation of trade secrets, unfair competition and breach of contract relating to Foresight Diagnostics’ PhasED-Seq Circulating Tumor DNA Platform which is being used as part of our ALPHA3 clinical trial to identify MRD+ patients. Although Foresight announced on August 29, 2025 that it had entered into a limited licensing agreement with the Roche Parties related to Foresight’s patented PhasED-Seq™ technology, and that the agreement closes the litigation between the parties, with all claims against Foresight, its founders, and Stanford University dismissed with prejudice, if such settlement had not been entered into we may have been required to seek alternative means for gaining access to the PhasED-Seq MRD assay or find an alternative MRD assay to use in the ALPHA3 trial, either of which may not have been available to us on commercially reasonable terms or at all, and/or could have significantly delayed or prevented the completion of the trial or our plans to commercialize cema-cel as part of a 1L consolidation strategy, if approved, which could have materially adversely affected our business, operating results and financial condition. Additionally, on September 26, 2025, Factor Bioscience Inc. (Factor) filed a complaint in the United States District Court for the District of Delaware against Cellectis S.A., and its affiliate Cellectis, Inc., alleging that Cellectis’s TALEN-based gene-editing technology infringed three of Factor’s U.S. patents relating to gene-editing techniques (Factor Litigation). Among other things, Factor alleges that Cellectis copied Factor’s patented mRNA TALEN technology, passed off as Cellectis’s own and entered into license agreements with several licensors, including us, to capitalize on such infringement. Factor’s complaint also names AstraZeneca PLC and certain of its affiliates (collectively, AstraZeneca) as defendants, and alleges direct infringement by AstraZeneca of certain of Factor’s patents by using Cellectis’s allegedly infringing TALEN technology. Cellectis notified us of the patent infringement action on October 6, 2025, and informed us that</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79</w:t>
      </w:r>
    </w:p>
    <w:p>
      <w:pPr>
        <w:sectPr>
          <w:pgSz w:w="12240" w:h="15840" w:orient="portrait"/>
          <w:cols w:equalWidth="0" w:num="1">
            <w:col w:w="10240"/>
          </w:cols>
          <w:pgMar w:left="1000" w:top="793" w:right="1000" w:bottom="0" w:gutter="0" w:footer="0" w:header="0"/>
          <w:type w:val="continuous"/>
        </w:sectPr>
      </w:pPr>
    </w:p>
    <w:bookmarkStart w:id="83" w:name="page84"/>
    <w:bookmarkEnd w:id="83"/>
    <w:p>
      <w:pPr>
        <w:spacing w:after="0" w:line="255" w:lineRule="auto"/>
        <w:rPr>
          <w:sz w:val="20"/>
          <w:szCs w:val="20"/>
          <w:color w:val="auto"/>
        </w:rPr>
      </w:pPr>
      <w:r>
        <w:rPr>
          <w:rFonts w:ascii="Times New Roman" w:cs="Times New Roman" w:eastAsia="Times New Roman" w:hAnsi="Times New Roman"/>
          <w:sz w:val="20"/>
          <w:szCs w:val="20"/>
          <w:color w:val="050505"/>
        </w:rPr>
        <w:t>it disputes Factor’s claims and intends to vigorously defend against them. Although we are not a party to this litigation, we rely on the TALEN gene-editing technology licensed from Cellectis to engineer certain of our allogeneic CAR T cell product candidates, including cema-cel and ALLO-316. Factor may also choose to assert direct claims against us as a commercial user of the disputed technology. If Factor prevails on its claims against the Cellectis TALEN technology, we may be required to seek a license from Factor, which may not be available to us on commercially reasonable terms or at all, and/or could significantly delay or prevent our plans to commercialize our TALEN-based product candidates, including cema-cel and ALLO-316, if approved, which could materially adversely affect our business, operating results and financial condition.</w:t>
      </w:r>
    </w:p>
    <w:p>
      <w:pPr>
        <w:spacing w:after="0" w:line="9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050505"/>
        </w:rPr>
        <w:t>In addition, we are aware of several U.S. patents held by third parties that may be considered by those third parties to be relevant to cell-based therapies. Generally, conducting clinical trials and other development activities in the United States is not considered an act of infringement. If and when any of our product candidates is approved by the FDA, third parties may then seek to enforce their patents by filing a patent infringement lawsuit against us or our collaboration partners. Patents issued in the United States by law enjoy a presumption of validity that can be rebutted only with evidence that is “clear and convincing,” a heightened standard of proof. We may not be able to prove in litigation that any patent enforced against us or one of our collaboration partners is invalid.</w:t>
      </w:r>
    </w:p>
    <w:p>
      <w:pPr>
        <w:spacing w:after="0" w:line="90"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050505"/>
        </w:rPr>
        <w:t>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alleged to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spacing w:after="0" w:line="9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Parties, such as Factor, who may make claims against us or our collaboration partners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any of our alleged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02"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may not be successful in obtaining or maintaining necessary rights to product components and processes for our development pipeline through acquisitions and in-licenses.</w:t>
      </w:r>
    </w:p>
    <w:p>
      <w:pPr>
        <w:spacing w:after="0" w:line="57" w:lineRule="exact"/>
        <w:rPr>
          <w:sz w:val="20"/>
          <w:szCs w:val="20"/>
          <w:color w:val="auto"/>
        </w:rPr>
      </w:pPr>
    </w:p>
    <w:p>
      <w:pPr>
        <w:ind w:right="140" w:firstLine="720"/>
        <w:spacing w:after="0" w:line="260" w:lineRule="auto"/>
        <w:rPr>
          <w:sz w:val="20"/>
          <w:szCs w:val="20"/>
          <w:color w:val="auto"/>
        </w:rPr>
      </w:pPr>
      <w:r>
        <w:rPr>
          <w:rFonts w:ascii="Times New Roman" w:cs="Times New Roman" w:eastAsia="Times New Roman" w:hAnsi="Times New Roman"/>
          <w:sz w:val="20"/>
          <w:szCs w:val="20"/>
          <w:color w:val="050505"/>
        </w:rPr>
        <w:t>Presently we have rights to the intellectual property through licenses from third parties and under patent applications that we own or will own, that we believe will facilitate the development of our product candidates. Because our programs may involve additional product technology that may require the use of proprietary rights held by third parties, the growth of our business will likely depend in part on our ability to acquire, in-license or use these proprietary rights.</w:t>
      </w:r>
    </w:p>
    <w:p>
      <w:pPr>
        <w:spacing w:after="0" w:line="83"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We may be unable to acquire or in-license any compositions, methods of use, processes or other third-party intellectual property rights from third parties that we identify, such as the intellectual property that is the subject of the Factor Litigation. We may fail to acquire such rights or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80</w:t>
      </w:r>
    </w:p>
    <w:p>
      <w:pPr>
        <w:sectPr>
          <w:pgSz w:w="12240" w:h="15840" w:orient="portrait"/>
          <w:cols w:equalWidth="0" w:num="1">
            <w:col w:w="10240"/>
          </w:cols>
          <w:pgMar w:left="1000" w:top="793" w:right="1000" w:bottom="0" w:gutter="0" w:footer="0" w:header="0"/>
          <w:type w:val="continuous"/>
        </w:sectPr>
      </w:pPr>
    </w:p>
    <w:bookmarkStart w:id="84" w:name="page85"/>
    <w:bookmarkEnd w:id="84"/>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195"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may be involved in lawsuits to protect or enforce our patents or the patents of our licensors, which could be expensive, time-consuming and unsuccessful.</w:t>
      </w:r>
    </w:p>
    <w:p>
      <w:pPr>
        <w:spacing w:after="0" w:line="57"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050505"/>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9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93"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050505"/>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84"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050505"/>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The lives of our patents may not be sufficient to effectively protect our products and business.</w:t>
      </w:r>
    </w:p>
    <w:p>
      <w:pPr>
        <w:spacing w:after="0" w:line="139"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We or our licensors may be subject to claims challenging the inventorship of our patents and other intellectual property.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81</w:t>
      </w:r>
    </w:p>
    <w:p>
      <w:pPr>
        <w:sectPr>
          <w:pgSz w:w="12240" w:h="15840" w:orient="portrait"/>
          <w:cols w:equalWidth="0" w:num="1">
            <w:col w:w="10240"/>
          </w:cols>
          <w:pgMar w:left="1000" w:top="793" w:right="1000" w:bottom="0" w:gutter="0" w:footer="0" w:header="0"/>
          <w:type w:val="continuous"/>
        </w:sectPr>
      </w:pPr>
    </w:p>
    <w:bookmarkStart w:id="85" w:name="page86"/>
    <w:bookmarkEnd w:id="85"/>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We or our licensors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or our licensors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or our licensors are successful in defending against such claims, litigation could result in substantial costs and be a distraction to management and other employees.</w:t>
      </w:r>
    </w:p>
    <w:p>
      <w:pPr>
        <w:spacing w:after="0" w:line="20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Issued patents covering our product candidates could be found unpatentable, invalid or unenforceable if challenged in court or the USPTO.</w:t>
      </w:r>
    </w:p>
    <w:p>
      <w:pPr>
        <w:spacing w:after="0" w:line="5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spacing w:after="0" w:line="199"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Changes in U.S. patent law could diminish the value of patents in general, thereby impairing our ability to protect our products.</w:t>
      </w:r>
    </w:p>
    <w:p>
      <w:pPr>
        <w:spacing w:after="0" w:line="57"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050505"/>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20"/>
          <w:szCs w:val="20"/>
          <w:b w:val="1"/>
          <w:bCs w:val="1"/>
          <w:i w:val="1"/>
          <w:iCs w:val="1"/>
          <w:color w:val="050505"/>
        </w:rPr>
        <w:t>Assoc. for Molecular Pathology v. Myriad Genetics, Inc.</w:t>
      </w:r>
      <w:r>
        <w:rPr>
          <w:rFonts w:ascii="Times New Roman" w:cs="Times New Roman" w:eastAsia="Times New Roman" w:hAnsi="Times New Roman"/>
          <w:sz w:val="20"/>
          <w:szCs w:val="20"/>
          <w:color w:val="050505"/>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We may not be able to protect our intellectual property rights throughout the world.</w:t>
      </w:r>
    </w:p>
    <w:p>
      <w:pPr>
        <w:spacing w:after="0" w:line="139" w:lineRule="exact"/>
        <w:rPr>
          <w:sz w:val="20"/>
          <w:szCs w:val="20"/>
          <w:color w:val="auto"/>
        </w:rPr>
      </w:pPr>
    </w:p>
    <w:p>
      <w:pPr>
        <w:ind w:right="160" w:firstLine="720"/>
        <w:spacing w:after="0" w:line="268" w:lineRule="auto"/>
        <w:rPr>
          <w:sz w:val="20"/>
          <w:szCs w:val="20"/>
          <w:color w:val="auto"/>
        </w:rPr>
      </w:pPr>
      <w:r>
        <w:rPr>
          <w:rFonts w:ascii="Times New Roman" w:cs="Times New Roman" w:eastAsia="Times New Roman" w:hAnsi="Times New Roman"/>
          <w:sz w:val="19"/>
          <w:szCs w:val="19"/>
          <w:color w:val="050505"/>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0" w:lineRule="exact"/>
        <w:rPr>
          <w:sz w:val="20"/>
          <w:szCs w:val="20"/>
          <w:color w:val="auto"/>
        </w:rPr>
      </w:pPr>
    </w:p>
    <w:p>
      <w:pPr>
        <w:ind w:right="40" w:firstLine="720"/>
        <w:spacing w:after="0" w:line="272" w:lineRule="auto"/>
        <w:rPr>
          <w:sz w:val="20"/>
          <w:szCs w:val="20"/>
          <w:color w:val="auto"/>
        </w:rPr>
      </w:pPr>
      <w:r>
        <w:rPr>
          <w:rFonts w:ascii="Times New Roman" w:cs="Times New Roman" w:eastAsia="Times New Roman" w:hAnsi="Times New Roman"/>
          <w:sz w:val="19"/>
          <w:szCs w:val="19"/>
          <w:color w:val="050505"/>
        </w:rPr>
        <w:t>Many companies have encountered significant problems in protecting and defending intellectual property rights in foreign jurisdictions. The legal systems of certain countries, particularly certain developing countries where Overland Therapeutics or its affiliates may do business, do not favor the enforcement of patents, trade secrets and other intellectual property protection, particularly those relating to biopharmaceutical products, which could make it difficult for us or Overland Therapeutics or any of its affiliates to stop the infringement of our patents or marketing of competing products in violation of our proprietary rights generally. Proceedings to enforce our patent rights in foreign jurisdictions could result in substantial costs</w:t>
      </w:r>
    </w:p>
    <w:p>
      <w:pPr>
        <w:sectPr>
          <w:pgSz w:w="12240" w:h="15840" w:orient="portrait"/>
          <w:cols w:equalWidth="0" w:num="1">
            <w:col w:w="10240"/>
          </w:cols>
          <w:pgMar w:left="1000" w:top="793" w:right="100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82</w:t>
      </w:r>
    </w:p>
    <w:p>
      <w:pPr>
        <w:sectPr>
          <w:pgSz w:w="12240" w:h="15840" w:orient="portrait"/>
          <w:cols w:equalWidth="0" w:num="1">
            <w:col w:w="10240"/>
          </w:cols>
          <w:pgMar w:left="1000" w:top="793" w:right="1000" w:bottom="0" w:gutter="0" w:footer="0" w:header="0"/>
          <w:type w:val="continuous"/>
        </w:sectPr>
      </w:pPr>
    </w:p>
    <w:bookmarkStart w:id="86" w:name="page87"/>
    <w:bookmarkEnd w:id="86"/>
    <w:p>
      <w:pPr>
        <w:spacing w:after="0" w:line="258" w:lineRule="auto"/>
        <w:rPr>
          <w:sz w:val="20"/>
          <w:szCs w:val="20"/>
          <w:color w:val="auto"/>
        </w:rPr>
      </w:pPr>
      <w:r>
        <w:rPr>
          <w:rFonts w:ascii="Times New Roman" w:cs="Times New Roman" w:eastAsia="Times New Roman" w:hAnsi="Times New Roman"/>
          <w:sz w:val="20"/>
          <w:szCs w:val="20"/>
          <w:color w:val="050505"/>
        </w:rPr>
        <w:t>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We may be subject to claims that our employees, consultants or independent contractors have wrongfully used or disclosed confidential information of third parties.</w:t>
      </w:r>
    </w:p>
    <w:p>
      <w:pPr>
        <w:spacing w:after="0" w:line="57"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Risks Related to Ownership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The price of our stock has been and may continue to be volatile, and you could lose all or part of your investment.</w:t>
      </w:r>
    </w:p>
    <w:p>
      <w:pPr>
        <w:spacing w:after="0" w:line="139" w:lineRule="exact"/>
        <w:rPr>
          <w:sz w:val="20"/>
          <w:szCs w:val="20"/>
          <w:color w:val="auto"/>
        </w:rPr>
      </w:pPr>
    </w:p>
    <w:p>
      <w:pPr>
        <w:ind w:right="180" w:firstLine="720"/>
        <w:spacing w:after="0" w:line="286" w:lineRule="auto"/>
        <w:rPr>
          <w:sz w:val="20"/>
          <w:szCs w:val="20"/>
          <w:color w:val="auto"/>
        </w:rPr>
      </w:pPr>
      <w:r>
        <w:rPr>
          <w:rFonts w:ascii="Times New Roman" w:cs="Times New Roman" w:eastAsia="Times New Roman" w:hAnsi="Times New Roman"/>
          <w:sz w:val="19"/>
          <w:szCs w:val="19"/>
          <w:color w:val="050505"/>
        </w:rPr>
        <w:t>The trading price of our common stock following our IPO in October 2018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95" w:lineRule="exact"/>
        <w:rPr>
          <w:sz w:val="20"/>
          <w:szCs w:val="20"/>
          <w:color w:val="auto"/>
        </w:rPr>
      </w:pPr>
    </w:p>
    <w:p>
      <w:pPr>
        <w:ind w:left="720" w:right="60" w:hanging="370"/>
        <w:spacing w:after="0" w:line="284" w:lineRule="auto"/>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commencement, enrollment or results of our clinical trials of our product candidates or any future clinical trials we may conduct, or changes in the development status of our product candidates;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decision to initiate a clinical trial, not to initiate a clinical trial or to terminate an existing clinical trial;</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adverse results or delays in clinical trials;</w:t>
      </w:r>
    </w:p>
    <w:p>
      <w:pPr>
        <w:spacing w:after="0" w:line="147" w:lineRule="exact"/>
        <w:rPr>
          <w:rFonts w:ascii="Arial" w:cs="Arial" w:eastAsia="Arial" w:hAnsi="Arial"/>
          <w:sz w:val="24"/>
          <w:szCs w:val="24"/>
          <w:b w:val="1"/>
          <w:bCs w:val="1"/>
          <w:color w:val="050505"/>
        </w:rPr>
      </w:pPr>
    </w:p>
    <w:p>
      <w:pPr>
        <w:ind w:left="720" w:right="200" w:hanging="370"/>
        <w:spacing w:after="0" w:line="287" w:lineRule="auto"/>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8"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failure to commercialize our product candidates;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adverse regulatory decisions;</w:t>
      </w:r>
    </w:p>
    <w:p>
      <w:pPr>
        <w:spacing w:after="0" w:line="147" w:lineRule="exact"/>
        <w:rPr>
          <w:rFonts w:ascii="Arial" w:cs="Arial" w:eastAsia="Arial" w:hAnsi="Arial"/>
          <w:sz w:val="24"/>
          <w:szCs w:val="24"/>
          <w:b w:val="1"/>
          <w:bCs w:val="1"/>
          <w:color w:val="050505"/>
        </w:rPr>
      </w:pPr>
    </w:p>
    <w:p>
      <w:pPr>
        <w:ind w:left="720" w:right="300" w:hanging="370"/>
        <w:spacing w:after="0" w:line="284" w:lineRule="auto"/>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laws or regulations applicable to our products, including but not limited to clinical trial requirements for approvals;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adverse developments concerning the manufacture or supply of our product candidates;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inability to obtain adequate product supply for any approved product or inability to do so at acceptable prices;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inability to establish collaborations if needed;</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additions or departures of key scientific or management personnel;</w:t>
      </w:r>
    </w:p>
    <w:p>
      <w:pPr>
        <w:spacing w:after="0" w:line="147" w:lineRule="exact"/>
        <w:rPr>
          <w:rFonts w:ascii="Arial" w:cs="Arial" w:eastAsia="Arial" w:hAnsi="Arial"/>
          <w:sz w:val="24"/>
          <w:szCs w:val="24"/>
          <w:b w:val="1"/>
          <w:bCs w:val="1"/>
          <w:color w:val="050505"/>
        </w:rPr>
      </w:pPr>
    </w:p>
    <w:p>
      <w:pPr>
        <w:ind w:left="720" w:right="300" w:hanging="370"/>
        <w:spacing w:after="0" w:line="284" w:lineRule="auto"/>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unanticipated serious safety concerns related to immuno-oncology or related to the use of our product candidates or pre-conditioning regimen;</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introduction of new products or services offered by us or our competitors;</w:t>
      </w:r>
    </w:p>
    <w:p>
      <w:pPr>
        <w:spacing w:after="0" w:line="147" w:lineRule="exact"/>
        <w:rPr>
          <w:rFonts w:ascii="Arial" w:cs="Arial" w:eastAsia="Arial" w:hAnsi="Arial"/>
          <w:sz w:val="24"/>
          <w:szCs w:val="24"/>
          <w:b w:val="1"/>
          <w:bCs w:val="1"/>
          <w:color w:val="050505"/>
        </w:rPr>
      </w:pPr>
    </w:p>
    <w:p>
      <w:pPr>
        <w:ind w:left="720" w:right="580" w:hanging="370"/>
        <w:spacing w:after="0" w:line="284" w:lineRule="auto"/>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the status of one or more of our license or collaboration agreements, including any material disputes, amendments or terminations;</w:t>
      </w:r>
    </w:p>
    <w:p>
      <w:pPr>
        <w:spacing w:after="0" w:line="97" w:lineRule="exact"/>
        <w:rPr>
          <w:rFonts w:ascii="Arial" w:cs="Arial" w:eastAsia="Arial" w:hAnsi="Arial"/>
          <w:sz w:val="24"/>
          <w:szCs w:val="24"/>
          <w:b w:val="1"/>
          <w:bCs w:val="1"/>
          <w:color w:val="050505"/>
        </w:rPr>
      </w:pPr>
    </w:p>
    <w:p>
      <w:pPr>
        <w:ind w:left="720" w:right="220" w:hanging="370"/>
        <w:spacing w:after="0" w:line="284" w:lineRule="auto"/>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announcements of significant acquisitions, strategic partnerships, joint ventures or capital commitments by us or our competitors;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6"/>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ability to effectively manage our growth;</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83</w:t>
      </w:r>
    </w:p>
    <w:p>
      <w:pPr>
        <w:sectPr>
          <w:pgSz w:w="12240" w:h="15840" w:orient="portrait"/>
          <w:cols w:equalWidth="0" w:num="1">
            <w:col w:w="10240"/>
          </w:cols>
          <w:pgMar w:left="1000" w:top="793" w:right="1000" w:bottom="0" w:gutter="0" w:footer="0" w:header="0"/>
          <w:type w:val="continuous"/>
        </w:sectPr>
      </w:pPr>
    </w:p>
    <w:bookmarkStart w:id="87" w:name="page88"/>
    <w:bookmarkEnd w:id="87"/>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size and growth of our initial cancer or autoimmune diseases target markets;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ability to successfully treat additional types of cancers or at different stages, or to treat autoimmune diseases;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actual or anticipated variations in quarterly operating results;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cash position;</w:t>
      </w:r>
    </w:p>
    <w:p>
      <w:pPr>
        <w:spacing w:after="0" w:line="147" w:lineRule="exact"/>
        <w:rPr>
          <w:rFonts w:ascii="Arial" w:cs="Arial" w:eastAsia="Arial" w:hAnsi="Arial"/>
          <w:sz w:val="24"/>
          <w:szCs w:val="24"/>
          <w:b w:val="1"/>
          <w:bCs w:val="1"/>
          <w:color w:val="050505"/>
        </w:rPr>
      </w:pPr>
    </w:p>
    <w:p>
      <w:pPr>
        <w:ind w:left="720" w:right="60" w:hanging="370"/>
        <w:spacing w:after="0" w:line="284" w:lineRule="auto"/>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our failure to meet the estimates and projections of the investment community or that we may otherwise provide to the public;</w:t>
      </w:r>
    </w:p>
    <w:p>
      <w:pPr>
        <w:spacing w:after="0" w:line="97" w:lineRule="exact"/>
        <w:rPr>
          <w:rFonts w:ascii="Arial" w:cs="Arial" w:eastAsia="Arial" w:hAnsi="Arial"/>
          <w:sz w:val="24"/>
          <w:szCs w:val="24"/>
          <w:b w:val="1"/>
          <w:bCs w:val="1"/>
          <w:color w:val="050505"/>
        </w:rPr>
      </w:pPr>
    </w:p>
    <w:p>
      <w:pPr>
        <w:ind w:left="720" w:right="640" w:hanging="370"/>
        <w:spacing w:after="0" w:line="284" w:lineRule="auto"/>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publication of research reports about us or our industry, or immunotherapy in particular, or positive or negative recommendations or withdrawal of research coverage by securities analysts;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the market valuations of similar companies;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overall performance of the equity markets;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sales of our common stock by us or our stockholders in the future;</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trading volume of our common stock;</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accounting practices;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ineffectiveness of our disclosure controls or internal controls;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disagreements with our auditor or termination of an auditor engagement;</w:t>
      </w:r>
    </w:p>
    <w:p>
      <w:pPr>
        <w:spacing w:after="0" w:line="147" w:lineRule="exact"/>
        <w:rPr>
          <w:rFonts w:ascii="Arial" w:cs="Arial" w:eastAsia="Arial" w:hAnsi="Arial"/>
          <w:sz w:val="24"/>
          <w:szCs w:val="24"/>
          <w:b w:val="1"/>
          <w:bCs w:val="1"/>
          <w:color w:val="050505"/>
        </w:rPr>
      </w:pPr>
    </w:p>
    <w:p>
      <w:pPr>
        <w:ind w:left="720" w:right="380" w:hanging="370"/>
        <w:spacing w:after="0" w:line="284" w:lineRule="auto"/>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disputes or other developments relating to proprietary rights, including patents, litigation matters and our ability to obtain patent protection for our technologies;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changes in the structure of healthcare payment systems;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significant lawsuits, including patent or stockholder litigation;</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significant business disruptions caused by health epidemics or pandemics, or natural or man-made disasters;</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general political and economic conditions; and</w:t>
      </w:r>
    </w:p>
    <w:p>
      <w:pPr>
        <w:spacing w:after="0" w:line="132"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7"/>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other events or factors, many of which are beyond our control.</w:t>
      </w:r>
    </w:p>
    <w:p>
      <w:pPr>
        <w:spacing w:after="0" w:line="112"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200" w:lineRule="exact"/>
        <w:rPr>
          <w:sz w:val="20"/>
          <w:szCs w:val="20"/>
          <w:color w:val="auto"/>
        </w:rPr>
      </w:pPr>
    </w:p>
    <w:p>
      <w:pPr>
        <w:ind w:right="580"/>
        <w:spacing w:after="0" w:line="264" w:lineRule="auto"/>
        <w:rPr>
          <w:sz w:val="20"/>
          <w:szCs w:val="20"/>
          <w:color w:val="auto"/>
        </w:rPr>
      </w:pPr>
      <w:r>
        <w:rPr>
          <w:rFonts w:ascii="Times New Roman" w:cs="Times New Roman" w:eastAsia="Times New Roman" w:hAnsi="Times New Roman"/>
          <w:sz w:val="20"/>
          <w:szCs w:val="20"/>
          <w:b w:val="1"/>
          <w:bCs w:val="1"/>
          <w:i w:val="1"/>
          <w:iCs w:val="1"/>
          <w:color w:val="050505"/>
        </w:rPr>
        <w:t>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common stock to decline</w:t>
      </w:r>
      <w:r>
        <w:rPr>
          <w:rFonts w:ascii="Times New Roman" w:cs="Times New Roman" w:eastAsia="Times New Roman" w:hAnsi="Times New Roman"/>
          <w:sz w:val="20"/>
          <w:szCs w:val="20"/>
          <w:color w:val="050505"/>
        </w:rPr>
        <w:t>.</w:t>
      </w:r>
    </w:p>
    <w:p>
      <w:pPr>
        <w:spacing w:after="0" w:line="77" w:lineRule="exact"/>
        <w:rPr>
          <w:sz w:val="20"/>
          <w:szCs w:val="20"/>
          <w:color w:val="auto"/>
        </w:rPr>
      </w:pPr>
    </w:p>
    <w:p>
      <w:pPr>
        <w:ind w:right="40" w:firstLine="720"/>
        <w:spacing w:after="0" w:line="269" w:lineRule="auto"/>
        <w:rPr>
          <w:sz w:val="20"/>
          <w:szCs w:val="20"/>
          <w:color w:val="auto"/>
        </w:rPr>
      </w:pPr>
      <w:r>
        <w:rPr>
          <w:rFonts w:ascii="Times New Roman" w:cs="Times New Roman" w:eastAsia="Times New Roman" w:hAnsi="Times New Roman"/>
          <w:sz w:val="19"/>
          <w:szCs w:val="19"/>
          <w:color w:val="050505"/>
        </w:rPr>
        <w:t>Maintaining effective disclosure controls and procedures and internal control over financial reporting are necessary for us to produce reliable financial statements. We are required, pursuant to Section 404 (Section 404) of the Sarbanes-Oxley Act of 2002 (Sarbanes-Oxley Act), to furnish a report by management on, among other things, the effectiveness of our internal control over financial reporting. Complying with Section 404 requires a rigorous compliance program as well as adequate time and resources. We may not be able to complete our internal control evaluation, testing and any required remediation in a timely fashion. Additionally, if we or our auditors identify one or more material weaknesses in our internal control over financial reporting, we will not be able to assert that our internal controls are effective.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ectPr>
          <w:pgSz w:w="12240" w:h="15840" w:orient="portrait"/>
          <w:cols w:equalWidth="0" w:num="1">
            <w:col w:w="10240"/>
          </w:cols>
          <w:pgMar w:left="1000" w:top="81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84</w:t>
      </w:r>
    </w:p>
    <w:p>
      <w:pPr>
        <w:sectPr>
          <w:pgSz w:w="12240" w:h="15840" w:orient="portrait"/>
          <w:cols w:equalWidth="0" w:num="1">
            <w:col w:w="10240"/>
          </w:cols>
          <w:pgMar w:left="1000" w:top="813" w:right="1000" w:bottom="0" w:gutter="0" w:footer="0" w:header="0"/>
          <w:type w:val="continuous"/>
        </w:sectPr>
      </w:pPr>
    </w:p>
    <w:bookmarkStart w:id="88" w:name="page89"/>
    <w:bookmarkEnd w:id="88"/>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In 2021, we implemented a new enterprise resource planning (ERP) system, which required the investment of significant financial and human resources. We plan to continue to implement new ERP modules, which we also expect will require significant resources. Any failure to maintain or implement new or improved internal controls related to our ERP system or otherwise could result in material weaknesses, result in material misstatements in our consolidated financial statements and cause us to fail to meet our reporting obligations. This could cause us to lose public confidence and could cause the trading price of our common stock to decline.</w:t>
      </w:r>
    </w:p>
    <w:p>
      <w:pPr>
        <w:spacing w:after="0" w:line="8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9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0"/>
          <w:szCs w:val="20"/>
          <w:b w:val="1"/>
          <w:bCs w:val="1"/>
          <w:i w:val="1"/>
          <w:iCs w:val="1"/>
          <w:color w:val="050505"/>
        </w:rPr>
        <w:t>In the past, we have identified a material weakness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81"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050505"/>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0" w:lineRule="exact"/>
        <w:rPr>
          <w:sz w:val="20"/>
          <w:szCs w:val="20"/>
          <w:color w:val="auto"/>
        </w:rPr>
      </w:pPr>
    </w:p>
    <w:p>
      <w:pPr>
        <w:ind w:right="620" w:firstLine="720"/>
        <w:spacing w:after="0" w:line="281" w:lineRule="auto"/>
        <w:rPr>
          <w:sz w:val="20"/>
          <w:szCs w:val="20"/>
          <w:color w:val="auto"/>
        </w:rPr>
      </w:pPr>
      <w:r>
        <w:rPr>
          <w:rFonts w:ascii="Times New Roman" w:cs="Times New Roman" w:eastAsia="Times New Roman" w:hAnsi="Times New Roman"/>
          <w:sz w:val="20"/>
          <w:szCs w:val="20"/>
          <w:color w:val="050505"/>
        </w:rPr>
        <w:t>In the past, we have identified material weaknesses in our internal control over financial reporting. All material weaknesses previously identified were fully remediated in the fourth quarter of 2024.</w:t>
      </w:r>
    </w:p>
    <w:p>
      <w:pPr>
        <w:spacing w:after="0" w:line="6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We do not intend to pay dividends on our common stock so any returns will be limited to the value of our stock.</w:t>
      </w:r>
    </w:p>
    <w:p>
      <w:pPr>
        <w:spacing w:after="0" w:line="139"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We currently anticipate that we will retain any future cash flow or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050505"/>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76"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050505"/>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11" w:lineRule="exact"/>
        <w:rPr>
          <w:sz w:val="20"/>
          <w:szCs w:val="20"/>
          <w:color w:val="auto"/>
        </w:rPr>
      </w:pPr>
    </w:p>
    <w:p>
      <w:pPr>
        <w:ind w:left="720" w:right="420" w:hanging="370"/>
        <w:spacing w:after="0" w:line="284" w:lineRule="auto"/>
        <w:tabs>
          <w:tab w:leader="none" w:pos="720" w:val="left"/>
        </w:tabs>
        <w:numPr>
          <w:ilvl w:val="0"/>
          <w:numId w:val="4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board of directors divided into three classes serving staggered three-year terms, such that not all members of the board will be elected at one time;</w:t>
      </w:r>
    </w:p>
    <w:p>
      <w:pPr>
        <w:spacing w:after="0" w:line="97" w:lineRule="exact"/>
        <w:rPr>
          <w:rFonts w:ascii="Arial" w:cs="Arial" w:eastAsia="Arial" w:hAnsi="Arial"/>
          <w:sz w:val="24"/>
          <w:szCs w:val="24"/>
          <w:b w:val="1"/>
          <w:bCs w:val="1"/>
          <w:color w:val="050505"/>
        </w:rPr>
      </w:pPr>
    </w:p>
    <w:p>
      <w:pPr>
        <w:ind w:left="720" w:right="240" w:hanging="370"/>
        <w:spacing w:after="0" w:line="284" w:lineRule="auto"/>
        <w:tabs>
          <w:tab w:leader="none" w:pos="720" w:val="left"/>
        </w:tabs>
        <w:numPr>
          <w:ilvl w:val="0"/>
          <w:numId w:val="48"/>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prohibition on stockholder action through written consent, which requires that all stockholder actions be taken at a meeting of our stockholders;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85</w:t>
      </w:r>
    </w:p>
    <w:p>
      <w:pPr>
        <w:sectPr>
          <w:pgSz w:w="12240" w:h="15840" w:orient="portrait"/>
          <w:cols w:equalWidth="0" w:num="1">
            <w:col w:w="10220"/>
          </w:cols>
          <w:pgMar w:left="1000" w:top="793" w:right="1020" w:bottom="0" w:gutter="0" w:footer="0" w:header="0"/>
          <w:type w:val="continuous"/>
        </w:sectPr>
      </w:pPr>
    </w:p>
    <w:bookmarkStart w:id="89" w:name="page90"/>
    <w:bookmarkEnd w:id="89"/>
    <w:p>
      <w:pPr>
        <w:ind w:left="720" w:right="480" w:hanging="370"/>
        <w:spacing w:after="0" w:line="284" w:lineRule="auto"/>
        <w:tabs>
          <w:tab w:leader="none" w:pos="720" w:val="left"/>
        </w:tabs>
        <w:numPr>
          <w:ilvl w:val="0"/>
          <w:numId w:val="4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requirement that special meetings of stockholders be called only by the chair of the board of directors, the chief executive officer, or by a majority of the total number of authorized directors;</w:t>
      </w:r>
    </w:p>
    <w:p>
      <w:pPr>
        <w:spacing w:after="0" w:line="81" w:lineRule="exact"/>
        <w:rPr>
          <w:rFonts w:ascii="Arial" w:cs="Arial" w:eastAsia="Arial" w:hAnsi="Arial"/>
          <w:sz w:val="24"/>
          <w:szCs w:val="24"/>
          <w:b w:val="1"/>
          <w:bCs w:val="1"/>
          <w:color w:val="050505"/>
        </w:rPr>
      </w:pPr>
    </w:p>
    <w:p>
      <w:pPr>
        <w:ind w:left="720" w:hanging="370"/>
        <w:spacing w:after="0"/>
        <w:tabs>
          <w:tab w:leader="none" w:pos="720" w:val="left"/>
        </w:tabs>
        <w:numPr>
          <w:ilvl w:val="0"/>
          <w:numId w:val="4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advance notice requirements for stockholder proposals and nominations for election to our board of directors;</w:t>
      </w:r>
    </w:p>
    <w:p>
      <w:pPr>
        <w:spacing w:after="0" w:line="147" w:lineRule="exact"/>
        <w:rPr>
          <w:rFonts w:ascii="Arial" w:cs="Arial" w:eastAsia="Arial" w:hAnsi="Arial"/>
          <w:sz w:val="24"/>
          <w:szCs w:val="24"/>
          <w:b w:val="1"/>
          <w:bCs w:val="1"/>
          <w:color w:val="050505"/>
        </w:rPr>
      </w:pPr>
    </w:p>
    <w:p>
      <w:pPr>
        <w:ind w:left="720" w:right="300" w:hanging="370"/>
        <w:spacing w:after="0" w:line="287" w:lineRule="auto"/>
        <w:tabs>
          <w:tab w:leader="none" w:pos="720" w:val="left"/>
        </w:tabs>
        <w:numPr>
          <w:ilvl w:val="0"/>
          <w:numId w:val="4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03" w:lineRule="exact"/>
        <w:rPr>
          <w:rFonts w:ascii="Arial" w:cs="Arial" w:eastAsia="Arial" w:hAnsi="Arial"/>
          <w:sz w:val="24"/>
          <w:szCs w:val="24"/>
          <w:b w:val="1"/>
          <w:bCs w:val="1"/>
          <w:color w:val="050505"/>
        </w:rPr>
      </w:pPr>
    </w:p>
    <w:p>
      <w:pPr>
        <w:ind w:left="720" w:right="20" w:hanging="370"/>
        <w:spacing w:after="0" w:line="284" w:lineRule="auto"/>
        <w:tabs>
          <w:tab w:leader="none" w:pos="720" w:val="left"/>
        </w:tabs>
        <w:numPr>
          <w:ilvl w:val="0"/>
          <w:numId w:val="4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a requirement of approval of not less than two-thirds of all outstanding shares of our voting stock to amend any bylaws by stockholder action or to amend specific provisions of our certificate of incorporation; and</w:t>
      </w:r>
    </w:p>
    <w:p>
      <w:pPr>
        <w:spacing w:after="0" w:line="97" w:lineRule="exact"/>
        <w:rPr>
          <w:rFonts w:ascii="Arial" w:cs="Arial" w:eastAsia="Arial" w:hAnsi="Arial"/>
          <w:sz w:val="24"/>
          <w:szCs w:val="24"/>
          <w:b w:val="1"/>
          <w:bCs w:val="1"/>
          <w:color w:val="050505"/>
        </w:rPr>
      </w:pPr>
    </w:p>
    <w:p>
      <w:pPr>
        <w:ind w:left="720" w:right="260" w:hanging="370"/>
        <w:spacing w:after="0" w:line="287" w:lineRule="auto"/>
        <w:tabs>
          <w:tab w:leader="none" w:pos="720" w:val="left"/>
        </w:tabs>
        <w:numPr>
          <w:ilvl w:val="0"/>
          <w:numId w:val="49"/>
        </w:numPr>
        <w:rPr>
          <w:rFonts w:ascii="Arial" w:cs="Arial" w:eastAsia="Arial" w:hAnsi="Arial"/>
          <w:sz w:val="24"/>
          <w:szCs w:val="24"/>
          <w:b w:val="1"/>
          <w:bCs w:val="1"/>
          <w:color w:val="050505"/>
        </w:rPr>
      </w:pPr>
      <w:r>
        <w:rPr>
          <w:rFonts w:ascii="Times New Roman" w:cs="Times New Roman" w:eastAsia="Times New Roman" w:hAnsi="Times New Roman"/>
          <w:sz w:val="20"/>
          <w:szCs w:val="20"/>
          <w:color w:val="050505"/>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8"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General Risk Factors</w:t>
      </w:r>
    </w:p>
    <w:p>
      <w:pPr>
        <w:spacing w:after="0" w:line="24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Unstable market, economic and geo-political conditions may have serious adverse consequences on our business, financial condition and stock price.</w:t>
      </w:r>
    </w:p>
    <w:p>
      <w:pPr>
        <w:spacing w:after="0" w:line="5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The global credit and financial markets have experienced extreme volatility and disruptions in the past. These disruptions have resulted and may continue to result in severely diminished liquidity and credit availability, elevated inflationary pressures and interest-rate volatility, declines in consumer confidence, disruptions in access to bank deposits or lending commitments due to bank failures and uncertainty about economic stability, declines in economic growth,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 Moreover, persistent trade and policy uncertainty, ongoing geopolitical risks, and any deterioration in macroeconomic conditions or financial market volatility could adversely affect our business.</w:t>
      </w:r>
    </w:p>
    <w:p>
      <w:pPr>
        <w:spacing w:after="0" w:line="9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Other international and geo-political events could also have a serious adverse impact on our business.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95"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Sales of a substantial number of shares of our common stock by our existing stockholders in the public market could cause our stock price to fall.</w:t>
      </w:r>
    </w:p>
    <w:p>
      <w:pPr>
        <w:spacing w:after="0" w:line="57"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050505"/>
        </w:rPr>
        <w:t>Sales of a substantial number of shares of our common stock in the public market or the perception that these sales might occur, including by any of our directors, officers or larger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sectPr>
          <w:pgSz w:w="12240" w:h="15840" w:orient="portrait"/>
          <w:cols w:equalWidth="0" w:num="1">
            <w:col w:w="10240"/>
          </w:cols>
          <w:pgMar w:left="1000" w:top="829" w:right="100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86</w:t>
      </w:r>
    </w:p>
    <w:p>
      <w:pPr>
        <w:sectPr>
          <w:pgSz w:w="12240" w:h="15840" w:orient="portrait"/>
          <w:cols w:equalWidth="0" w:num="1">
            <w:col w:w="10240"/>
          </w:cols>
          <w:pgMar w:left="1000" w:top="829" w:right="1000" w:bottom="0" w:gutter="0" w:footer="0" w:header="0"/>
          <w:type w:val="continuous"/>
        </w:sectPr>
      </w:pPr>
    </w:p>
    <w:bookmarkStart w:id="90" w:name="page91"/>
    <w:bookmarkEnd w:id="90"/>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050505"/>
        </w:rPr>
        <w:t>If securities or industry analysts issue an adverse or misleading opinion regarding our stock, our stock price and trading volume could decline.</w:t>
      </w:r>
    </w:p>
    <w:p>
      <w:pPr>
        <w:spacing w:after="0" w:line="57"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050505"/>
        </w:rPr>
        <w:t>The trading market for our common stock could be influenced by the research and reports that industry or securities analysts publish about us or our business. If any of the analysts who cover us issue an adverse or misleading opinion regarding us, our business model, our intellectual property or our stock performance, or if the clinical trials and operating results fail to meet the expectations of analysts, our stock price would likely decline. If one or more analysts cease coverage of us or fail to publish reports on us regularly, we could lose visibility in the financial markets, which in turn could cause our stock price or trading volume to decline.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1B. Unresolved Staff Comments.</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050505"/>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1C. 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Risk management and strategy</w:t>
      </w:r>
    </w:p>
    <w:p>
      <w:pPr>
        <w:spacing w:after="0" w:line="137"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050505"/>
        </w:rPr>
        <w:t>We take a risk-based approach in implementing and maintaining various information security processes designed to identify, assess and manage material risks from threats to our critical computer networks, third party hosted services, communications systems, hardware and software, and our critical data, including intellectual property, confidential information that is proprietary, strategic or competitive in nature, and information related to our clinical trials, products in development, and proprietary technologies (“Information Systems and Data”).</w:t>
      </w:r>
    </w:p>
    <w:p>
      <w:pPr>
        <w:spacing w:after="0" w:line="84"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050505"/>
        </w:rPr>
        <w:t>Our information security function, supported by members of our IT and Legal departments and our third-party IT service providers, helps identify, assess and manage the Company’s cybersecurity threats and risks. This team helps to identify and assess risks from cybersecurity threats by monitoring and evaluating our threat environment using various methods including, for example: automated tools, subscribing to reports and services that identify cybersecurity threats and analyzing such reports of threats and actors, conducting scans of our threat environment, evaluating threats reported to us, coordinating with law enforcement as appropriate about certain threats, having third parties conduct threat assessments, conducting vulnerability assessments, and working with third parties to conduct certain tests of our environment.</w:t>
      </w:r>
    </w:p>
    <w:p>
      <w:pPr>
        <w:spacing w:after="0" w:line="9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Depending on the environment and systems, we implement and maintain various technical, physical, and organizational measures, processes, standards and policies designed to manage and mitigate material risks from cybersecurity threats to our Information Systems and Data, including, for example: incident detection and response procedures; an incident response policy; a vulnerability management policy; a disaster recovery plan; conducting risk assessments; encrypting certain of our data; maintaining network security controls, segmenting certain data; maintaining access and physical security controls; asset management, tracking, and disposal protocols; systems monitoring; a assessing vendor risk; employee training; penetration testing conducted by third parties; and maintaining cybersecurity insurance.</w:t>
      </w:r>
    </w:p>
    <w:p>
      <w:pPr>
        <w:spacing w:after="0" w:line="90"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050505"/>
        </w:rPr>
        <w:t>The cybersecurity risk management and mitigation measures we implement for certain of our Information Assets including for example (1) cybersecurity risk is addressed as a component of the Company’s enterprise risk management assessment processes; (2) the information security function works with senior management to prioritize our risk management processes and mitigate cybersecurity threats that are more likely to lead to a material impact to our business; (3) our senior management evaluates material risks from cybersecurity threats against our overall business objectives and reports to the audit committee of the board of directors on at least a quarterly basis, which evaluates our overall enterprise risk, (4) policies and procedures to manage how Information Systems and Data are collected, maintained and stored, (5) communicating with and training personnel on cybersecurity risks and trends.</w:t>
      </w:r>
    </w:p>
    <w:p>
      <w:pPr>
        <w:spacing w:after="0" w:line="1"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050505"/>
        </w:rPr>
        <w:t>We use third-party service providers to assist us from time to time to identify, assess, and manage material risks from cybersecurity threats, including for example: professional services firms, cybersecurity consultants, cybersecurity software providers, managed cybersecurity service providers, and penetration testing firms. We conduct penetration tests and audits of our Information Systems and Data environment with an external cybersecurity firm at least annually.</w:t>
      </w:r>
    </w:p>
    <w:p>
      <w:pPr>
        <w:spacing w:after="0" w:line="9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We use third-party service providers to perform a variety of functions throughout our business, such as application providers, contract research organizations (CROs), contract development and manufacturing organizations (CDMOs) and supply chain resources. We assess vendors using a risk-based approach to manage cybersecurity risks associated with our use of certain of these providers. Through these practices, we may conduct risk assessments of vendors, provide and review security questionnaires, review vendors’ written information security programs and security assessments, and impose contractual obligations related to information security on our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ectPr>
          <w:pgSz w:w="12240" w:h="15840" w:orient="portrait"/>
          <w:cols w:equalWidth="0" w:num="1">
            <w:col w:w="10240"/>
          </w:cols>
          <w:pgMar w:left="1000" w:top="784" w:right="1000" w:bottom="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87</w:t>
      </w:r>
    </w:p>
    <w:p>
      <w:pPr>
        <w:sectPr>
          <w:pgSz w:w="12240" w:h="15840" w:orient="portrait"/>
          <w:cols w:equalWidth="0" w:num="1">
            <w:col w:w="10240"/>
          </w:cols>
          <w:pgMar w:left="1000" w:top="784" w:right="1000" w:bottom="0" w:gutter="0" w:footer="0" w:header="0"/>
          <w:type w:val="continuous"/>
        </w:sectPr>
      </w:pPr>
    </w:p>
    <w:bookmarkStart w:id="91" w:name="page92"/>
    <w:bookmarkEnd w:id="91"/>
    <w:p>
      <w:pPr>
        <w:ind w:right="100" w:firstLine="720"/>
        <w:spacing w:after="0" w:line="275" w:lineRule="auto"/>
        <w:rPr>
          <w:sz w:val="20"/>
          <w:szCs w:val="20"/>
          <w:color w:val="auto"/>
        </w:rPr>
      </w:pPr>
      <w:r>
        <w:rPr>
          <w:rFonts w:ascii="Times New Roman" w:cs="Times New Roman" w:eastAsia="Times New Roman" w:hAnsi="Times New Roman"/>
          <w:sz w:val="19"/>
          <w:szCs w:val="19"/>
          <w:color w:val="050505"/>
        </w:rPr>
        <w:t>For a description of the risks from cybersecurity threats that may materially affect the Company and how they may do so, refer to our risk factors under Part I. Item 1A. Risk Factors in this Annual Report on Form 10-K, including “</w:t>
      </w:r>
      <w:r>
        <w:rPr>
          <w:rFonts w:ascii="Times New Roman" w:cs="Times New Roman" w:eastAsia="Times New Roman" w:hAnsi="Times New Roman"/>
          <w:sz w:val="19"/>
          <w:szCs w:val="19"/>
          <w:b w:val="1"/>
          <w:bCs w:val="1"/>
          <w:i w:val="1"/>
          <w:iCs w:val="1"/>
          <w:color w:val="050505"/>
        </w:rPr>
        <w:t>If our security</w:t>
      </w:r>
      <w:r>
        <w:rPr>
          <w:rFonts w:ascii="Times New Roman" w:cs="Times New Roman" w:eastAsia="Times New Roman" w:hAnsi="Times New Roman"/>
          <w:sz w:val="19"/>
          <w:szCs w:val="19"/>
          <w:color w:val="050505"/>
        </w:rPr>
        <w:t xml:space="preserve"> </w:t>
      </w:r>
      <w:r>
        <w:rPr>
          <w:rFonts w:ascii="Times New Roman" w:cs="Times New Roman" w:eastAsia="Times New Roman" w:hAnsi="Times New Roman"/>
          <w:sz w:val="19"/>
          <w:szCs w:val="19"/>
          <w:b w:val="1"/>
          <w:bCs w:val="1"/>
          <w:i w:val="1"/>
          <w:iCs w:val="1"/>
          <w:color w:val="050505"/>
        </w:rPr>
        <w:t>measures, or those of our CROs, CDMOs, collaborators, contractors, consultants or other third parties upon whom we rely, are or were compromised or the security, confidentiality, integrity or availability of our information technology, software, services, networks, communications or data is compromised, limited or fails, we could experience a material adverse impact.</w:t>
      </w:r>
      <w:r>
        <w:rPr>
          <w:rFonts w:ascii="Times New Roman" w:cs="Times New Roman" w:eastAsia="Times New Roman" w:hAnsi="Times New Roman"/>
          <w:sz w:val="19"/>
          <w:szCs w:val="19"/>
          <w:color w:val="050505"/>
        </w:rPr>
        <w: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Governance</w:t>
      </w:r>
    </w:p>
    <w:p>
      <w:pPr>
        <w:spacing w:after="0" w:line="137" w:lineRule="exact"/>
        <w:rPr>
          <w:sz w:val="20"/>
          <w:szCs w:val="20"/>
          <w:color w:val="auto"/>
        </w:rPr>
      </w:pPr>
    </w:p>
    <w:p>
      <w:pPr>
        <w:ind w:right="440" w:firstLine="720"/>
        <w:spacing w:after="0" w:line="260" w:lineRule="auto"/>
        <w:rPr>
          <w:sz w:val="20"/>
          <w:szCs w:val="20"/>
          <w:color w:val="auto"/>
        </w:rPr>
      </w:pPr>
      <w:r>
        <w:rPr>
          <w:rFonts w:ascii="Times New Roman" w:cs="Times New Roman" w:eastAsia="Times New Roman" w:hAnsi="Times New Roman"/>
          <w:sz w:val="20"/>
          <w:szCs w:val="20"/>
          <w:color w:val="050505"/>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 Members of the Audit Committee receive scheduled quarterly updates from senior management.</w:t>
      </w:r>
    </w:p>
    <w:p>
      <w:pPr>
        <w:spacing w:after="0" w:line="83" w:lineRule="exact"/>
        <w:rPr>
          <w:sz w:val="20"/>
          <w:szCs w:val="20"/>
          <w:color w:val="auto"/>
        </w:rPr>
      </w:pPr>
    </w:p>
    <w:p>
      <w:pPr>
        <w:jc w:val="both"/>
        <w:ind w:right="200" w:firstLine="720"/>
        <w:spacing w:after="0" w:line="260" w:lineRule="auto"/>
        <w:rPr>
          <w:sz w:val="20"/>
          <w:szCs w:val="20"/>
          <w:color w:val="auto"/>
        </w:rPr>
      </w:pPr>
      <w:r>
        <w:rPr>
          <w:rFonts w:ascii="Times New Roman" w:cs="Times New Roman" w:eastAsia="Times New Roman" w:hAnsi="Times New Roman"/>
          <w:sz w:val="20"/>
          <w:szCs w:val="20"/>
          <w:color w:val="050505"/>
        </w:rPr>
        <w:t>Our cybersecurity risk assessment and management processes are implemented and maintained by certain Company management, including our Director of IT Security and Vice President of IT. Our Director of IT Security has over 14 years of experience leading IT security and has certifications including CISSP and CCSP. Our Vice President IT has over 20 years of experience in IT, data engineering, and data analytics.</w:t>
      </w:r>
    </w:p>
    <w:p>
      <w:pPr>
        <w:spacing w:after="0" w:line="83"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Our Director of IT Security is responsible for hiring appropriate personnel, helping to integrate cybersecurity risk considerations into the Company’s overall IT risk management strategy, communicating key priorities to relevant personnel, overseeing cybersecurity operations, and managing the cybersecurity technologies, processes, and projects. Our Vice President of IT is responsible for approving budgets, helping prepare for cybersecurity incidents, approving cybersecurity processes, and conducting regular reviews of security assessments and other security-related reports.</w:t>
      </w:r>
    </w:p>
    <w:p>
      <w:pPr>
        <w:spacing w:after="0" w:line="8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Our cybersecurity incident response and vulnerability management policies are designed to escalate certain cybersecurity incidents to members of management depending on the circumstances, including the Vice President of IT and General Counsel. The Vice President of IT and General Counsel work with the Company’s cross functional incident response team to help the Company mitigate and remediate cybersecurity incidents of which they are notified. In addition, the Company’s incident response and vulnerability management policies and procedures include reporting to the audit committee of the board of directors for certain cybersecurity incidents.</w:t>
      </w:r>
    </w:p>
    <w:p>
      <w:pPr>
        <w:spacing w:after="0" w:line="88"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The audit committee receives periodic reports from Data Management, Analytics and Integration and General Counsel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2. Properties.</w:t>
      </w:r>
    </w:p>
    <w:p>
      <w:pPr>
        <w:spacing w:after="0" w:line="137" w:lineRule="exact"/>
        <w:rPr>
          <w:sz w:val="20"/>
          <w:szCs w:val="20"/>
          <w:color w:val="auto"/>
        </w:rPr>
      </w:pPr>
    </w:p>
    <w:p>
      <w:pPr>
        <w:ind w:right="80" w:firstLine="900"/>
        <w:spacing w:after="0" w:line="258" w:lineRule="auto"/>
        <w:rPr>
          <w:sz w:val="20"/>
          <w:szCs w:val="20"/>
          <w:color w:val="auto"/>
        </w:rPr>
      </w:pPr>
      <w:r>
        <w:rPr>
          <w:rFonts w:ascii="Times New Roman" w:cs="Times New Roman" w:eastAsia="Times New Roman" w:hAnsi="Times New Roman"/>
          <w:sz w:val="20"/>
          <w:szCs w:val="20"/>
          <w:color w:val="050505"/>
        </w:rPr>
        <w:t>Our corporate headquarters are located in South San Francisco, California, which consists of approximately 68,072 square feet for office and laboratory space. Our lease for our headquarter space commenced on March 1, 2019. On December 10, 2021, we amended our lease for an additional 47,566 square feet of office and laboratory space as part of the same building as our headquarters. The lease relating to the expansion premises commenced on April 1, 2022. The lease for both the existing and expansion premises will expire on March 31, 2032.</w:t>
      </w:r>
    </w:p>
    <w:p>
      <w:pPr>
        <w:spacing w:after="0" w:line="84" w:lineRule="exact"/>
        <w:rPr>
          <w:sz w:val="20"/>
          <w:szCs w:val="20"/>
          <w:color w:val="auto"/>
        </w:rPr>
      </w:pPr>
    </w:p>
    <w:p>
      <w:pPr>
        <w:jc w:val="both"/>
        <w:ind w:right="240" w:firstLine="900"/>
        <w:spacing w:after="0" w:line="266" w:lineRule="auto"/>
        <w:rPr>
          <w:sz w:val="20"/>
          <w:szCs w:val="20"/>
          <w:color w:val="auto"/>
        </w:rPr>
      </w:pPr>
      <w:r>
        <w:rPr>
          <w:rFonts w:ascii="Times New Roman" w:cs="Times New Roman" w:eastAsia="Times New Roman" w:hAnsi="Times New Roman"/>
          <w:sz w:val="20"/>
          <w:szCs w:val="20"/>
          <w:color w:val="050505"/>
        </w:rPr>
        <w:t>We entered into an additional lease in October 2018 for approximately 14,943 square feet of office and laboratory space in South San Francisco near our headquarters. On December 10, 2021, we amended our lease to extend the term of the lease to be co-terminus with our lease for our headquarters.</w:t>
      </w:r>
    </w:p>
    <w:p>
      <w:pPr>
        <w:spacing w:after="0" w:line="75" w:lineRule="exact"/>
        <w:rPr>
          <w:sz w:val="20"/>
          <w:szCs w:val="20"/>
          <w:color w:val="auto"/>
        </w:rPr>
      </w:pPr>
    </w:p>
    <w:p>
      <w:pPr>
        <w:jc w:val="both"/>
        <w:ind w:right="300" w:firstLine="900"/>
        <w:spacing w:after="0" w:line="266" w:lineRule="auto"/>
        <w:rPr>
          <w:sz w:val="20"/>
          <w:szCs w:val="20"/>
          <w:color w:val="auto"/>
        </w:rPr>
      </w:pPr>
      <w:r>
        <w:rPr>
          <w:rFonts w:ascii="Times New Roman" w:cs="Times New Roman" w:eastAsia="Times New Roman" w:hAnsi="Times New Roman"/>
          <w:sz w:val="20"/>
          <w:szCs w:val="20"/>
          <w:color w:val="050505"/>
        </w:rPr>
        <w:t>In February 2019, we entered into a lease for approximately 118,000 square feet to develop a state-of-the-art cell therapy manufacturing facility in Newark, California. The lease commenced in November 2020 and has an initial term of 15 years and eight months.</w:t>
      </w:r>
    </w:p>
    <w:p>
      <w:pPr>
        <w:spacing w:after="0" w:line="75" w:lineRule="exact"/>
        <w:rPr>
          <w:sz w:val="20"/>
          <w:szCs w:val="20"/>
          <w:color w:val="auto"/>
        </w:rPr>
      </w:pPr>
    </w:p>
    <w:p>
      <w:pPr>
        <w:ind w:right="860" w:firstLine="900"/>
        <w:spacing w:after="0" w:line="281" w:lineRule="auto"/>
        <w:rPr>
          <w:sz w:val="20"/>
          <w:szCs w:val="20"/>
          <w:color w:val="auto"/>
        </w:rPr>
      </w:pPr>
      <w:r>
        <w:rPr>
          <w:rFonts w:ascii="Times New Roman" w:cs="Times New Roman" w:eastAsia="Times New Roman" w:hAnsi="Times New Roman"/>
          <w:sz w:val="20"/>
          <w:szCs w:val="20"/>
          <w:color w:val="050505"/>
        </w:rPr>
        <w:t>We believe that our existing facilities and other available properties will be sufficient for our needs for the foreseeable future.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3. Legal Proceedings.</w:t>
      </w:r>
    </w:p>
    <w:p>
      <w:pPr>
        <w:spacing w:after="0" w:line="137" w:lineRule="exact"/>
        <w:rPr>
          <w:sz w:val="20"/>
          <w:szCs w:val="20"/>
          <w:color w:val="auto"/>
        </w:rPr>
      </w:pPr>
    </w:p>
    <w:p>
      <w:pPr>
        <w:ind w:right="40" w:firstLine="900"/>
        <w:spacing w:after="0" w:line="260" w:lineRule="auto"/>
        <w:rPr>
          <w:sz w:val="20"/>
          <w:szCs w:val="20"/>
          <w:color w:val="auto"/>
        </w:rPr>
      </w:pPr>
      <w:r>
        <w:rPr>
          <w:rFonts w:ascii="Times New Roman" w:cs="Times New Roman" w:eastAsia="Times New Roman" w:hAnsi="Times New Roman"/>
          <w:sz w:val="20"/>
          <w:szCs w:val="20"/>
          <w:color w:val="050505"/>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4. Mine Safety Disclosures.</w:t>
      </w:r>
    </w:p>
    <w:p>
      <w:pPr>
        <w:sectPr>
          <w:pgSz w:w="12240" w:h="15840" w:orient="portrait"/>
          <w:cols w:equalWidth="0" w:num="1">
            <w:col w:w="10240"/>
          </w:cols>
          <w:pgMar w:left="1000" w:top="793" w:right="1000" w:bottom="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88</w:t>
      </w:r>
    </w:p>
    <w:p>
      <w:pPr>
        <w:sectPr>
          <w:pgSz w:w="12240" w:h="15840" w:orient="portrait"/>
          <w:cols w:equalWidth="0" w:num="1">
            <w:col w:w="10240"/>
          </w:cols>
          <w:pgMar w:left="1000" w:top="793" w:right="1000" w:bottom="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9"/>
          <w:szCs w:val="19"/>
          <w:color w:val="050505"/>
        </w:rPr>
        <w:t>Not applicable.</w:t>
      </w:r>
    </w:p>
    <w:p>
      <w:pPr>
        <w:sectPr>
          <w:pgSz w:w="12240" w:h="15840" w:orient="portrait"/>
          <w:cols w:equalWidth="0" w:num="1">
            <w:col w:w="9360"/>
          </w:cols>
          <w:pgMar w:left="1440" w:top="7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89</w:t>
      </w:r>
    </w:p>
    <w:p>
      <w:pPr>
        <w:sectPr>
          <w:pgSz w:w="12240" w:h="15840" w:orient="portrait"/>
          <w:cols w:equalWidth="0" w:num="1">
            <w:col w:w="9360"/>
          </w:cols>
          <w:pgMar w:left="1440" w:top="793" w:right="144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050505"/>
        </w:rPr>
        <w:t>PART II</w:t>
      </w:r>
    </w:p>
    <w:p>
      <w:pPr>
        <w:spacing w:after="0" w:line="370"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20"/>
          <w:szCs w:val="20"/>
          <w:b w:val="1"/>
          <w:bCs w:val="1"/>
          <w:color w:val="050505"/>
        </w:rPr>
        <w:t>Item 5. Market for Registrant’s Common Equity, Related Stockholder Matters and Issuer Purchases of Equity Securities.</w:t>
      </w:r>
    </w:p>
    <w:p>
      <w:pPr>
        <w:spacing w:after="0" w:line="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050505"/>
        </w:rPr>
        <w:t>Our common stock is listed on The Nasdaq Global Select Market under the symbol “ALLO”.</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Holders of Common Stock</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050505"/>
        </w:rPr>
        <w:t>As of March 10, 2026, there were approximately 62 holders of record of our common stock.</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Stock Performance Graph</w:t>
      </w:r>
    </w:p>
    <w:p>
      <w:pPr>
        <w:spacing w:after="0" w:line="133" w:lineRule="exact"/>
        <w:rPr>
          <w:sz w:val="20"/>
          <w:szCs w:val="20"/>
          <w:color w:val="auto"/>
        </w:rPr>
      </w:pPr>
    </w:p>
    <w:p>
      <w:pPr>
        <w:ind w:right="16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050505"/>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spacing w:after="0" w:line="73"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The following graph shows the value of an investment of $100 from December 31, 2020 through December 31, 2025, in our common stock, the Standard &amp; Poor’s 500 Index (S&amp;P 500), the Nasdaq Biotechnology Index, and Nasdaq Composite Index. The historical stock price performance of our common stock shown in the performance graph is not necessarily indicative of future stock price performance.</w:t>
      </w:r>
    </w:p>
    <w:p>
      <w:pPr>
        <w:spacing w:after="0" w:line="304" w:lineRule="exact"/>
        <w:rPr>
          <w:sz w:val="20"/>
          <w:szCs w:val="20"/>
          <w:color w:val="auto"/>
        </w:rPr>
      </w:pPr>
    </w:p>
    <w:p>
      <w:pPr>
        <w:ind w:left="1000"/>
        <w:spacing w:after="0"/>
        <w:rPr>
          <w:sz w:val="20"/>
          <w:szCs w:val="20"/>
          <w:color w:val="auto"/>
        </w:rPr>
      </w:pPr>
      <w:r>
        <w:rPr>
          <w:rFonts w:ascii="Arial" w:cs="Arial" w:eastAsia="Arial" w:hAnsi="Arial"/>
          <w:sz w:val="24"/>
          <w:szCs w:val="24"/>
          <w:b w:val="1"/>
          <w:bCs w:val="1"/>
          <w:color w:val="383838"/>
        </w:rPr>
        <w:t>Comparison of Cumulative Total Return on Investment for the Past Five Years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383838"/>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-72390</wp:posOffset>
            </wp:positionV>
            <wp:extent cx="5514975" cy="2652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extLst>
                    </a:blip>
                    <a:srcRect/>
                    <a:stretch>
                      <a:fillRect/>
                    </a:stretch>
                  </pic:blipFill>
                  <pic:spPr bwMode="auto">
                    <a:xfrm>
                      <a:off x="0" y="0"/>
                      <a:ext cx="5514975" cy="265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383838"/>
        </w:rPr>
        <w:t>$150.00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383838"/>
        </w:rPr>
        <w:t>$100.00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83838"/>
        </w:rPr>
        <w:t>$50.00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3838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-62865</wp:posOffset>
            </wp:positionV>
            <wp:extent cx="551497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0">
                      <a:extLst>
                        <a:ext uri="{28A0092B-C50C-407E-A947-70E740481C1C}"/>
                      </a:extLst>
                    </a:blip>
                    <a:srcRect/>
                    <a:stretch>
                      <a:fillRect/>
                    </a:stretch>
                  </pic:blipFill>
                  <pic:spPr bwMode="auto">
                    <a:xfrm>
                      <a:off x="0" y="0"/>
                      <a:ext cx="5514975" cy="9525"/>
                    </a:xfrm>
                    <a:prstGeom prst="rect">
                      <a:avLst/>
                    </a:prstGeom>
                    <a:noFill/>
                  </pic:spPr>
                </pic:pic>
              </a:graphicData>
            </a:graphic>
          </wp:anchor>
        </w:drawing>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2580" w:type="dxa"/>
            <w:vAlign w:val="bottom"/>
            <w:gridSpan w:val="3"/>
          </w:tcPr>
          <w:p>
            <w:pPr>
              <w:ind w:left="1420"/>
              <w:spacing w:after="0"/>
              <w:rPr>
                <w:sz w:val="20"/>
                <w:szCs w:val="20"/>
                <w:color w:val="auto"/>
              </w:rPr>
            </w:pPr>
            <w:r>
              <w:rPr>
                <w:rFonts w:ascii="Arial" w:cs="Arial" w:eastAsia="Arial" w:hAnsi="Arial"/>
                <w:sz w:val="20"/>
                <w:szCs w:val="20"/>
                <w:b w:val="1"/>
                <w:bCs w:val="1"/>
                <w:color w:val="383838"/>
              </w:rPr>
              <w:t>12/31/2020</w:t>
            </w:r>
          </w:p>
        </w:tc>
        <w:tc>
          <w:tcPr>
            <w:tcW w:w="140" w:type="dxa"/>
            <w:vAlign w:val="bottom"/>
          </w:tcPr>
          <w:p>
            <w:pPr>
              <w:spacing w:after="0"/>
              <w:rPr>
                <w:sz w:val="23"/>
                <w:szCs w:val="23"/>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20"/>
                <w:szCs w:val="20"/>
                <w:b w:val="1"/>
                <w:bCs w:val="1"/>
                <w:color w:val="383838"/>
              </w:rPr>
              <w:t>12/31/2021</w:t>
            </w:r>
          </w:p>
        </w:tc>
        <w:tc>
          <w:tcPr>
            <w:tcW w:w="1520" w:type="dxa"/>
            <w:vAlign w:val="bottom"/>
            <w:gridSpan w:val="3"/>
          </w:tcPr>
          <w:p>
            <w:pPr>
              <w:jc w:val="right"/>
              <w:ind w:right="103"/>
              <w:spacing w:after="0"/>
              <w:rPr>
                <w:sz w:val="20"/>
                <w:szCs w:val="20"/>
                <w:color w:val="auto"/>
              </w:rPr>
            </w:pPr>
            <w:r>
              <w:rPr>
                <w:rFonts w:ascii="Arial" w:cs="Arial" w:eastAsia="Arial" w:hAnsi="Arial"/>
                <w:sz w:val="20"/>
                <w:szCs w:val="20"/>
                <w:b w:val="1"/>
                <w:bCs w:val="1"/>
                <w:color w:val="383838"/>
              </w:rPr>
              <w:t>12/31/2022</w:t>
            </w:r>
          </w:p>
        </w:tc>
        <w:tc>
          <w:tcPr>
            <w:tcW w:w="1360" w:type="dxa"/>
            <w:vAlign w:val="bottom"/>
            <w:gridSpan w:val="3"/>
          </w:tcPr>
          <w:p>
            <w:pPr>
              <w:jc w:val="right"/>
              <w:ind w:right="20"/>
              <w:spacing w:after="0"/>
              <w:rPr>
                <w:sz w:val="20"/>
                <w:szCs w:val="20"/>
                <w:color w:val="auto"/>
              </w:rPr>
            </w:pPr>
            <w:r>
              <w:rPr>
                <w:rFonts w:ascii="Arial" w:cs="Arial" w:eastAsia="Arial" w:hAnsi="Arial"/>
                <w:sz w:val="20"/>
                <w:szCs w:val="20"/>
                <w:b w:val="1"/>
                <w:bCs w:val="1"/>
                <w:color w:val="383838"/>
              </w:rPr>
              <w:t>12/31/2023</w:t>
            </w:r>
          </w:p>
        </w:tc>
        <w:tc>
          <w:tcPr>
            <w:tcW w:w="1360" w:type="dxa"/>
            <w:vAlign w:val="bottom"/>
            <w:gridSpan w:val="4"/>
          </w:tcPr>
          <w:p>
            <w:pPr>
              <w:jc w:val="right"/>
              <w:spacing w:after="0"/>
              <w:rPr>
                <w:sz w:val="20"/>
                <w:szCs w:val="20"/>
                <w:color w:val="auto"/>
              </w:rPr>
            </w:pPr>
            <w:r>
              <w:rPr>
                <w:rFonts w:ascii="Arial" w:cs="Arial" w:eastAsia="Arial" w:hAnsi="Arial"/>
                <w:sz w:val="20"/>
                <w:szCs w:val="20"/>
                <w:b w:val="1"/>
                <w:bCs w:val="1"/>
                <w:color w:val="383838"/>
              </w:rPr>
              <w:t>12/31/2024</w:t>
            </w:r>
          </w:p>
        </w:tc>
        <w:tc>
          <w:tcPr>
            <w:tcW w:w="1980" w:type="dxa"/>
            <w:vAlign w:val="bottom"/>
            <w:gridSpan w:val="3"/>
          </w:tcPr>
          <w:p>
            <w:pPr>
              <w:jc w:val="right"/>
              <w:ind w:right="460"/>
              <w:spacing w:after="0"/>
              <w:rPr>
                <w:sz w:val="20"/>
                <w:szCs w:val="20"/>
                <w:color w:val="auto"/>
              </w:rPr>
            </w:pPr>
            <w:r>
              <w:rPr>
                <w:rFonts w:ascii="Arial" w:cs="Arial" w:eastAsia="Arial" w:hAnsi="Arial"/>
                <w:sz w:val="20"/>
                <w:szCs w:val="20"/>
                <w:b w:val="1"/>
                <w:bCs w:val="1"/>
                <w:color w:val="383838"/>
              </w:rPr>
              <w:t>12/31/2025</w:t>
            </w:r>
          </w:p>
        </w:tc>
        <w:tc>
          <w:tcPr>
            <w:tcW w:w="0" w:type="dxa"/>
            <w:vAlign w:val="bottom"/>
          </w:tcPr>
          <w:p>
            <w:pPr>
              <w:spacing w:after="0"/>
              <w:rPr>
                <w:sz w:val="1"/>
                <w:szCs w:val="1"/>
                <w:color w:val="auto"/>
              </w:rPr>
            </w:pPr>
          </w:p>
        </w:tc>
      </w:tr>
      <w:tr>
        <w:trPr>
          <w:trHeight w:val="351"/>
        </w:trPr>
        <w:tc>
          <w:tcPr>
            <w:tcW w:w="520" w:type="dxa"/>
            <w:vAlign w:val="bottom"/>
          </w:tcPr>
          <w:p>
            <w:pPr>
              <w:spacing w:after="0"/>
              <w:rPr>
                <w:sz w:val="24"/>
                <w:szCs w:val="24"/>
                <w:color w:val="auto"/>
              </w:rPr>
            </w:pPr>
          </w:p>
        </w:tc>
        <w:tc>
          <w:tcPr>
            <w:tcW w:w="260" w:type="dxa"/>
            <w:vAlign w:val="bottom"/>
            <w:tcBorders>
              <w:bottom w:val="single" w:sz="8" w:color="A6A6A6"/>
            </w:tcBorders>
          </w:tcPr>
          <w:p>
            <w:pPr>
              <w:spacing w:after="0"/>
              <w:rPr>
                <w:sz w:val="24"/>
                <w:szCs w:val="24"/>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383838"/>
              </w:rPr>
              <w:t>Allogene Therapeutics, Inc.</w:t>
            </w:r>
          </w:p>
        </w:tc>
        <w:tc>
          <w:tcPr>
            <w:tcW w:w="260" w:type="dxa"/>
            <w:vAlign w:val="bottom"/>
            <w:tcBorders>
              <w:bottom w:val="single" w:sz="8" w:color="7F7F7F"/>
            </w:tcBorders>
          </w:tcPr>
          <w:p>
            <w:pPr>
              <w:spacing w:after="0"/>
              <w:rPr>
                <w:sz w:val="24"/>
                <w:szCs w:val="24"/>
                <w:color w:val="auto"/>
              </w:rPr>
            </w:pPr>
          </w:p>
        </w:tc>
        <w:tc>
          <w:tcPr>
            <w:tcW w:w="60" w:type="dxa"/>
            <w:vAlign w:val="bottom"/>
            <w:vMerge w:val="restart"/>
          </w:tcPr>
          <w:p>
            <w:pPr>
              <w:spacing w:after="0"/>
              <w:rPr>
                <w:sz w:val="24"/>
                <w:szCs w:val="24"/>
                <w:color w:val="auto"/>
              </w:rPr>
            </w:pPr>
          </w:p>
        </w:tc>
        <w:tc>
          <w:tcPr>
            <w:tcW w:w="1000" w:type="dxa"/>
            <w:vAlign w:val="bottom"/>
            <w:gridSpan w:val="3"/>
            <w:vMerge w:val="restart"/>
          </w:tcPr>
          <w:p>
            <w:pPr>
              <w:spacing w:after="0"/>
              <w:rPr>
                <w:sz w:val="20"/>
                <w:szCs w:val="20"/>
                <w:color w:val="auto"/>
              </w:rPr>
            </w:pPr>
            <w:r>
              <w:rPr>
                <w:rFonts w:ascii="Arial" w:cs="Arial" w:eastAsia="Arial" w:hAnsi="Arial"/>
                <w:sz w:val="20"/>
                <w:szCs w:val="20"/>
                <w:b w:val="1"/>
                <w:bCs w:val="1"/>
                <w:color w:val="383838"/>
              </w:rPr>
              <w:t>S&amp;P 500</w:t>
            </w:r>
          </w:p>
        </w:tc>
        <w:tc>
          <w:tcPr>
            <w:tcW w:w="260" w:type="dxa"/>
            <w:vAlign w:val="bottom"/>
            <w:tcBorders>
              <w:bottom w:val="single" w:sz="8" w:color="B6B6B6"/>
            </w:tcBorders>
          </w:tcPr>
          <w:p>
            <w:pPr>
              <w:spacing w:after="0"/>
              <w:rPr>
                <w:sz w:val="24"/>
                <w:szCs w:val="24"/>
                <w:color w:val="auto"/>
              </w:rPr>
            </w:pPr>
          </w:p>
        </w:tc>
        <w:tc>
          <w:tcPr>
            <w:tcW w:w="2420" w:type="dxa"/>
            <w:vAlign w:val="bottom"/>
            <w:gridSpan w:val="5"/>
            <w:vMerge w:val="restart"/>
          </w:tcPr>
          <w:p>
            <w:pPr>
              <w:jc w:val="right"/>
              <w:ind w:right="120"/>
              <w:spacing w:after="0"/>
              <w:rPr>
                <w:sz w:val="20"/>
                <w:szCs w:val="20"/>
                <w:color w:val="auto"/>
              </w:rPr>
            </w:pPr>
            <w:r>
              <w:rPr>
                <w:rFonts w:ascii="Arial" w:cs="Arial" w:eastAsia="Arial" w:hAnsi="Arial"/>
                <w:sz w:val="20"/>
                <w:szCs w:val="20"/>
                <w:b w:val="1"/>
                <w:bCs w:val="1"/>
                <w:color w:val="383838"/>
                <w:w w:val="94"/>
              </w:rPr>
              <w:t>NASDAQ Biotechnology</w:t>
            </w:r>
          </w:p>
        </w:tc>
        <w:tc>
          <w:tcPr>
            <w:tcW w:w="200" w:type="dxa"/>
            <w:vAlign w:val="bottom"/>
            <w:tcBorders>
              <w:bottom w:val="single" w:sz="8" w:color="E8E8E8"/>
            </w:tcBorders>
          </w:tcPr>
          <w:p>
            <w:pPr>
              <w:spacing w:after="0"/>
              <w:rPr>
                <w:sz w:val="24"/>
                <w:szCs w:val="24"/>
                <w:color w:val="auto"/>
              </w:rPr>
            </w:pPr>
          </w:p>
        </w:tc>
        <w:tc>
          <w:tcPr>
            <w:tcW w:w="60" w:type="dxa"/>
            <w:vAlign w:val="bottom"/>
            <w:tcBorders>
              <w:bottom w:val="single" w:sz="8" w:color="E8E8E8"/>
            </w:tcBorders>
          </w:tcPr>
          <w:p>
            <w:pPr>
              <w:spacing w:after="0"/>
              <w:rPr>
                <w:sz w:val="24"/>
                <w:szCs w:val="24"/>
                <w:color w:val="auto"/>
              </w:rPr>
            </w:pPr>
          </w:p>
        </w:tc>
        <w:tc>
          <w:tcPr>
            <w:tcW w:w="2480" w:type="dxa"/>
            <w:vAlign w:val="bottom"/>
            <w:gridSpan w:val="4"/>
            <w:vMerge w:val="restart"/>
          </w:tcPr>
          <w:p>
            <w:pPr>
              <w:jc w:val="right"/>
              <w:ind w:right="460"/>
              <w:spacing w:after="0"/>
              <w:rPr>
                <w:sz w:val="20"/>
                <w:szCs w:val="20"/>
                <w:color w:val="auto"/>
              </w:rPr>
            </w:pPr>
            <w:r>
              <w:rPr>
                <w:rFonts w:ascii="Arial" w:cs="Arial" w:eastAsia="Arial" w:hAnsi="Arial"/>
                <w:sz w:val="20"/>
                <w:szCs w:val="20"/>
                <w:b w:val="1"/>
                <w:bCs w:val="1"/>
                <w:color w:val="383838"/>
                <w:w w:val="97"/>
              </w:rPr>
              <w:t>NASDAQ Composite</w:t>
            </w: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6"/>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bottom w:val="single" w:sz="8" w:color="050505"/>
            </w:tcBorders>
          </w:tcPr>
          <w:p>
            <w:pPr>
              <w:spacing w:after="0"/>
              <w:rPr>
                <w:sz w:val="24"/>
                <w:szCs w:val="24"/>
                <w:color w:val="auto"/>
              </w:rPr>
            </w:pPr>
          </w:p>
        </w:tc>
        <w:tc>
          <w:tcPr>
            <w:tcW w:w="760" w:type="dxa"/>
            <w:vAlign w:val="bottom"/>
            <w:tcBorders>
              <w:bottom w:val="single" w:sz="8" w:color="050505"/>
            </w:tcBorders>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60" w:type="dxa"/>
            <w:vAlign w:val="bottom"/>
            <w:tcBorders>
              <w:bottom w:val="single" w:sz="8" w:color="050505"/>
            </w:tcBorders>
          </w:tcPr>
          <w:p>
            <w:pPr>
              <w:spacing w:after="0"/>
              <w:rPr>
                <w:sz w:val="24"/>
                <w:szCs w:val="24"/>
                <w:color w:val="auto"/>
              </w:rPr>
            </w:pPr>
          </w:p>
        </w:tc>
        <w:tc>
          <w:tcPr>
            <w:tcW w:w="60" w:type="dxa"/>
            <w:vAlign w:val="bottom"/>
            <w:tcBorders>
              <w:bottom w:val="single" w:sz="8" w:color="050505"/>
            </w:tcBorders>
          </w:tcPr>
          <w:p>
            <w:pPr>
              <w:spacing w:after="0"/>
              <w:rPr>
                <w:sz w:val="24"/>
                <w:szCs w:val="24"/>
                <w:color w:val="auto"/>
              </w:rPr>
            </w:pPr>
          </w:p>
        </w:tc>
        <w:tc>
          <w:tcPr>
            <w:tcW w:w="140" w:type="dxa"/>
            <w:vAlign w:val="bottom"/>
            <w:tcBorders>
              <w:bottom w:val="single" w:sz="8" w:color="050505"/>
            </w:tcBorders>
          </w:tcPr>
          <w:p>
            <w:pPr>
              <w:spacing w:after="0"/>
              <w:rPr>
                <w:sz w:val="24"/>
                <w:szCs w:val="24"/>
                <w:color w:val="auto"/>
              </w:rPr>
            </w:pPr>
          </w:p>
        </w:tc>
        <w:tc>
          <w:tcPr>
            <w:tcW w:w="800" w:type="dxa"/>
            <w:vAlign w:val="bottom"/>
            <w:tcBorders>
              <w:bottom w:val="single" w:sz="8" w:color="050505"/>
            </w:tcBorders>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2620" w:type="dxa"/>
            <w:vAlign w:val="bottom"/>
            <w:tcBorders>
              <w:bottom w:val="single" w:sz="8" w:color="050505"/>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050505"/>
              </w:rPr>
              <w:t>Cumulative Total Return date ended</w:t>
            </w:r>
          </w:p>
        </w:tc>
        <w:tc>
          <w:tcPr>
            <w:tcW w:w="60" w:type="dxa"/>
            <w:vAlign w:val="bottom"/>
            <w:tcBorders>
              <w:bottom w:val="single" w:sz="8" w:color="050505"/>
            </w:tcBorders>
          </w:tcPr>
          <w:p>
            <w:pPr>
              <w:spacing w:after="0"/>
              <w:rPr>
                <w:sz w:val="24"/>
                <w:szCs w:val="24"/>
                <w:color w:val="auto"/>
              </w:rPr>
            </w:pPr>
          </w:p>
        </w:tc>
        <w:tc>
          <w:tcPr>
            <w:tcW w:w="500" w:type="dxa"/>
            <w:vAlign w:val="bottom"/>
            <w:tcBorders>
              <w:bottom w:val="single" w:sz="8" w:color="050505"/>
            </w:tcBorders>
          </w:tcPr>
          <w:p>
            <w:pPr>
              <w:spacing w:after="0"/>
              <w:rPr>
                <w:sz w:val="24"/>
                <w:szCs w:val="24"/>
                <w:color w:val="auto"/>
              </w:rPr>
            </w:pPr>
          </w:p>
        </w:tc>
        <w:tc>
          <w:tcPr>
            <w:tcW w:w="680" w:type="dxa"/>
            <w:vAlign w:val="bottom"/>
            <w:tcBorders>
              <w:bottom w:val="single" w:sz="8" w:color="050505"/>
            </w:tcBorders>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1080" w:type="dxa"/>
            <w:vAlign w:val="bottom"/>
            <w:tcBorders>
              <w:bottom w:val="single" w:sz="8" w:color="050505"/>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bottom w:val="single" w:sz="8" w:color="050505"/>
            </w:tcBorders>
          </w:tcPr>
          <w:p>
            <w:pPr>
              <w:spacing w:after="0"/>
              <w:rPr>
                <w:sz w:val="20"/>
                <w:szCs w:val="20"/>
                <w:color w:val="auto"/>
              </w:rPr>
            </w:pPr>
          </w:p>
        </w:tc>
        <w:tc>
          <w:tcPr>
            <w:tcW w:w="1020" w:type="dxa"/>
            <w:vAlign w:val="bottom"/>
            <w:tcBorders>
              <w:bottom w:val="single" w:sz="8" w:color="050505"/>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050505"/>
                <w:w w:val="98"/>
              </w:rPr>
              <w:t>12/31/2020</w:t>
            </w:r>
          </w:p>
        </w:tc>
        <w:tc>
          <w:tcPr>
            <w:tcW w:w="60" w:type="dxa"/>
            <w:vAlign w:val="bottom"/>
            <w:tcBorders>
              <w:bottom w:val="single" w:sz="8" w:color="050505"/>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050505"/>
            </w:tcBorders>
          </w:tcPr>
          <w:p>
            <w:pPr>
              <w:spacing w:after="0"/>
              <w:rPr>
                <w:sz w:val="20"/>
                <w:szCs w:val="20"/>
                <w:color w:val="auto"/>
              </w:rPr>
            </w:pPr>
          </w:p>
        </w:tc>
        <w:tc>
          <w:tcPr>
            <w:tcW w:w="1060" w:type="dxa"/>
            <w:vAlign w:val="bottom"/>
            <w:tcBorders>
              <w:bottom w:val="single" w:sz="8" w:color="050505"/>
            </w:tcBorders>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050505"/>
                <w:w w:val="98"/>
              </w:rPr>
              <w:t>12/31/2021</w:t>
            </w:r>
          </w:p>
        </w:tc>
        <w:tc>
          <w:tcPr>
            <w:tcW w:w="1300" w:type="dxa"/>
            <w:vAlign w:val="bottom"/>
            <w:tcBorders>
              <w:bottom w:val="single" w:sz="8" w:color="050505"/>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050505"/>
              </w:rPr>
              <w:t>12/31/2022</w:t>
            </w:r>
          </w:p>
        </w:tc>
        <w:tc>
          <w:tcPr>
            <w:tcW w:w="200" w:type="dxa"/>
            <w:vAlign w:val="bottom"/>
            <w:tcBorders>
              <w:bottom w:val="single" w:sz="8" w:color="050505"/>
            </w:tcBorders>
          </w:tcPr>
          <w:p>
            <w:pPr>
              <w:spacing w:after="0"/>
              <w:rPr>
                <w:sz w:val="20"/>
                <w:szCs w:val="20"/>
                <w:color w:val="auto"/>
              </w:rPr>
            </w:pPr>
          </w:p>
        </w:tc>
        <w:tc>
          <w:tcPr>
            <w:tcW w:w="920" w:type="dxa"/>
            <w:vAlign w:val="bottom"/>
            <w:tcBorders>
              <w:bottom w:val="single" w:sz="8" w:color="050505"/>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50505"/>
                <w:w w:val="96"/>
              </w:rPr>
              <w:t>12/31/2023</w:t>
            </w:r>
          </w:p>
        </w:tc>
        <w:tc>
          <w:tcPr>
            <w:tcW w:w="200" w:type="dxa"/>
            <w:vAlign w:val="bottom"/>
            <w:tcBorders>
              <w:bottom w:val="single" w:sz="8" w:color="050505"/>
            </w:tcBorders>
          </w:tcPr>
          <w:p>
            <w:pPr>
              <w:spacing w:after="0"/>
              <w:rPr>
                <w:sz w:val="20"/>
                <w:szCs w:val="20"/>
                <w:color w:val="auto"/>
              </w:rPr>
            </w:pPr>
          </w:p>
        </w:tc>
        <w:tc>
          <w:tcPr>
            <w:tcW w:w="1240" w:type="dxa"/>
            <w:vAlign w:val="bottom"/>
            <w:tcBorders>
              <w:bottom w:val="single" w:sz="8" w:color="050505"/>
            </w:tcBorders>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050505"/>
              </w:rPr>
              <w:t>12/31/2024</w:t>
            </w:r>
          </w:p>
        </w:tc>
        <w:tc>
          <w:tcPr>
            <w:tcW w:w="220" w:type="dxa"/>
            <w:vAlign w:val="bottom"/>
            <w:tcBorders>
              <w:bottom w:val="single" w:sz="8" w:color="050505"/>
            </w:tcBorders>
          </w:tcPr>
          <w:p>
            <w:pPr>
              <w:spacing w:after="0"/>
              <w:rPr>
                <w:sz w:val="20"/>
                <w:szCs w:val="20"/>
                <w:color w:val="auto"/>
              </w:rPr>
            </w:pPr>
          </w:p>
        </w:tc>
        <w:tc>
          <w:tcPr>
            <w:tcW w:w="1080" w:type="dxa"/>
            <w:vAlign w:val="bottom"/>
            <w:tcBorders>
              <w:bottom w:val="single" w:sz="8" w:color="050505"/>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050505"/>
                <w:w w:val="98"/>
              </w:rPr>
              <w:t>12/31/2025</w:t>
            </w:r>
          </w:p>
        </w:tc>
        <w:tc>
          <w:tcPr>
            <w:tcW w:w="0" w:type="dxa"/>
            <w:vAlign w:val="bottom"/>
          </w:tcPr>
          <w:p>
            <w:pPr>
              <w:spacing w:after="0"/>
              <w:rPr>
                <w:sz w:val="1"/>
                <w:szCs w:val="1"/>
                <w:color w:val="auto"/>
              </w:rPr>
            </w:pPr>
          </w:p>
        </w:tc>
      </w:tr>
      <w:tr>
        <w:trPr>
          <w:trHeight w:val="227"/>
        </w:trPr>
        <w:tc>
          <w:tcPr>
            <w:tcW w:w="2580" w:type="dxa"/>
            <w:vAlign w:val="bottom"/>
            <w:gridSpan w:val="3"/>
          </w:tcPr>
          <w:p>
            <w:pPr>
              <w:spacing w:after="0" w:line="227" w:lineRule="exact"/>
              <w:rPr>
                <w:sz w:val="20"/>
                <w:szCs w:val="20"/>
                <w:color w:val="auto"/>
              </w:rPr>
            </w:pPr>
            <w:r>
              <w:rPr>
                <w:rFonts w:ascii="Times New Roman" w:cs="Times New Roman" w:eastAsia="Times New Roman" w:hAnsi="Times New Roman"/>
                <w:sz w:val="20"/>
                <w:szCs w:val="20"/>
                <w:color w:val="050505"/>
              </w:rPr>
              <w:t>Allogene Therapeutics, Inc.</w:t>
            </w:r>
          </w:p>
        </w:tc>
        <w:tc>
          <w:tcPr>
            <w:tcW w:w="1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50505"/>
              </w:rPr>
              <w:t>$</w:t>
            </w:r>
          </w:p>
        </w:tc>
        <w:tc>
          <w:tcPr>
            <w:tcW w:w="1020" w:type="dxa"/>
            <w:vAlign w:val="bottom"/>
            <w:gridSpan w:val="2"/>
          </w:tcPr>
          <w:p>
            <w:pPr>
              <w:jc w:val="right"/>
              <w:ind w:right="40"/>
              <w:spacing w:after="0" w:line="227" w:lineRule="exact"/>
              <w:rPr>
                <w:sz w:val="20"/>
                <w:szCs w:val="20"/>
                <w:color w:val="auto"/>
              </w:rPr>
            </w:pPr>
            <w:r>
              <w:rPr>
                <w:rFonts w:ascii="Times New Roman" w:cs="Times New Roman" w:eastAsia="Times New Roman" w:hAnsi="Times New Roman"/>
                <w:sz w:val="20"/>
                <w:szCs w:val="20"/>
                <w:color w:val="050505"/>
              </w:rPr>
              <w:t>100.00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50505"/>
              </w:rPr>
              <w:t>$</w:t>
            </w:r>
          </w:p>
        </w:tc>
        <w:tc>
          <w:tcPr>
            <w:tcW w:w="106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20"/>
                <w:szCs w:val="20"/>
                <w:color w:val="050505"/>
              </w:rPr>
              <w:t>59.11</w:t>
            </w:r>
          </w:p>
        </w:tc>
        <w:tc>
          <w:tcPr>
            <w:tcW w:w="460" w:type="dxa"/>
            <w:vAlign w:val="bottom"/>
          </w:tcPr>
          <w:p>
            <w:pPr>
              <w:jc w:val="right"/>
              <w:ind w:right="143"/>
              <w:spacing w:after="0" w:line="227" w:lineRule="exact"/>
              <w:rPr>
                <w:sz w:val="20"/>
                <w:szCs w:val="20"/>
                <w:color w:val="auto"/>
              </w:rPr>
            </w:pPr>
            <w:r>
              <w:rPr>
                <w:rFonts w:ascii="Times New Roman" w:cs="Times New Roman" w:eastAsia="Times New Roman" w:hAnsi="Times New Roman"/>
                <w:sz w:val="20"/>
                <w:szCs w:val="20"/>
                <w:color w:val="050505"/>
              </w:rPr>
              <w:t>$</w:t>
            </w:r>
          </w:p>
        </w:tc>
        <w:tc>
          <w:tcPr>
            <w:tcW w:w="8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50505"/>
              </w:rPr>
              <w:t>24.92</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50505"/>
              </w:rPr>
              <w:t>$</w:t>
            </w:r>
          </w:p>
        </w:tc>
        <w:tc>
          <w:tcPr>
            <w:tcW w:w="320" w:type="dxa"/>
            <w:vAlign w:val="bottom"/>
          </w:tcPr>
          <w:p>
            <w:pPr>
              <w:spacing w:after="0"/>
              <w:rPr>
                <w:sz w:val="19"/>
                <w:szCs w:val="19"/>
                <w:color w:val="auto"/>
              </w:rPr>
            </w:pPr>
          </w:p>
        </w:tc>
        <w:tc>
          <w:tcPr>
            <w:tcW w:w="800" w:type="dxa"/>
            <w:vAlign w:val="bottom"/>
            <w:gridSpan w:val="2"/>
          </w:tcPr>
          <w:p>
            <w:pPr>
              <w:jc w:val="right"/>
              <w:ind w:right="140"/>
              <w:spacing w:after="0" w:line="227" w:lineRule="exact"/>
              <w:rPr>
                <w:sz w:val="20"/>
                <w:szCs w:val="20"/>
                <w:color w:val="auto"/>
              </w:rPr>
            </w:pPr>
            <w:r>
              <w:rPr>
                <w:rFonts w:ascii="Times New Roman" w:cs="Times New Roman" w:eastAsia="Times New Roman" w:hAnsi="Times New Roman"/>
                <w:sz w:val="20"/>
                <w:szCs w:val="20"/>
                <w:color w:val="050505"/>
              </w:rPr>
              <w:t>12.72</w:t>
            </w:r>
          </w:p>
        </w:tc>
        <w:tc>
          <w:tcPr>
            <w:tcW w:w="560" w:type="dxa"/>
            <w:vAlign w:val="bottom"/>
            <w:gridSpan w:val="2"/>
          </w:tcPr>
          <w:p>
            <w:pPr>
              <w:jc w:val="right"/>
              <w:ind w:right="320"/>
              <w:spacing w:after="0" w:line="227" w:lineRule="exact"/>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050505"/>
              </w:rPr>
              <w:t>8.44</w:t>
            </w: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050505"/>
              </w:rPr>
              <w:t>5.43</w:t>
            </w:r>
          </w:p>
        </w:tc>
        <w:tc>
          <w:tcPr>
            <w:tcW w:w="0" w:type="dxa"/>
            <w:vAlign w:val="bottom"/>
          </w:tcPr>
          <w:p>
            <w:pPr>
              <w:spacing w:after="0"/>
              <w:rPr>
                <w:sz w:val="1"/>
                <w:szCs w:val="1"/>
                <w:color w:val="auto"/>
              </w:rPr>
            </w:pPr>
          </w:p>
        </w:tc>
      </w:tr>
      <w:tr>
        <w:trPr>
          <w:trHeight w:val="271"/>
        </w:trPr>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050505"/>
              </w:rPr>
              <w:t>S&amp;P 500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050505"/>
              </w:rPr>
              <w:t>100.00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050505"/>
              </w:rPr>
              <w:t>127.71</w:t>
            </w:r>
          </w:p>
        </w:tc>
        <w:tc>
          <w:tcPr>
            <w:tcW w:w="4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05050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102.88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127.81</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w w:val="98"/>
              </w:rPr>
              <w:t>157.60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184.78</w:t>
            </w:r>
          </w:p>
        </w:tc>
        <w:tc>
          <w:tcPr>
            <w:tcW w:w="0" w:type="dxa"/>
            <w:vAlign w:val="bottom"/>
          </w:tcPr>
          <w:p>
            <w:pPr>
              <w:spacing w:after="0"/>
              <w:rPr>
                <w:sz w:val="1"/>
                <w:szCs w:val="1"/>
                <w:color w:val="auto"/>
              </w:rPr>
            </w:pP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050505"/>
              </w:rPr>
              <w:t>Nasdaq Biotechnology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050505"/>
              </w:rPr>
              <w:t>100.00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050505"/>
              </w:rPr>
              <w:t>99.56</w:t>
            </w:r>
          </w:p>
        </w:tc>
        <w:tc>
          <w:tcPr>
            <w:tcW w:w="4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05050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87.93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91.22</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89.52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119.12</w:t>
            </w:r>
          </w:p>
        </w:tc>
        <w:tc>
          <w:tcPr>
            <w:tcW w:w="0" w:type="dxa"/>
            <w:vAlign w:val="bottom"/>
          </w:tcPr>
          <w:p>
            <w:pPr>
              <w:spacing w:after="0"/>
              <w:rPr>
                <w:sz w:val="1"/>
                <w:szCs w:val="1"/>
                <w:color w:val="auto"/>
              </w:rPr>
            </w:pPr>
          </w:p>
        </w:tc>
      </w:tr>
      <w:tr>
        <w:trPr>
          <w:trHeight w:val="276"/>
        </w:trPr>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050505"/>
              </w:rPr>
              <w:t>Nasdaq Composite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050505"/>
              </w:rPr>
              <w:t>100.00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050505"/>
              </w:rPr>
              <w:t>122.31</w:t>
            </w:r>
          </w:p>
        </w:tc>
        <w:tc>
          <w:tcPr>
            <w:tcW w:w="460" w:type="dxa"/>
            <w:vAlign w:val="bottom"/>
          </w:tcPr>
          <w:p>
            <w:pPr>
              <w:jc w:val="right"/>
              <w:ind w:right="143"/>
              <w:spacing w:after="0"/>
              <w:rPr>
                <w:sz w:val="20"/>
                <w:szCs w:val="20"/>
                <w:color w:val="auto"/>
              </w:rPr>
            </w:pPr>
            <w:r>
              <w:rPr>
                <w:rFonts w:ascii="Times New Roman" w:cs="Times New Roman" w:eastAsia="Times New Roman" w:hAnsi="Times New Roman"/>
                <w:sz w:val="20"/>
                <w:szCs w:val="20"/>
                <w:color w:val="05050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81.32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2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116.64</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w w:val="98"/>
              </w:rPr>
              <w:t>151.41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-1582420</wp:posOffset>
            </wp:positionV>
            <wp:extent cx="139700" cy="139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2247900</wp:posOffset>
            </wp:positionH>
            <wp:positionV relativeFrom="paragraph">
              <wp:posOffset>-1582420</wp:posOffset>
            </wp:positionV>
            <wp:extent cx="139700" cy="13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-1582420</wp:posOffset>
            </wp:positionV>
            <wp:extent cx="139700" cy="139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3">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-1582420</wp:posOffset>
            </wp:positionV>
            <wp:extent cx="139700" cy="139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a:extLst>
                        <a:ext uri="{28A0092B-C50C-407E-A947-70E740481C1C}"/>
                      </a:extLst>
                    </a:blip>
                    <a:srcRect/>
                    <a:stretch>
                      <a:fillRect/>
                    </a:stretch>
                  </pic:blipFill>
                  <pic:spPr bwMode="auto">
                    <a:xfrm>
                      <a:off x="0" y="0"/>
                      <a:ext cx="139700" cy="1397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-661670</wp:posOffset>
            </wp:positionV>
            <wp:extent cx="6540500" cy="187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5">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-337820</wp:posOffset>
            </wp:positionV>
            <wp:extent cx="6540500" cy="187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50505"/>
        </w:rPr>
        <w:t>90</w:t>
      </w:r>
    </w:p>
    <w:p>
      <w:pPr>
        <w:sectPr>
          <w:pgSz w:w="12240" w:h="15840" w:orient="portrait"/>
          <w:cols w:equalWidth="0" w:num="1">
            <w:col w:w="10260"/>
          </w:cols>
          <w:pgMar w:left="1000" w:top="786" w:right="9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050505"/>
        </w:rPr>
        <w:t>Dividend Policy</w:t>
      </w:r>
    </w:p>
    <w:p>
      <w:pPr>
        <w:spacing w:after="0" w:line="137"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20"/>
          <w:szCs w:val="20"/>
          <w:color w:val="050505"/>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Purchases of Equity Securities by the Issuer and Affiliated Purchasers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Unregistered Sales of Equity Securities and Use of Proceeds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6. [Reserved]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7. Management’s Discussion and Analysis of Financial Condition and Results of Operations.</w:t>
      </w:r>
    </w:p>
    <w:p>
      <w:pPr>
        <w:spacing w:after="0" w:line="133" w:lineRule="exact"/>
        <w:rPr>
          <w:sz w:val="20"/>
          <w:szCs w:val="20"/>
          <w:color w:val="auto"/>
        </w:rPr>
      </w:pPr>
    </w:p>
    <w:p>
      <w:pPr>
        <w:ind w:right="160" w:firstLine="720"/>
        <w:spacing w:after="0" w:line="273" w:lineRule="auto"/>
        <w:rPr>
          <w:sz w:val="20"/>
          <w:szCs w:val="20"/>
          <w:color w:val="auto"/>
        </w:rPr>
      </w:pPr>
      <w:r>
        <w:rPr>
          <w:rFonts w:ascii="Times New Roman" w:cs="Times New Roman" w:eastAsia="Times New Roman" w:hAnsi="Times New Roman"/>
          <w:sz w:val="19"/>
          <w:szCs w:val="19"/>
          <w:b w:val="1"/>
          <w:bCs w:val="1"/>
          <w:i w:val="1"/>
          <w:iCs w:val="1"/>
          <w:color w:val="050505"/>
        </w:rPr>
        <w:t>The following discussion contains management’s discussion and analysis of our financial condition and results of operations and should be read together with the historical consolidated financial statements and the notes thereto included in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“Special Note Regarding Forward-Looking Statements” and “Risk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Overview</w:t>
      </w:r>
    </w:p>
    <w:p>
      <w:pPr>
        <w:spacing w:after="0" w:line="13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90"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20"/>
          <w:szCs w:val="20"/>
          <w:color w:val="050505"/>
        </w:rPr>
        <w:t>We have a deep pipeline of allogeneic chimeric antigen receptor (CAR) T cell product candidates targeting multiple promising antigens in a host of hematological malignancies, solid tumors and autoimmune diseases. We are focusing our resources on three core programs: ALPHA3, RESOLUTION and TRAVERSE clinical trials.</w:t>
      </w:r>
    </w:p>
    <w:p>
      <w:pPr>
        <w:spacing w:after="0" w:line="75"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In June 2024, we initiated a pivotal Phase 2 clinical trial (ALPHA3) evaluating cemacabtagene ansegedleucel (cema-cel, previously ALLO-501A) as part of a first-line (1L) consolidation treatment for patients newly diagnosed with large B-cell lymphoma (LBCL) who, despite initial treatment success, remain at high risk for relapse. A trial-in-progress poster highlighting ALPHA3 was presented at the 2025 Annual Meeting of the American Society of Clinical Oncology (ASCO, June 1, 2025). We now have over 60 activated trial sites in the United States and Canada. Additional sites in Australia and South Korea are progressing toward activation in mid-2026. We have met with European Union (EU) regulatory authorities and have received scientific advice to assist us with finalizing our regulatory strategy for opening the trial in the EU, and operational feasibility assessments for both the EU and United Kingdom (UK) are ongoing.</w:t>
      </w:r>
    </w:p>
    <w:p>
      <w:pPr>
        <w:spacing w:after="0" w:line="93"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050505"/>
        </w:rPr>
        <w:t>The ALPHA3 trial design expands on findings from our Phase 1 ALPHA2 study and incorporates an investigational diagnostic developed by Foresight Diagnostics, Inc., which was acquired by Natera, Inc. (Natera) in December 2025 and continues to operate as a standalone subsidiary. This diagnostic test identifies patients who, despite achieving remission according to standard evaluations, remain at risk due to minimal residual disease (MRD) following 1L chemoimmunotherapy. Patients eligible for enrollment include those who achieve either a complete response or a near-complete partial response to initial treatment and would otherwise be monitored through observation as the current standard of care. The trial’s primary endpoint is event-free survival (EFS).</w:t>
      </w:r>
    </w:p>
    <w:p>
      <w:pPr>
        <w:spacing w:after="0" w:line="90" w:lineRule="exact"/>
        <w:rPr>
          <w:sz w:val="20"/>
          <w:szCs w:val="20"/>
          <w:color w:val="auto"/>
        </w:rPr>
      </w:pPr>
    </w:p>
    <w:p>
      <w:pPr>
        <w:ind w:right="40" w:firstLine="720"/>
        <w:spacing w:after="0" w:line="311" w:lineRule="auto"/>
        <w:rPr>
          <w:sz w:val="20"/>
          <w:szCs w:val="20"/>
          <w:color w:val="auto"/>
        </w:rPr>
      </w:pPr>
      <w:r>
        <w:rPr>
          <w:rFonts w:ascii="Times New Roman" w:cs="Times New Roman" w:eastAsia="Times New Roman" w:hAnsi="Times New Roman"/>
          <w:sz w:val="20"/>
          <w:szCs w:val="20"/>
          <w:color w:val="050505"/>
        </w:rPr>
        <w:t>Initially, the trial was designed to randomize approximately 240 MRD-positive patients into one of three arms: (1) cema-cel therapy following lymphodepletion with standard fludarabine and cyclophosphamide (FC arm), (2) cema-cel therapy</w:t>
      </w:r>
    </w:p>
    <w:p>
      <w:pPr>
        <w:sectPr>
          <w:pgSz w:w="12240" w:h="15840" w:orient="portrait"/>
          <w:cols w:equalWidth="0" w:num="1">
            <w:col w:w="10220"/>
          </w:cols>
          <w:pgMar w:left="1000" w:top="786" w:right="1020" w:bottom="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91</w:t>
      </w:r>
    </w:p>
    <w:p>
      <w:pPr>
        <w:sectPr>
          <w:pgSz w:w="12240" w:h="15840" w:orient="portrait"/>
          <w:cols w:equalWidth="0" w:num="1">
            <w:col w:w="10220"/>
          </w:cols>
          <w:pgMar w:left="1000" w:top="786" w:right="1020" w:bottom="0" w:gutter="0" w:footer="0" w:header="0"/>
          <w:type w:val="continuous"/>
        </w:sectPr>
      </w:pPr>
    </w:p>
    <w:bookmarkStart w:id="95" w:name="page96"/>
    <w:bookmarkEnd w:id="95"/>
    <w:p>
      <w:pPr>
        <w:ind w:right="40"/>
        <w:spacing w:after="0" w:line="258" w:lineRule="auto"/>
        <w:rPr>
          <w:sz w:val="20"/>
          <w:szCs w:val="20"/>
          <w:color w:val="auto"/>
        </w:rPr>
      </w:pPr>
      <w:r>
        <w:rPr>
          <w:rFonts w:ascii="Times New Roman" w:cs="Times New Roman" w:eastAsia="Times New Roman" w:hAnsi="Times New Roman"/>
          <w:sz w:val="20"/>
          <w:szCs w:val="20"/>
          <w:color w:val="050505"/>
        </w:rPr>
        <w:t>following lymphodepletion with fludarabine, cyclophosphamide, and ALLO-647 (an anti-CD52 monoclonal antibody) (FCA arm), or (3) standard-of-care observation (control arm). On August 1, 2025, we announced that we selected standard fludarabine and cyclophosphamide (FC) as the lymphodepletion regimen. This lymphodepletion regimen selection was made in conjunction with the ALPHA3 Data and Safety Monitoring Board (DSMB) and Steering Committee and following consultation with the U.S. Food and Drug Administration (FDA).</w:t>
      </w:r>
    </w:p>
    <w:p>
      <w:pPr>
        <w:spacing w:after="0" w:line="84"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050505"/>
        </w:rPr>
        <w:t>The FCA arm is now closed to further enrollment. This decision, made ahead of the scheduled futility analysis, was prompted by a Grade 5 adverse event in the FCA arm that has been attributed to the use of ALLO-647. The event occurred on Day 54 post-infusion from hepatic failure, believed to have resulted from disseminated adenovirus infection in the setting of immune suppression. This event was deemed unrelated to cema-cel. Severe viral infections have been rare across our clinical trials. However, when present, they have been attributed to immunosuppression due in part to ALLO-647. There have been no cases of adenoviral infection or hepatic failure in any participant treated with only FC lymphodepletion across our trials.</w:t>
      </w:r>
    </w:p>
    <w:p>
      <w:pPr>
        <w:spacing w:after="0" w:line="88" w:lineRule="exact"/>
        <w:rPr>
          <w:sz w:val="20"/>
          <w:szCs w:val="20"/>
          <w:color w:val="auto"/>
        </w:rPr>
      </w:pPr>
    </w:p>
    <w:p>
      <w:pPr>
        <w:ind w:firstLine="720"/>
        <w:spacing w:after="0" w:line="286" w:lineRule="auto"/>
        <w:rPr>
          <w:sz w:val="20"/>
          <w:szCs w:val="20"/>
          <w:color w:val="auto"/>
        </w:rPr>
      </w:pPr>
      <w:r>
        <w:rPr>
          <w:rFonts w:ascii="Times New Roman" w:cs="Times New Roman" w:eastAsia="Times New Roman" w:hAnsi="Times New Roman"/>
          <w:sz w:val="19"/>
          <w:szCs w:val="19"/>
          <w:color w:val="050505"/>
        </w:rPr>
        <w:t>Following the adoption of standard FC in the ALPHA3 trial, none of our trials open to enrollment or pipeline programs include ALLO-647. Instead, we will advance our next-generation AlloCAR T product candidates using the proprietary Dagger® Platform Technology, which is designed to minimize or potentially eliminate the need for standard lymphodepletion.</w:t>
      </w:r>
    </w:p>
    <w:p>
      <w:pPr>
        <w:spacing w:after="0" w:line="59"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The amended ALPHA3 trial now proceeds as a randomized study with two arms, comparing cema-cel after standard FC lymphodepletion to observation, the current standard of care and will enroll approximately 220 patients. Statistical design of the trial and the prespecified study conduct remain the same. The next milestone will be the futility analysis comparing minimal residual disease (MRD) conversion and is expected to occur in April 2026. The Company expects to provide the rates of MRD clearance between the two arms at the time of this announcement. We anticipate that enrollment in the trial will be completed by the end of 2027.</w:t>
      </w:r>
    </w:p>
    <w:p>
      <w:pPr>
        <w:spacing w:after="0" w:line="88"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We have completed enrollment of 20 treated patients in an expansion cohort in a Phase 1b clinical trial (TRAVERSE) of ALLO-316, an allogeneic CAR T cell product candidate targeting CD70, in adult patients with advanced or metastatic clear cell renal cell carcinoma (RCC). The Phase 1b expansion cohort evaluated ALLO-316 administered as a single dose of 80 million CAR T cells following a standard lymphodepletion regimen (fludarabine 30 mg/m²/day and cyclophosphamide 500 mg/ m²/day for three days). On October 29, 2024, we announced that we had received Regenerative Medicine Advanced Therapy (RMAT) designation for ALLO-316 for adult patients with advanced or metastatic RCC.</w:t>
      </w:r>
    </w:p>
    <w:p>
      <w:pPr>
        <w:spacing w:after="0" w:line="88"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050505"/>
        </w:rPr>
        <w:t>In data presented on June 1, 2025, at the ASCO 2025 Annual Meeting, ALLO-316 demonstrated a confirmed overall response rate (ORR) of 31% in patients with high CD70 expression (TPS ≥50%), with 44% achieving at least a 30% reduction in tumor burden. Four out of five confirmed responders continue to maintain their responses, including one patient in sustained remission exceeding 12 months. The median duration of response (mDOR) has not yet been reached, underscoring the potential for long-term disease control.</w:t>
      </w:r>
    </w:p>
    <w:p>
      <w:pPr>
        <w:spacing w:after="0" w:line="8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We have implemented a diagnostic and treatment algorithm designed to mitigate treatment-associated immune effector cell-associated hyperinflammatory syndrome (IEC-HS) while preserving CAR T efficacy. We continue to believe this approach has proven effective by enabling early intervention and effective management, resulting in a safety profile consistent with standard lymphodepletion and active CAR T treatment.</w:t>
      </w:r>
    </w:p>
    <w:p>
      <w:pPr>
        <w:spacing w:after="0" w:line="83"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In July 2025, we held an RMAT meeting with the FDA regarding next steps for the ALLO-316 development program, and we believe we have reached alignment with the FDA on the design of a registration trial for adult patients with advanced or metastatic RCC. We continue to actively explore strategic opportunities, including potential partnerships, to advance this program.</w:t>
      </w:r>
    </w:p>
    <w:p>
      <w:pPr>
        <w:spacing w:after="0" w:line="8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We are developing ALLO-329, a next-generation allogeneic CAR T cell product candidate targeting both CD19 and CD70 for the treatment of certain autoimmune diseases (AID). Inclusion of an anti-CD70 CAR in ALLO-329 incorporates the Dagger® technology, which is designed to reduce or eliminate the need for standard chemotherapy by preventing premature rejection while targeting CD19+ B-cells and CD70+ activated T-cells, both of which play a role in AID. In January 2025, we announced that the FDA had cleared our investigational new drug (IND) application for a Phase 1 rheumatology basket study of ALLO-329 (RESOLUTION trial), which we initiated in the second quarter of 2025. Our RESOLUTION trial will evaluate the safety and efficacy of ALLO-329 across multiple autoimmune diseases, including systemic lupus erythematosus (SLE) (including lupus nephritis), idiopathic inflammatory myopathies (IIM), and systemic sclerosis (SSc). We anticipate having proof-of-concept data in June 2026, which we anticipate will include both biomarker and clinical data. On April 27, 2025, we announced that ALLO-329 had received three Fast Track Designations (FTD) from the FDA for the treatment of adult patients with SLE, IIM, and SSc.</w:t>
      </w:r>
    </w:p>
    <w:p>
      <w:pPr>
        <w:spacing w:after="0" w:line="93" w:lineRule="exact"/>
        <w:rPr>
          <w:sz w:val="20"/>
          <w:szCs w:val="20"/>
          <w:color w:val="auto"/>
        </w:rPr>
      </w:pPr>
    </w:p>
    <w:p>
      <w:pPr>
        <w:ind w:right="280" w:firstLine="720"/>
        <w:spacing w:after="0" w:line="286" w:lineRule="auto"/>
        <w:rPr>
          <w:sz w:val="20"/>
          <w:szCs w:val="20"/>
          <w:color w:val="auto"/>
        </w:rPr>
      </w:pPr>
      <w:r>
        <w:rPr>
          <w:rFonts w:ascii="Times New Roman" w:cs="Times New Roman" w:eastAsia="Times New Roman" w:hAnsi="Times New Roman"/>
          <w:sz w:val="19"/>
          <w:szCs w:val="19"/>
          <w:color w:val="050505"/>
        </w:rPr>
        <w:t>While we have additional programs in our pipeline, our clinical development priorities are focused on cema-cel (1L consolidation), ALLO-316 and ALLO-329. The development of our other product candidates is currently focused on pre-clinical studies, including studies of BCMA and DLL3 CARs with and without our CD70 Dagger® protein technology, and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92</w:t>
      </w:r>
    </w:p>
    <w:p>
      <w:pPr>
        <w:sectPr>
          <w:pgSz w:w="12240" w:h="15840" w:orient="portrait"/>
          <w:cols w:equalWidth="0" w:num="1">
            <w:col w:w="10240"/>
          </w:cols>
          <w:pgMar w:left="1000" w:top="793" w:right="1000" w:bottom="0" w:gutter="0" w:footer="0" w:header="0"/>
          <w:type w:val="continuous"/>
        </w:sectPr>
      </w:pPr>
    </w:p>
    <w:bookmarkStart w:id="96" w:name="page97"/>
    <w:bookmarkEnd w:id="96"/>
    <w:p>
      <w:pPr>
        <w:ind w:right="160"/>
        <w:spacing w:after="0" w:line="281" w:lineRule="auto"/>
        <w:rPr>
          <w:sz w:val="20"/>
          <w:szCs w:val="20"/>
          <w:color w:val="auto"/>
        </w:rPr>
      </w:pPr>
      <w:r>
        <w:rPr>
          <w:rFonts w:ascii="Times New Roman" w:cs="Times New Roman" w:eastAsia="Times New Roman" w:hAnsi="Times New Roman"/>
          <w:sz w:val="20"/>
          <w:szCs w:val="20"/>
          <w:color w:val="050505"/>
        </w:rPr>
        <w:t>various manufacturing improvements that may be applicable to such product candidates. We continue to explore opportunities to partner with collaborators on product candidates across our pipeline.</w:t>
      </w:r>
    </w:p>
    <w:p>
      <w:pPr>
        <w:spacing w:after="0" w:line="61"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In May 2024, we entered into an Amendment and Settlement Agreement (the Servier Amendment) under which we expanded the geographic territory for our CD19 license to include the EU and the UK. The Servier Amendment also grants us an option to further expand the licensed territory to include China and Japan upon the objective showing of sufficient resources to develop licensed products in those countries, which could be met through the Company entering into a strategic partnership covering those countries. Additionally, in February 2025, we entered into an Amended and Restated Strategic Collaboration Agreement with Foresight Diagnostics (which was acquired by Natera in December 2025 and continues to operate as a standalone subsidiary), which expands our collaboration to enable the development of Foresight Diagnostics’ MRD assay in the EU, UK, Canada and Australia in support of our clinical development of cema-cel.</w:t>
      </w:r>
    </w:p>
    <w:p>
      <w:pPr>
        <w:spacing w:after="0" w:line="93"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20"/>
          <w:szCs w:val="20"/>
          <w:color w:val="050505"/>
        </w:rPr>
        <w:t>In May 2025, we initiated a workforce reduction of approximately 28% of our employees (Workforce Reduction) in connection with a reduction in manufacturing operations and a reprioritization of resources to focus on our ongoing clinical programs. We believe we currently hold sufficient inventory of cema-cel, ALLO-329, and ALLO-316 to meet our near-term clinical needs, including completing our current ALPHA3, RESOLUTION and TRAVERSE trials. The Workforce Reduction was substantially completed in the second quarter of 2025, and we estimate that we incurred approximately $3.3 million in cash-based expenses related to employee severance payments, benefits and related costs in connection with the Workforce Reduction. We may also incur other charges, including cash expenditures, not currently contemplated due to events that may occur as a result of, or are associated with, the Workforce Reduction.</w:t>
      </w:r>
    </w:p>
    <w:p>
      <w:pPr>
        <w:spacing w:after="0" w:line="93"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050505"/>
        </w:rPr>
        <w:t>Since inception, we have had significant operating losses. Our net loss was $190.9 million for the year ended December 31, 2025. As of December 31, 2025, we had an accumulated deficit of $2.0 billion. As of December 31, 2025, we had $258.3 million in cash and cash equivalents and investments and we expect our cash runway to fund operations into the first quarter of 2028. We expect to continue to incur net losses for the foreseeable future, and we expect our research and development expenses and general and administrative expenses will continue to increase.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Our License and Collaboration Agreements</w:t>
      </w:r>
    </w:p>
    <w:p>
      <w:pPr>
        <w:spacing w:after="0" w:line="137" w:lineRule="exact"/>
        <w:rPr>
          <w:sz w:val="20"/>
          <w:szCs w:val="20"/>
          <w:color w:val="auto"/>
        </w:rPr>
      </w:pPr>
    </w:p>
    <w:p>
      <w:pPr>
        <w:jc w:val="both"/>
        <w:ind w:right="400" w:firstLine="720"/>
        <w:spacing w:after="0" w:line="266" w:lineRule="auto"/>
        <w:rPr>
          <w:sz w:val="20"/>
          <w:szCs w:val="20"/>
          <w:color w:val="auto"/>
        </w:rPr>
      </w:pPr>
      <w:r>
        <w:rPr>
          <w:rFonts w:ascii="Times New Roman" w:cs="Times New Roman" w:eastAsia="Times New Roman" w:hAnsi="Times New Roman"/>
          <w:sz w:val="20"/>
          <w:szCs w:val="20"/>
          <w:color w:val="050505"/>
        </w:rPr>
        <w:t>Below is a summary of the key terms for certain of our licenses and collaboration agreements. For a more detailed description of these agreements, refer to Note 6 on our consolidated financial statements included elsewhere in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Asset Contribution Agreement with Pfizer</w:t>
      </w:r>
    </w:p>
    <w:p>
      <w:pPr>
        <w:spacing w:after="0" w:line="139"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In April 2018, we entered into an Asset Contribution Agreement (the Pfizer Agreement) with Pfizer pursuant to which we acquired certain assets and assumed certain liabilities from Pfizer, including agreements with Cellectis S.A. (Cellectis) and Servier as described below, and other intellectual property for the development and administration of CAR T cells for the treatment of cancer.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Research Collaboration and License Agreement with Cellectis</w:t>
      </w:r>
    </w:p>
    <w:p>
      <w:pPr>
        <w:spacing w:after="0" w:line="139"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In June 2014, Pfizer entered into a Research Collaboration and License Agreement with Cellectis. In April 2018, Pfizer assigned the agreement to us pursuant to the Pfizer Agreement. In March 2019, we terminated the agreement with Cellectis and entered into a new license agreement with Cellectis (the Cellectis Agreement). Under the Cellectis Agreement, Cellectis granted us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CD70, Claudin 18.2, DLL3 and FLT3 (the Allogene Targets), for human oncologic therapeutic, diagnostic, prophylactic and prognostic purposes.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Exclusive License Agreement with Servier</w:t>
      </w:r>
    </w:p>
    <w:p>
      <w:pPr>
        <w:spacing w:after="0" w:line="139"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In October 2015, Pfizer entered into an Exclusive License Agreement with Servier (the Original Servier Agreement) to develop, manufacture and commercialize certain allogeneic anti-CD19 CAR products, including UCART19, in the United States with the option to obtain the rights over certain additional allogeneic anti-CD19 CAR product candidates and for allogeneic CAR T cell product candidates directed against one additional target. In April 2018, Pfizer assigned the agreement to us pursuant to the Pfizer Agreement. In October 2019, we agreed to waive our rights to the one additional target.</w:t>
      </w:r>
    </w:p>
    <w:p>
      <w:pPr>
        <w:spacing w:after="0" w:line="84" w:lineRule="exact"/>
        <w:rPr>
          <w:sz w:val="20"/>
          <w:szCs w:val="20"/>
          <w:color w:val="auto"/>
        </w:rPr>
      </w:pPr>
    </w:p>
    <w:p>
      <w:pPr>
        <w:ind w:firstLine="720"/>
        <w:spacing w:after="0" w:line="286" w:lineRule="auto"/>
        <w:rPr>
          <w:sz w:val="20"/>
          <w:szCs w:val="20"/>
          <w:color w:val="auto"/>
        </w:rPr>
      </w:pPr>
      <w:r>
        <w:rPr>
          <w:rFonts w:ascii="Times New Roman" w:cs="Times New Roman" w:eastAsia="Times New Roman" w:hAnsi="Times New Roman"/>
          <w:sz w:val="19"/>
          <w:szCs w:val="19"/>
          <w:color w:val="050505"/>
        </w:rPr>
        <w:t>In May 2024, we entered into an Amendment and Settlement Agreement (the Servier Amendment) with Servier under which we: (1) expanded our territory under the Original Servier Agreement to include the European Union and the United Kingdom, and provided for an option to further expand our territory to include China and Japan, (2) waived certain of our rights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93</w:t>
      </w:r>
    </w:p>
    <w:p>
      <w:pPr>
        <w:sectPr>
          <w:pgSz w:w="12240" w:h="15840" w:orient="portrait"/>
          <w:cols w:equalWidth="0" w:num="1">
            <w:col w:w="10240"/>
          </w:cols>
          <w:pgMar w:left="1000" w:top="793" w:right="1000" w:bottom="0" w:gutter="0" w:footer="0" w:header="0"/>
          <w:type w:val="continuous"/>
        </w:sectPr>
      </w:pPr>
    </w:p>
    <w:bookmarkStart w:id="97" w:name="page98"/>
    <w:bookmarkEnd w:id="97"/>
    <w:p>
      <w:pPr>
        <w:spacing w:after="0" w:line="253" w:lineRule="auto"/>
        <w:rPr>
          <w:sz w:val="20"/>
          <w:szCs w:val="20"/>
          <w:color w:val="auto"/>
        </w:rPr>
      </w:pPr>
      <w:r>
        <w:rPr>
          <w:rFonts w:ascii="Times New Roman" w:cs="Times New Roman" w:eastAsia="Times New Roman" w:hAnsi="Times New Roman"/>
          <w:sz w:val="20"/>
          <w:szCs w:val="20"/>
          <w:color w:val="050505"/>
        </w:rPr>
        <w:t>to elect to convert certain of our license rights to a worldwide license, (3) revised our future milestone payments to coincide with Servier’s milestone payments to Cellectis under the Servier-Cellectis Agreement, (4) agreed to pre-pay a future €20 million milestone payment into an escrow account, and (5) increased the United States tiered royalty rates to a range from the low tens to the mid teen percentages, and agreed to an ex-U.S. royalty rate of 10%. On December 15, 2025, Cellectis publicly reported that an arbitral tribunal issued a decision providing for a partial termination of the Servier-Cellectis Agreement with respect to UCART19V1,which is the same as ALLO-501, a product candidate which we previously abandoned in favor of cema-cel (formerly known as ALLO-501A), and affirmed continued licensing rights relating to cema-cel. As a result of that decision, our Servier license covering UCART19V1/ALLO-501 was automatically terminated. The arbitration decision requires Cellectis, at our request, to engage in good-faith discussions regarding the granting of a direct license to UCART19V1/ ALLO-501.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Collaboration and License Agreement with Roche (formerly Notch)</w:t>
      </w:r>
    </w:p>
    <w:p>
      <w:pPr>
        <w:spacing w:after="0" w:line="139"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050505"/>
        </w:rPr>
        <w:t>On November 1, 2019, we entered into a Collaboration and License Agreement (the Notch Agreement) with Notch Therapeutics Inc. (Notch), pursuant to which Notch granted us an exclusive, worldwide, royalty-bearing, sublicensable license under certain of Notch’s intellectual property to develop, make, use, sell, import, and otherwise commercialize therapeutic gene-edited T cell and/or natural killer cell products from induced pluripotent stem cells directed at certain CAR targets for initial application in NHL, B-cell precursor acute lymphoblastic leukemia (ALL) and multiple myeloma. In addition, Notch has granted us an option to add certain specified targets to our exclusive license in exchange for an agreed upon per-target option fee.</w:t>
      </w:r>
    </w:p>
    <w:p>
      <w:pPr>
        <w:spacing w:after="0" w:line="90"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On January 25, 2024, we entered into an Amended and Restated Collaboration and License Agreement (the Amended Notch Agreement) with Notch. The Amended Notch Agreement amends and restates the Notch Agreement. Under the Amended Notch Agreement, we have relinquished our exclusive rights to all original CAR targets (the Released Targets) except for one CAR target, and have agreed to limit our option right to only one additional CAR target. If the option is exercised, we will have a minimum funding commitment for the overall development program. If Notch subsequently out-licenses any of the Released Targets (whether through an out-license, partnership, sale, or other transaction), we will be entitled to receive a percentage of upfront and/or milestone payments associated therewith up to a set cap of $30.0 million, and will be entitled to a low, single-digit royalty on net sales of products containing a Released Target.</w:t>
      </w:r>
    </w:p>
    <w:p>
      <w:pPr>
        <w:spacing w:after="0" w:line="93"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050505"/>
        </w:rPr>
        <w:t>Following F. Hoffmann-La Roche AG’s (Roche) acquisition of Notch, in March 2025, Notch was dissolved, and Roche became Notch’s successor in interest under our agreement. In connection with such acquisition, on March 31, 2025 we entered into a Second Amendment to Amended and Restated Collaboration and License Agreement (Second Amended Notch Agreement) with Notch under which the definitions of certain terms were clarified, certain time periods for completing the transfer of certain technology were extended, and the scope of Allogene’s exclusive rights were clarified.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Strategic Alliance with The University of Texas MD Anderson Cancer Center</w:t>
      </w:r>
    </w:p>
    <w:p>
      <w:pPr>
        <w:spacing w:after="0" w:line="139"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20"/>
          <w:szCs w:val="20"/>
          <w:color w:val="050505"/>
        </w:rPr>
        <w:t>On October 6, 2020, we entered into a strategic five-year collaboration agreement with The University of Texas MD Anderson Cancer Center (MD Anderson) for the preclinical and clinical investigation of allogeneic CAR T cell product candidates. In August 2025 the Company extended the term of the agreement for an additional year.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License Agreement with Overland Therapeutics, Inc.</w:t>
      </w:r>
    </w:p>
    <w:p>
      <w:pPr>
        <w:spacing w:after="0" w:line="13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On December 14, 2020, we entered into a License Agreement with Allogene Overland Biopharm (CY) Limited (Allogene Overland) (the License Agreement), a joint venture established by us and Overland Pharmaceuticals (CY) Inc. (Overland), pursuant to a Share Purchase Agreement (Share Purchase Agreement), dated December 14, 2020, for the purpose of developing, manufacturing and commercializing certain allogeneic CAR T cell therapies directed at four targets, BCMA, CD70, FLT3 and DLL3 (Overland Licensed Products) for patients in greater China, Taiwan, South Korea and Singapore (the JV Territory). Allogene Overland subsequently assigned the License Agreement to a wholly owned subsidiary, Allogene Overland BioPharm (HK) Limited (Allogene Overland HK). On April 1, 2022, Allogene Overland HK assigned the License Agreement to Allogene Overland Biopharm (PRC) Co., Limited (Allogene Overland PRC).</w:t>
      </w:r>
    </w:p>
    <w:p>
      <w:pPr>
        <w:spacing w:after="0" w:line="93"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050505"/>
        </w:rPr>
        <w:t>On May 24, 2024, we, Overland and Allogene Overland entered into a Share Exchange Agreement (Share Exchange Agreement) pursuant to which Overland’s cell therapy business merged into Allogene Overland (the Organizational Restructuring).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spacing w:after="0" w:line="88" w:lineRule="exact"/>
        <w:rPr>
          <w:sz w:val="20"/>
          <w:szCs w:val="20"/>
          <w:color w:val="auto"/>
        </w:rPr>
      </w:pPr>
    </w:p>
    <w:p>
      <w:pPr>
        <w:ind w:right="80" w:firstLine="720"/>
        <w:spacing w:after="0" w:line="281" w:lineRule="auto"/>
        <w:rPr>
          <w:sz w:val="20"/>
          <w:szCs w:val="20"/>
          <w:color w:val="auto"/>
        </w:rPr>
      </w:pPr>
      <w:r>
        <w:rPr>
          <w:rFonts w:ascii="Times New Roman" w:cs="Times New Roman" w:eastAsia="Times New Roman" w:hAnsi="Times New Roman"/>
          <w:sz w:val="20"/>
          <w:szCs w:val="20"/>
          <w:color w:val="050505"/>
        </w:rPr>
        <w:t>In connection with the Organizational Restructuring, on May 24, 2024, we and Allogene Overland PRC entered into a First Amendment to Exclusive License Agreement (the License Amendment) to amend and supplement certain provisions of</w:t>
      </w:r>
    </w:p>
    <w:p>
      <w:pPr>
        <w:sectPr>
          <w:pgSz w:w="12240" w:h="15840" w:orient="portrait"/>
          <w:cols w:equalWidth="0" w:num="1">
            <w:col w:w="10240"/>
          </w:cols>
          <w:pgMar w:left="1000" w:top="793" w:right="100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94</w:t>
      </w:r>
    </w:p>
    <w:p>
      <w:pPr>
        <w:sectPr>
          <w:pgSz w:w="12240" w:h="15840" w:orient="portrait"/>
          <w:cols w:equalWidth="0" w:num="1">
            <w:col w:w="10240"/>
          </w:cols>
          <w:pgMar w:left="1000" w:top="793" w:right="1000" w:bottom="0" w:gutter="0" w:footer="0" w:header="0"/>
          <w:type w:val="continuous"/>
        </w:sectPr>
      </w:pPr>
    </w:p>
    <w:bookmarkStart w:id="98" w:name="page99"/>
    <w:bookmarkEnd w:id="98"/>
    <w:p>
      <w:pPr>
        <w:spacing w:after="0" w:line="252" w:lineRule="auto"/>
        <w:rPr>
          <w:sz w:val="20"/>
          <w:szCs w:val="20"/>
          <w:color w:val="auto"/>
        </w:rPr>
      </w:pPr>
      <w:r>
        <w:rPr>
          <w:rFonts w:ascii="Times New Roman" w:cs="Times New Roman" w:eastAsia="Times New Roman" w:hAnsi="Times New Roman"/>
          <w:sz w:val="20"/>
          <w:szCs w:val="20"/>
          <w:color w:val="050505"/>
        </w:rPr>
        <w:t>the License Agreement. Under the License Amendment, we continue to grant Allogene Overland PRC an exclusive license to develop, manufacture, and commercialize the Overland Licensed Products in the Territory, with us retaining exclusive rights to the Overland Licensed Products outside the JV Territory, and the royalty obligations to us were amended to a flat mid single-digit royalty on net sales in the JV Territory that are no longer subject to reductions as previously provided. The License Amendment also provides us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provides that the License Agreement will terminate automatically if our ownership in Allogene Overland falls below 7.5% (other than due to our sale of the shares of Allogene Overland), unless at that time we and Allogene Overland PRC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 of up to $115 million in milestone payments for each Overland Licensed Product and tiered mid single-digit to low double-digit royalties on net sales in the JV Territory.</w:t>
      </w:r>
    </w:p>
    <w:p>
      <w:pPr>
        <w:spacing w:after="0" w:line="99" w:lineRule="exact"/>
        <w:rPr>
          <w:sz w:val="20"/>
          <w:szCs w:val="20"/>
          <w:color w:val="auto"/>
        </w:rPr>
      </w:pPr>
    </w:p>
    <w:p>
      <w:pPr>
        <w:ind w:right="40" w:firstLine="720"/>
        <w:spacing w:after="0" w:line="281" w:lineRule="auto"/>
        <w:rPr>
          <w:sz w:val="20"/>
          <w:szCs w:val="20"/>
          <w:color w:val="auto"/>
        </w:rPr>
      </w:pPr>
      <w:r>
        <w:rPr>
          <w:rFonts w:ascii="Times New Roman" w:cs="Times New Roman" w:eastAsia="Times New Roman" w:hAnsi="Times New Roman"/>
          <w:sz w:val="20"/>
          <w:szCs w:val="20"/>
          <w:color w:val="050505"/>
        </w:rPr>
        <w:t>As part of the Organizational Restructuring, Allogene Overland was renamed to Overland Therapeutics Inc. (Overland Therapeutics).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Collaboration and License Agreement with Antion</w:t>
      </w:r>
    </w:p>
    <w:p>
      <w:pPr>
        <w:spacing w:after="0" w:line="13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On January 5, 2022, we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On July 11, 2023, we entered into an amendment to the Antion Collaboration and License Agreement, which included a $2.0 million investment in Antion’s preferred shares and the acquisition of warrants to purchase an additional $3.0 million of Antion’s preferred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Strategic Collaboration Agreement with Foresight Diagnostics</w:t>
      </w:r>
    </w:p>
    <w:p>
      <w:pPr>
        <w:spacing w:after="0" w:line="139"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050505"/>
        </w:rPr>
        <w:t>On January 3, 2024, we entered into a Strategic Collaboration Agreement (the Foresight Agreement) with Foresight Diagnostics, Inc. (Foresight Diagnostics). In December 2025, Foresight Diagnostics was acquired by Natera and continues to operate as a standalone subsidiary. Pursuant to the Foresight Agreement, the parties have agreed to collaborate on a non-exclusive basis in the development of Foresight Diagnostics’ CLARITY</w:t>
      </w:r>
      <w:r>
        <w:rPr>
          <w:rFonts w:ascii="Times New Roman" w:cs="Times New Roman" w:eastAsia="Times New Roman" w:hAnsi="Times New Roman"/>
          <w:sz w:val="26"/>
          <w:szCs w:val="26"/>
          <w:color w:val="050505"/>
          <w:vertAlign w:val="superscript"/>
        </w:rPr>
        <w:t>TM</w:t>
      </w:r>
      <w:r>
        <w:rPr>
          <w:rFonts w:ascii="Times New Roman" w:cs="Times New Roman" w:eastAsia="Times New Roman" w:hAnsi="Times New Roman"/>
          <w:sz w:val="20"/>
          <w:szCs w:val="20"/>
          <w:color w:val="050505"/>
        </w:rPr>
        <w:t xml:space="preserve"> MRD assay as an in vitro diagnostic to identify the MRD+ patient population to be enrolled in our ALPHA3 trial of cemacabtagene ansegedleucel, or cema-cel (previously known as ALLO-501A) for treatment of LBCL. Under the Foresight Agreement, we have agreed to use commercially reasonable efforts to obtain regulatory approval of cema-cel, and Foresight Diagnostics has agreed to use commercially reasonable efforts to obtain regulatory approval of an MRD assay for use as an in vitro diagnostic with cema-cel.</w:t>
      </w:r>
    </w:p>
    <w:p>
      <w:pPr>
        <w:spacing w:after="0" w:line="99" w:lineRule="exact"/>
        <w:rPr>
          <w:sz w:val="20"/>
          <w:szCs w:val="20"/>
          <w:color w:val="auto"/>
        </w:rPr>
      </w:pPr>
    </w:p>
    <w:p>
      <w:pPr>
        <w:ind w:right="240" w:firstLine="720"/>
        <w:spacing w:after="0" w:line="256" w:lineRule="auto"/>
        <w:rPr>
          <w:sz w:val="20"/>
          <w:szCs w:val="20"/>
          <w:color w:val="auto"/>
        </w:rPr>
      </w:pPr>
      <w:r>
        <w:rPr>
          <w:rFonts w:ascii="Times New Roman" w:cs="Times New Roman" w:eastAsia="Times New Roman" w:hAnsi="Times New Roman"/>
          <w:sz w:val="20"/>
          <w:szCs w:val="20"/>
          <w:color w:val="050505"/>
        </w:rPr>
        <w:t>On February 19, 2025, we entered into an Amended and Restated Strategic Collaboration Agreement with Foresight Diagnostics which expands our collaboration to include the development of Foresight Diagnostics’ MRD assay for use with cema-cel as part of a possible EU and/or UK clinical development program, and as part of an expansion of ALPHA3 to Canadian and Australian clinical trial sites in support of our U.S. clinical development program. In total, we have agreed to fund approximately $37.3 million in MRD assay development costs, milestone payments for U.S., and certain international regulatory submissions and assay utilization costs to process clinical samples.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Components of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Revenues</w:t>
      </w:r>
    </w:p>
    <w:p>
      <w:pPr>
        <w:spacing w:after="0" w:line="139" w:lineRule="exact"/>
        <w:rPr>
          <w:sz w:val="20"/>
          <w:szCs w:val="20"/>
          <w:color w:val="auto"/>
        </w:rPr>
      </w:pPr>
    </w:p>
    <w:p>
      <w:pPr>
        <w:jc w:val="both"/>
        <w:ind w:right="360" w:firstLine="720"/>
        <w:spacing w:after="0" w:line="266" w:lineRule="auto"/>
        <w:rPr>
          <w:sz w:val="20"/>
          <w:szCs w:val="20"/>
          <w:color w:val="auto"/>
        </w:rPr>
      </w:pPr>
      <w:r>
        <w:rPr>
          <w:rFonts w:ascii="Times New Roman" w:cs="Times New Roman" w:eastAsia="Times New Roman" w:hAnsi="Times New Roman"/>
          <w:sz w:val="20"/>
          <w:szCs w:val="20"/>
          <w:color w:val="050505"/>
        </w:rPr>
        <w:t>As of December 31, 2025, our revenue has been exclusively generated from the License Agreement with Overland Therapeutics. Refer to Note 6 on our consolidated financial statements appearing elsewhere in this Annual Report for more information related to our recognition of revenue and the License Agreement.</w:t>
      </w:r>
    </w:p>
    <w:p>
      <w:pPr>
        <w:spacing w:after="0" w:line="75"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050505"/>
        </w:rPr>
        <w:t>In the future, we may generate revenue from a combination of product sales, marketing and distribution arrangements and other collaborations, strategic alliances and licensing arrangements or a combination of these approaches. We expect that any revenue we generate will fluctuate from quarter to quarter as a result of the timing and amount of license fees, milestones and other payments, and the amount and timing of payments that we receive upon the sale of our products, to the extent any are successfully commercialized. If we fail to complete the development of our product candidates in a timely manner or obtain regulatory approval of them, our ability to generate future revenue, and our results of operations and financial position, will be materially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Operating Expenses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95</w:t>
      </w:r>
    </w:p>
    <w:p>
      <w:pPr>
        <w:sectPr>
          <w:pgSz w:w="12240" w:h="15840" w:orient="portrait"/>
          <w:cols w:equalWidth="0" w:num="1">
            <w:col w:w="10240"/>
          </w:cols>
          <w:pgMar w:left="1000" w:top="793" w:right="1000" w:bottom="0" w:gutter="0" w:footer="0" w:header="0"/>
          <w:type w:val="continuous"/>
        </w:sectPr>
      </w:pPr>
    </w:p>
    <w:bookmarkStart w:id="99" w:name="page100"/>
    <w:bookmarkEnd w:id="99"/>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Research and Development</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To date, our research and development expenses have related primarily to discovery efforts, preclinical and clinical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development, and manufacturing of our product candidates. Research and development expenses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50505"/>
        </w:rPr>
        <w:t>December 31, 2025 included costs associated with our clinical and preclinical stage pipeline candidates and research into newer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technologies. The most significant research and development expenses relate to costs incurred for the development of our most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advanced product candidates and include:</w:t>
      </w:r>
    </w:p>
    <w:p>
      <w:pPr>
        <w:spacing w:after="0" w:line="110" w:lineRule="exact"/>
        <w:rPr>
          <w:sz w:val="20"/>
          <w:szCs w:val="20"/>
          <w:color w:val="auto"/>
        </w:rPr>
      </w:pPr>
    </w:p>
    <w:p>
      <w:pPr>
        <w:ind w:left="1440" w:right="240" w:hanging="550"/>
        <w:spacing w:after="0" w:line="266" w:lineRule="auto"/>
        <w:tabs>
          <w:tab w:leader="none" w:pos="1440" w:val="left"/>
        </w:tabs>
        <w:numPr>
          <w:ilvl w:val="0"/>
          <w:numId w:val="5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expenses incurred under agreements with our collaboration partners and third-party contract organizations, investigative clinical trial sites that conduct research and development activities on our behalf, and consultants;</w:t>
      </w:r>
    </w:p>
    <w:p>
      <w:pPr>
        <w:spacing w:after="0" w:line="75" w:lineRule="exact"/>
        <w:rPr>
          <w:rFonts w:ascii="Times New Roman" w:cs="Times New Roman" w:eastAsia="Times New Roman" w:hAnsi="Times New Roman"/>
          <w:sz w:val="20"/>
          <w:szCs w:val="20"/>
          <w:color w:val="050505"/>
        </w:rPr>
      </w:pPr>
    </w:p>
    <w:p>
      <w:pPr>
        <w:ind w:left="1440" w:right="740" w:hanging="550"/>
        <w:spacing w:after="0" w:line="281" w:lineRule="auto"/>
        <w:tabs>
          <w:tab w:leader="none" w:pos="1440" w:val="left"/>
        </w:tabs>
        <w:numPr>
          <w:ilvl w:val="0"/>
          <w:numId w:val="5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costs related to production of clinical materials, including fees paid for raw materials and to contract manufacturers;</w:t>
      </w:r>
    </w:p>
    <w:p>
      <w:pPr>
        <w:spacing w:after="0" w:line="61"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laboratory and vendor expenses related to the execution of preclinical and clinical trials;</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employee-related expenses, which include salaries, benefits and stock-based compensation;</w:t>
      </w:r>
    </w:p>
    <w:p>
      <w:pPr>
        <w:spacing w:after="0" w:line="130" w:lineRule="exact"/>
        <w:rPr>
          <w:rFonts w:ascii="Times New Roman" w:cs="Times New Roman" w:eastAsia="Times New Roman" w:hAnsi="Times New Roman"/>
          <w:sz w:val="20"/>
          <w:szCs w:val="20"/>
          <w:color w:val="050505"/>
        </w:rPr>
      </w:pPr>
    </w:p>
    <w:p>
      <w:pPr>
        <w:ind w:left="1440" w:right="100" w:hanging="550"/>
        <w:spacing w:after="0" w:line="281" w:lineRule="auto"/>
        <w:tabs>
          <w:tab w:leader="none" w:pos="1440" w:val="left"/>
        </w:tabs>
        <w:numPr>
          <w:ilvl w:val="0"/>
          <w:numId w:val="5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facilities and other expenses, which include expenses for rent and maintenance of facilities, depreciation and amortization expense and supplies; and</w:t>
      </w:r>
    </w:p>
    <w:p>
      <w:pPr>
        <w:spacing w:after="0" w:line="61"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0"/>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other significant research and development costs including overhead costs.</w:t>
      </w:r>
    </w:p>
    <w:p>
      <w:pPr>
        <w:spacing w:after="0" w:line="13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We expense all research and development costs in the periods in which they are incurred. We accrue for costs incurred as the services are being provided by monitoring the status of the project and the invoices received from our external service providers. We adjust our accrual as actual costs become known. Where contingent milestone payments are due to third parties under research and development arrangements or license agreements, the milestone payment obligations are expensed when the milestone results are achieved.</w:t>
      </w:r>
    </w:p>
    <w:p>
      <w:pPr>
        <w:spacing w:after="0" w:line="84"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in the future as our clinical programs progress and as we seek to initiate clinical trials of additional product candidates. The cost of advancing our manufacturing process as well as the cost of manufacturing product candidates for clinical trials are included in our research and development expense. We also expect to incur increased research and development expenses as we selectively identify and develop additional product candidates. However, it is difficult to determine with certainty the duration and completion costs of our current or future preclinical programs and clinical trials of our product candidates.</w:t>
      </w:r>
    </w:p>
    <w:p>
      <w:pPr>
        <w:spacing w:after="0" w:line="93" w:lineRule="exact"/>
        <w:rPr>
          <w:sz w:val="20"/>
          <w:szCs w:val="20"/>
          <w:color w:val="auto"/>
        </w:rPr>
      </w:pPr>
    </w:p>
    <w:p>
      <w:pPr>
        <w:ind w:right="40" w:firstLine="720"/>
        <w:spacing w:after="0" w:line="281" w:lineRule="auto"/>
        <w:rPr>
          <w:sz w:val="20"/>
          <w:szCs w:val="20"/>
          <w:color w:val="auto"/>
        </w:rPr>
      </w:pPr>
      <w:r>
        <w:rPr>
          <w:rFonts w:ascii="Times New Roman" w:cs="Times New Roman" w:eastAsia="Times New Roman" w:hAnsi="Times New Roman"/>
          <w:sz w:val="20"/>
          <w:szCs w:val="20"/>
          <w:color w:val="050505"/>
        </w:rPr>
        <w:t>The duration, costs and timing of clinical trials and development of our product candidates will depend on a variety of factors that include, but are not limited to, the following:</w:t>
      </w:r>
    </w:p>
    <w:p>
      <w:pPr>
        <w:spacing w:after="0" w:line="61" w:lineRule="exact"/>
        <w:rPr>
          <w:sz w:val="20"/>
          <w:szCs w:val="20"/>
          <w:color w:val="auto"/>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per patient trial costs;</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biomarker analysis costs;</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cost and timing of manufacturing for the trials;</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number of patients that participate in the trials;</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number of sites included in the trials;</w:t>
      </w:r>
    </w:p>
    <w:p>
      <w:pPr>
        <w:spacing w:after="0" w:line="130" w:lineRule="exact"/>
        <w:rPr>
          <w:rFonts w:ascii="Times New Roman" w:cs="Times New Roman" w:eastAsia="Times New Roman" w:hAnsi="Times New Roman"/>
          <w:sz w:val="20"/>
          <w:szCs w:val="20"/>
          <w:color w:val="050505"/>
        </w:rPr>
      </w:pPr>
    </w:p>
    <w:p>
      <w:pPr>
        <w:ind w:left="1440" w:right="60" w:hanging="550"/>
        <w:spacing w:after="0" w:line="281" w:lineRule="auto"/>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number of patients we are required to screen with eligibility tests (e.g. MRD assays) in order to reach our enrollment targets;</w:t>
      </w:r>
    </w:p>
    <w:p>
      <w:pPr>
        <w:spacing w:after="0" w:line="61"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countries in which the trials are conducted;</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length of time required to enroll eligible patients;</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total number of cells that patients receive;</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drop-out or discontinuation rates of patients;</w:t>
      </w:r>
    </w:p>
    <w:p>
      <w:pPr>
        <w:spacing w:after="0" w:line="130" w:lineRule="exact"/>
        <w:rPr>
          <w:rFonts w:ascii="Times New Roman" w:cs="Times New Roman" w:eastAsia="Times New Roman" w:hAnsi="Times New Roman"/>
          <w:sz w:val="20"/>
          <w:szCs w:val="20"/>
          <w:color w:val="050505"/>
        </w:rPr>
      </w:pPr>
    </w:p>
    <w:p>
      <w:pPr>
        <w:ind w:left="1440" w:right="120" w:hanging="550"/>
        <w:spacing w:after="0" w:line="281" w:lineRule="auto"/>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potential additional safety monitoring or other studies requested by regulatory agencies, including to resolve any future clinical hold;</w:t>
      </w:r>
    </w:p>
    <w:p>
      <w:pPr>
        <w:spacing w:after="0" w:line="61"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duration of patient follow-up; and</w:t>
      </w:r>
    </w:p>
    <w:p>
      <w:pPr>
        <w:spacing w:after="0" w:line="130" w:lineRule="exact"/>
        <w:rPr>
          <w:rFonts w:ascii="Times New Roman" w:cs="Times New Roman" w:eastAsia="Times New Roman" w:hAnsi="Times New Roman"/>
          <w:sz w:val="20"/>
          <w:szCs w:val="20"/>
          <w:color w:val="050505"/>
        </w:rPr>
      </w:pPr>
    </w:p>
    <w:p>
      <w:pPr>
        <w:ind w:left="1440" w:hanging="550"/>
        <w:spacing w:after="0"/>
        <w:tabs>
          <w:tab w:leader="none" w:pos="1440" w:val="left"/>
        </w:tabs>
        <w:numPr>
          <w:ilvl w:val="0"/>
          <w:numId w:val="51"/>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the efficacy and safety profile of the product candidates.</w:t>
      </w:r>
    </w:p>
    <w:p>
      <w:pPr>
        <w:sectPr>
          <w:pgSz w:w="12240" w:h="15840" w:orient="portrait"/>
          <w:cols w:equalWidth="0" w:num="1">
            <w:col w:w="10200"/>
          </w:cols>
          <w:pgMar w:left="1000" w:top="78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96</w:t>
      </w:r>
    </w:p>
    <w:p>
      <w:pPr>
        <w:sectPr>
          <w:pgSz w:w="12240" w:h="15840" w:orient="portrait"/>
          <w:cols w:equalWidth="0" w:num="1">
            <w:col w:w="10200"/>
          </w:cols>
          <w:pgMar w:left="1000" w:top="784" w:right="1040" w:bottom="0" w:gutter="0" w:footer="0" w:header="0"/>
          <w:type w:val="continuous"/>
        </w:sectPr>
      </w:pPr>
    </w:p>
    <w:bookmarkStart w:id="100" w:name="page101"/>
    <w:bookmarkEnd w:id="100"/>
    <w:p>
      <w:pPr>
        <w:ind w:right="240" w:firstLine="720"/>
        <w:spacing w:after="0" w:line="260" w:lineRule="auto"/>
        <w:rPr>
          <w:sz w:val="20"/>
          <w:szCs w:val="20"/>
          <w:color w:val="auto"/>
        </w:rPr>
      </w:pPr>
      <w:r>
        <w:rPr>
          <w:rFonts w:ascii="Times New Roman" w:cs="Times New Roman" w:eastAsia="Times New Roman" w:hAnsi="Times New Roman"/>
          <w:sz w:val="20"/>
          <w:szCs w:val="20"/>
          <w:color w:val="050505"/>
        </w:rPr>
        <w:t>In addition, the probability of success for each product candidate will depend on numerous factors, including safety, efficacy,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83"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Because our product candidates are still in clinical and preclinical development and the outcome of these efforts is uncertain, we cannot estimate the actual amounts necessary to successfully complete the development and commercialization of product candidates or whether, or when, we may achieve profitability.</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General and Administrative</w:t>
      </w:r>
    </w:p>
    <w:p>
      <w:pPr>
        <w:spacing w:after="0" w:line="139" w:lineRule="exact"/>
        <w:rPr>
          <w:sz w:val="20"/>
          <w:szCs w:val="20"/>
          <w:color w:val="auto"/>
        </w:rPr>
      </w:pPr>
    </w:p>
    <w:p>
      <w:pPr>
        <w:ind w:right="220" w:firstLine="720"/>
        <w:spacing w:after="0" w:line="255" w:lineRule="auto"/>
        <w:rPr>
          <w:sz w:val="20"/>
          <w:szCs w:val="20"/>
          <w:color w:val="auto"/>
        </w:rPr>
      </w:pPr>
      <w:r>
        <w:rPr>
          <w:rFonts w:ascii="Times New Roman" w:cs="Times New Roman" w:eastAsia="Times New Roman" w:hAnsi="Times New Roman"/>
          <w:sz w:val="20"/>
          <w:szCs w:val="20"/>
          <w:color w:val="050505"/>
        </w:rPr>
        <w:t>General and administrative expenses consist primarily of salaries and other staff-related costs, including stock-based compensation for options and restricted stock units granted. Other significant costs include costs relating to facilities and overhead costs, legal fees relating to corporate and patent matters, insurance, investor relations costs, fees for accounting and consulting services, information technology, costs and support for our board of directors and board committees, and other general and administrative costs. General and administrative costs are expensed as incurred, and we accrue for services provided by third parties related to the above expenses by monitoring the status of services provided and receiving estimates from our service providers, and adjusting our accruals as actual costs become known.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Other Income (Expense), Net:</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Interest and Other Income, Net</w:t>
      </w:r>
    </w:p>
    <w:p>
      <w:pPr>
        <w:spacing w:after="0" w:line="139" w:lineRule="exact"/>
        <w:rPr>
          <w:sz w:val="20"/>
          <w:szCs w:val="20"/>
          <w:color w:val="auto"/>
        </w:rPr>
      </w:pPr>
    </w:p>
    <w:p>
      <w:pPr>
        <w:ind w:right="160" w:firstLine="720"/>
        <w:spacing w:after="0" w:line="281" w:lineRule="auto"/>
        <w:rPr>
          <w:sz w:val="20"/>
          <w:szCs w:val="20"/>
          <w:color w:val="auto"/>
        </w:rPr>
      </w:pPr>
      <w:r>
        <w:rPr>
          <w:rFonts w:ascii="Times New Roman" w:cs="Times New Roman" w:eastAsia="Times New Roman" w:hAnsi="Times New Roman"/>
          <w:sz w:val="20"/>
          <w:szCs w:val="20"/>
          <w:color w:val="050505"/>
        </w:rPr>
        <w:t>Interest and other income, net primarily consists of interest earned on our cash and cash equivalents and investments, investment gains and losses recognized and sublease income earned from our subtenants during the period.</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Interest Expense</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Interest expense related to the California Institute of Regenerative Medicine (CIRM) award is accrued upon cash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receipt.</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Other Income (Expense), net</w:t>
      </w:r>
    </w:p>
    <w:p>
      <w:pPr>
        <w:spacing w:after="0" w:line="139"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050505"/>
        </w:rPr>
        <w:t>Other income (expense), net, consist of non-operating income and expenses, including primarily our share of net losses for the period from, and impairment of, our equity investments.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Comparison of the Years Ended December 31, 2025 and 2024</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following sets forth our results of operations for the years ended December 31, 2025 and 2024:</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97</w:t>
      </w:r>
    </w:p>
    <w:p>
      <w:pPr>
        <w:sectPr>
          <w:pgSz w:w="12240" w:h="15840" w:orient="portrait"/>
          <w:cols w:equalWidth="0" w:num="1">
            <w:col w:w="10240"/>
          </w:cols>
          <w:pgMar w:left="1000" w:top="793" w:right="1000" w:bottom="0" w:gutter="0" w:footer="0" w:header="0"/>
          <w:type w:val="continuous"/>
        </w:sectPr>
      </w:pPr>
    </w:p>
    <w:bookmarkStart w:id="101" w:name="page102"/>
    <w:bookmarkEnd w:id="101"/>
    <w:tbl>
      <w:tblPr>
        <w:tblLayout w:type="fixed"/>
        <w:tblInd w:w="40" w:type="dxa"/>
        <w:tblCellMar>
          <w:top w:w="0" w:type="dxa"/>
          <w:left w:w="0" w:type="dxa"/>
          <w:bottom w:w="0" w:type="dxa"/>
          <w:right w:w="0" w:type="dxa"/>
        </w:tblCellMar>
      </w:tblPr>
      <w:tr>
        <w:trPr>
          <w:trHeight w:val="268"/>
        </w:trPr>
        <w:tc>
          <w:tcPr>
            <w:tcW w:w="4220" w:type="dxa"/>
            <w:vAlign w:val="bottom"/>
          </w:tcPr>
          <w:p>
            <w:pPr>
              <w:spacing w:after="0"/>
              <w:rPr>
                <w:sz w:val="23"/>
                <w:szCs w:val="23"/>
                <w:color w:val="auto"/>
              </w:rPr>
            </w:pPr>
          </w:p>
        </w:tc>
        <w:tc>
          <w:tcPr>
            <w:tcW w:w="260" w:type="dxa"/>
            <w:vAlign w:val="bottom"/>
            <w:tcBorders>
              <w:bottom w:val="single" w:sz="8" w:color="050505"/>
            </w:tcBorders>
          </w:tcPr>
          <w:p>
            <w:pPr>
              <w:spacing w:after="0"/>
              <w:rPr>
                <w:sz w:val="23"/>
                <w:szCs w:val="23"/>
                <w:color w:val="auto"/>
              </w:rPr>
            </w:pPr>
          </w:p>
        </w:tc>
        <w:tc>
          <w:tcPr>
            <w:tcW w:w="2700" w:type="dxa"/>
            <w:vAlign w:val="bottom"/>
            <w:tcBorders>
              <w:bottom w:val="single" w:sz="8" w:color="050505"/>
            </w:tcBorders>
            <w:gridSpan w:val="4"/>
          </w:tcPr>
          <w:p>
            <w:pPr>
              <w:jc w:val="right"/>
              <w:ind w:right="24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60" w:type="dxa"/>
            <w:vAlign w:val="bottom"/>
            <w:tcBorders>
              <w:bottom w:val="single" w:sz="8" w:color="050505"/>
            </w:tcBorders>
          </w:tcPr>
          <w:p>
            <w:pPr>
              <w:spacing w:after="0"/>
              <w:rPr>
                <w:sz w:val="23"/>
                <w:szCs w:val="23"/>
                <w:color w:val="auto"/>
              </w:rPr>
            </w:pPr>
          </w:p>
        </w:tc>
        <w:tc>
          <w:tcPr>
            <w:tcW w:w="420" w:type="dxa"/>
            <w:vAlign w:val="bottom"/>
            <w:tcBorders>
              <w:bottom w:val="single" w:sz="8" w:color="050505"/>
            </w:tcBorders>
          </w:tcPr>
          <w:p>
            <w:pPr>
              <w:spacing w:after="0"/>
              <w:rPr>
                <w:sz w:val="23"/>
                <w:szCs w:val="23"/>
                <w:color w:val="auto"/>
              </w:rPr>
            </w:pPr>
          </w:p>
        </w:tc>
        <w:tc>
          <w:tcPr>
            <w:tcW w:w="1560" w:type="dxa"/>
            <w:vAlign w:val="bottom"/>
            <w:tcBorders>
              <w:bottom w:val="single" w:sz="8" w:color="050505"/>
            </w:tcBorders>
            <w:gridSpan w:val="3"/>
          </w:tcPr>
          <w:p>
            <w:pPr>
              <w:ind w:left="740"/>
              <w:spacing w:after="0"/>
              <w:rPr>
                <w:sz w:val="20"/>
                <w:szCs w:val="20"/>
                <w:color w:val="auto"/>
              </w:rPr>
            </w:pPr>
            <w:r>
              <w:rPr>
                <w:rFonts w:ascii="Times New Roman" w:cs="Times New Roman" w:eastAsia="Times New Roman" w:hAnsi="Times New Roman"/>
                <w:sz w:val="20"/>
                <w:szCs w:val="20"/>
                <w:b w:val="1"/>
                <w:bCs w:val="1"/>
                <w:color w:val="050505"/>
              </w:rPr>
              <w:t>Change</w:t>
            </w:r>
          </w:p>
        </w:tc>
        <w:tc>
          <w:tcPr>
            <w:tcW w:w="1000" w:type="dxa"/>
            <w:vAlign w:val="bottom"/>
            <w:tcBorders>
              <w:bottom w:val="single" w:sz="8" w:color="050505"/>
            </w:tcBorders>
          </w:tcPr>
          <w:p>
            <w:pPr>
              <w:spacing w:after="0"/>
              <w:rPr>
                <w:sz w:val="23"/>
                <w:szCs w:val="23"/>
                <w:color w:val="auto"/>
              </w:rPr>
            </w:pPr>
          </w:p>
        </w:tc>
      </w:tr>
      <w:tr>
        <w:trPr>
          <w:trHeight w:val="265"/>
        </w:trPr>
        <w:tc>
          <w:tcPr>
            <w:tcW w:w="422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(dollars in thousands)</w:t>
            </w:r>
          </w:p>
        </w:tc>
        <w:tc>
          <w:tcPr>
            <w:tcW w:w="260" w:type="dxa"/>
            <w:vAlign w:val="bottom"/>
            <w:tcBorders>
              <w:bottom w:val="single" w:sz="8" w:color="050505"/>
            </w:tcBorders>
          </w:tcPr>
          <w:p>
            <w:pPr>
              <w:spacing w:after="0"/>
              <w:rPr>
                <w:sz w:val="23"/>
                <w:szCs w:val="23"/>
                <w:color w:val="auto"/>
              </w:rPr>
            </w:pPr>
          </w:p>
        </w:tc>
        <w:tc>
          <w:tcPr>
            <w:tcW w:w="1180" w:type="dxa"/>
            <w:vAlign w:val="bottom"/>
            <w:tcBorders>
              <w:bottom w:val="single" w:sz="8" w:color="050505"/>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340" w:type="dxa"/>
            <w:vAlign w:val="bottom"/>
            <w:tcBorders>
              <w:bottom w:val="single" w:sz="8" w:color="050505"/>
            </w:tcBorders>
          </w:tcPr>
          <w:p>
            <w:pPr>
              <w:spacing w:after="0"/>
              <w:rPr>
                <w:sz w:val="23"/>
                <w:szCs w:val="23"/>
                <w:color w:val="auto"/>
              </w:rPr>
            </w:pPr>
          </w:p>
        </w:tc>
        <w:tc>
          <w:tcPr>
            <w:tcW w:w="1120" w:type="dxa"/>
            <w:vAlign w:val="bottom"/>
            <w:tcBorders>
              <w:bottom w:val="single" w:sz="8" w:color="050505"/>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60" w:type="dxa"/>
            <w:vAlign w:val="bottom"/>
          </w:tcPr>
          <w:p>
            <w:pPr>
              <w:spacing w:after="0"/>
              <w:rPr>
                <w:sz w:val="23"/>
                <w:szCs w:val="23"/>
                <w:color w:val="auto"/>
              </w:rPr>
            </w:pPr>
          </w:p>
        </w:tc>
        <w:tc>
          <w:tcPr>
            <w:tcW w:w="420" w:type="dxa"/>
            <w:vAlign w:val="bottom"/>
            <w:tcBorders>
              <w:bottom w:val="single" w:sz="8" w:color="050505"/>
            </w:tcBorders>
          </w:tcPr>
          <w:p>
            <w:pPr>
              <w:spacing w:after="0"/>
              <w:rPr>
                <w:sz w:val="23"/>
                <w:szCs w:val="23"/>
                <w:color w:val="auto"/>
              </w:rPr>
            </w:pPr>
          </w:p>
        </w:tc>
        <w:tc>
          <w:tcPr>
            <w:tcW w:w="1040" w:type="dxa"/>
            <w:vAlign w:val="bottom"/>
            <w:tcBorders>
              <w:bottom w:val="single" w:sz="8" w:color="050505"/>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050505"/>
              </w:rPr>
              <w:t>$</w:t>
            </w:r>
          </w:p>
        </w:tc>
        <w:tc>
          <w:tcPr>
            <w:tcW w:w="60" w:type="dxa"/>
            <w:vAlign w:val="bottom"/>
          </w:tcPr>
          <w:p>
            <w:pPr>
              <w:spacing w:after="0"/>
              <w:rPr>
                <w:sz w:val="23"/>
                <w:szCs w:val="23"/>
                <w:color w:val="auto"/>
              </w:rPr>
            </w:pPr>
          </w:p>
        </w:tc>
        <w:tc>
          <w:tcPr>
            <w:tcW w:w="460" w:type="dxa"/>
            <w:vAlign w:val="bottom"/>
            <w:tcBorders>
              <w:bottom w:val="single" w:sz="8" w:color="050505"/>
            </w:tcBorders>
          </w:tcPr>
          <w:p>
            <w:pPr>
              <w:spacing w:after="0"/>
              <w:rPr>
                <w:sz w:val="23"/>
                <w:szCs w:val="23"/>
                <w:color w:val="auto"/>
              </w:rPr>
            </w:pPr>
          </w:p>
        </w:tc>
        <w:tc>
          <w:tcPr>
            <w:tcW w:w="1000" w:type="dxa"/>
            <w:vAlign w:val="bottom"/>
            <w:tcBorders>
              <w:bottom w:val="single" w:sz="8" w:color="050505"/>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050505"/>
              </w:rPr>
              <w:t>%</w:t>
            </w:r>
          </w:p>
        </w:tc>
      </w:tr>
      <w:tr>
        <w:trPr>
          <w:trHeight w:val="51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Collaboration revenue - related party</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(100)%</w:t>
            </w: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Operating expenses: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22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Research and development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150,152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192,299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(42,147)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w:t>
            </w:r>
          </w:p>
        </w:tc>
      </w:tr>
      <w:tr>
        <w:trPr>
          <w:trHeight w:val="300"/>
        </w:trPr>
        <w:tc>
          <w:tcPr>
            <w:tcW w:w="422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General and administrative</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56,781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65,205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(8,424)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w:t>
            </w:r>
          </w:p>
        </w:tc>
      </w:tr>
      <w:tr>
        <w:trPr>
          <w:trHeight w:val="310"/>
        </w:trPr>
        <w:tc>
          <w:tcPr>
            <w:tcW w:w="422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Impairment of long-lived asset</w:t>
            </w:r>
          </w:p>
        </w:tc>
        <w:tc>
          <w:tcPr>
            <w:tcW w:w="260" w:type="dxa"/>
            <w:vAlign w:val="bottom"/>
            <w:tcBorders>
              <w:bottom w:val="single" w:sz="8" w:color="050505"/>
            </w:tcBorders>
          </w:tcPr>
          <w:p>
            <w:pPr>
              <w:spacing w:after="0"/>
              <w:rPr>
                <w:sz w:val="24"/>
                <w:szCs w:val="24"/>
                <w:color w:val="auto"/>
              </w:rPr>
            </w:pPr>
          </w:p>
        </w:tc>
        <w:tc>
          <w:tcPr>
            <w:tcW w:w="11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2,382</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15,717</w:t>
            </w:r>
          </w:p>
        </w:tc>
        <w:tc>
          <w:tcPr>
            <w:tcW w:w="60" w:type="dxa"/>
            <w:vAlign w:val="bottom"/>
          </w:tcPr>
          <w:p>
            <w:pPr>
              <w:spacing w:after="0"/>
              <w:rPr>
                <w:sz w:val="24"/>
                <w:szCs w:val="24"/>
                <w:color w:val="auto"/>
              </w:rPr>
            </w:pPr>
          </w:p>
        </w:tc>
        <w:tc>
          <w:tcPr>
            <w:tcW w:w="42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(13,335)</w:t>
            </w:r>
          </w:p>
        </w:tc>
        <w:tc>
          <w:tcPr>
            <w:tcW w:w="60" w:type="dxa"/>
            <w:vAlign w:val="bottom"/>
          </w:tcPr>
          <w:p>
            <w:pPr>
              <w:spacing w:after="0"/>
              <w:rPr>
                <w:sz w:val="24"/>
                <w:szCs w:val="24"/>
                <w:color w:val="auto"/>
              </w:rPr>
            </w:pPr>
          </w:p>
        </w:tc>
        <w:tc>
          <w:tcPr>
            <w:tcW w:w="46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(85)%</w:t>
            </w:r>
          </w:p>
        </w:tc>
      </w:tr>
      <w:tr>
        <w:trPr>
          <w:trHeight w:val="28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Total operating expenses</w:t>
            </w:r>
          </w:p>
        </w:tc>
        <w:tc>
          <w:tcPr>
            <w:tcW w:w="260" w:type="dxa"/>
            <w:vAlign w:val="bottom"/>
            <w:tcBorders>
              <w:bottom w:val="single" w:sz="8" w:color="050505"/>
            </w:tcBorders>
          </w:tcPr>
          <w:p>
            <w:pPr>
              <w:spacing w:after="0"/>
              <w:rPr>
                <w:sz w:val="24"/>
                <w:szCs w:val="24"/>
                <w:color w:val="auto"/>
              </w:rPr>
            </w:pPr>
          </w:p>
        </w:tc>
        <w:tc>
          <w:tcPr>
            <w:tcW w:w="11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209,315</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273,221</w:t>
            </w:r>
          </w:p>
        </w:tc>
        <w:tc>
          <w:tcPr>
            <w:tcW w:w="60" w:type="dxa"/>
            <w:vAlign w:val="bottom"/>
          </w:tcPr>
          <w:p>
            <w:pPr>
              <w:spacing w:after="0"/>
              <w:rPr>
                <w:sz w:val="24"/>
                <w:szCs w:val="24"/>
                <w:color w:val="auto"/>
              </w:rPr>
            </w:pPr>
          </w:p>
        </w:tc>
        <w:tc>
          <w:tcPr>
            <w:tcW w:w="42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(63,906)</w:t>
            </w:r>
          </w:p>
        </w:tc>
        <w:tc>
          <w:tcPr>
            <w:tcW w:w="60" w:type="dxa"/>
            <w:vAlign w:val="bottom"/>
          </w:tcPr>
          <w:p>
            <w:pPr>
              <w:spacing w:after="0"/>
              <w:rPr>
                <w:sz w:val="24"/>
                <w:szCs w:val="24"/>
                <w:color w:val="auto"/>
              </w:rPr>
            </w:pPr>
          </w:p>
        </w:tc>
        <w:tc>
          <w:tcPr>
            <w:tcW w:w="46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Loss from operations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(209,315)</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(273,199)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63,884</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w:t>
            </w: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Other income (expense), net:</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422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Interest and other income, net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19,289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20,153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(864)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w:t>
            </w:r>
          </w:p>
        </w:tc>
      </w:tr>
      <w:tr>
        <w:trPr>
          <w:trHeight w:val="307"/>
        </w:trPr>
        <w:tc>
          <w:tcPr>
            <w:tcW w:w="422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Interest expense</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(1,075)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(894)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494 %</w:t>
            </w:r>
          </w:p>
        </w:tc>
      </w:tr>
      <w:tr>
        <w:trPr>
          <w:trHeight w:val="303"/>
        </w:trPr>
        <w:tc>
          <w:tcPr>
            <w:tcW w:w="422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Other income (expense), net</w:t>
            </w:r>
          </w:p>
        </w:tc>
        <w:tc>
          <w:tcPr>
            <w:tcW w:w="260" w:type="dxa"/>
            <w:vAlign w:val="bottom"/>
            <w:tcBorders>
              <w:bottom w:val="single" w:sz="8" w:color="050505"/>
            </w:tcBorders>
          </w:tcPr>
          <w:p>
            <w:pPr>
              <w:spacing w:after="0"/>
              <w:rPr>
                <w:sz w:val="24"/>
                <w:szCs w:val="24"/>
                <w:color w:val="auto"/>
              </w:rPr>
            </w:pPr>
          </w:p>
        </w:tc>
        <w:tc>
          <w:tcPr>
            <w:tcW w:w="11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215</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(3,920)</w:t>
            </w:r>
          </w:p>
        </w:tc>
        <w:tc>
          <w:tcPr>
            <w:tcW w:w="60" w:type="dxa"/>
            <w:vAlign w:val="bottom"/>
          </w:tcPr>
          <w:p>
            <w:pPr>
              <w:spacing w:after="0"/>
              <w:rPr>
                <w:sz w:val="24"/>
                <w:szCs w:val="24"/>
                <w:color w:val="auto"/>
              </w:rPr>
            </w:pPr>
          </w:p>
        </w:tc>
        <w:tc>
          <w:tcPr>
            <w:tcW w:w="42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4,135</w:t>
            </w:r>
          </w:p>
        </w:tc>
        <w:tc>
          <w:tcPr>
            <w:tcW w:w="60" w:type="dxa"/>
            <w:vAlign w:val="bottom"/>
          </w:tcPr>
          <w:p>
            <w:pPr>
              <w:spacing w:after="0"/>
              <w:rPr>
                <w:sz w:val="24"/>
                <w:szCs w:val="24"/>
                <w:color w:val="auto"/>
              </w:rPr>
            </w:pPr>
          </w:p>
        </w:tc>
        <w:tc>
          <w:tcPr>
            <w:tcW w:w="46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(105)%</w:t>
            </w:r>
          </w:p>
        </w:tc>
      </w:tr>
      <w:tr>
        <w:trPr>
          <w:trHeight w:val="28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Total other income (expense), net</w:t>
            </w:r>
          </w:p>
        </w:tc>
        <w:tc>
          <w:tcPr>
            <w:tcW w:w="260" w:type="dxa"/>
            <w:vAlign w:val="bottom"/>
            <w:tcBorders>
              <w:bottom w:val="single" w:sz="8" w:color="050505"/>
            </w:tcBorders>
          </w:tcPr>
          <w:p>
            <w:pPr>
              <w:spacing w:after="0"/>
              <w:rPr>
                <w:sz w:val="24"/>
                <w:szCs w:val="24"/>
                <w:color w:val="auto"/>
              </w:rPr>
            </w:pPr>
          </w:p>
        </w:tc>
        <w:tc>
          <w:tcPr>
            <w:tcW w:w="11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18,429</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16,052</w:t>
            </w:r>
          </w:p>
        </w:tc>
        <w:tc>
          <w:tcPr>
            <w:tcW w:w="60" w:type="dxa"/>
            <w:vAlign w:val="bottom"/>
          </w:tcPr>
          <w:p>
            <w:pPr>
              <w:spacing w:after="0"/>
              <w:rPr>
                <w:sz w:val="24"/>
                <w:szCs w:val="24"/>
                <w:color w:val="auto"/>
              </w:rPr>
            </w:pPr>
          </w:p>
        </w:tc>
        <w:tc>
          <w:tcPr>
            <w:tcW w:w="42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2,377</w:t>
            </w:r>
          </w:p>
        </w:tc>
        <w:tc>
          <w:tcPr>
            <w:tcW w:w="60" w:type="dxa"/>
            <w:vAlign w:val="bottom"/>
          </w:tcPr>
          <w:p>
            <w:pPr>
              <w:spacing w:after="0"/>
              <w:rPr>
                <w:sz w:val="24"/>
                <w:szCs w:val="24"/>
                <w:color w:val="auto"/>
              </w:rPr>
            </w:pPr>
          </w:p>
        </w:tc>
        <w:tc>
          <w:tcPr>
            <w:tcW w:w="46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15 %</w:t>
            </w:r>
          </w:p>
        </w:tc>
      </w:tr>
      <w:tr>
        <w:trPr>
          <w:trHeight w:val="277"/>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Loss before income taxes</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(257,147)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66,261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(26)%</w:t>
            </w:r>
          </w:p>
        </w:tc>
      </w:tr>
      <w:tr>
        <w:trPr>
          <w:trHeight w:val="303"/>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Income tax expense</w:t>
            </w:r>
          </w:p>
        </w:tc>
        <w:tc>
          <w:tcPr>
            <w:tcW w:w="260" w:type="dxa"/>
            <w:vAlign w:val="bottom"/>
            <w:tcBorders>
              <w:bottom w:val="single" w:sz="8" w:color="050505"/>
            </w:tcBorders>
          </w:tcPr>
          <w:p>
            <w:pPr>
              <w:spacing w:after="0"/>
              <w:rPr>
                <w:sz w:val="24"/>
                <w:szCs w:val="24"/>
                <w:color w:val="auto"/>
              </w:rPr>
            </w:pPr>
          </w:p>
        </w:tc>
        <w:tc>
          <w:tcPr>
            <w:tcW w:w="11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(443)</w:t>
            </w:r>
          </w:p>
        </w:tc>
        <w:tc>
          <w:tcPr>
            <w:tcW w:w="60" w:type="dxa"/>
            <w:vAlign w:val="bottom"/>
          </w:tcPr>
          <w:p>
            <w:pPr>
              <w:spacing w:after="0"/>
              <w:rPr>
                <w:sz w:val="24"/>
                <w:szCs w:val="24"/>
                <w:color w:val="auto"/>
              </w:rPr>
            </w:pPr>
          </w:p>
        </w:tc>
        <w:tc>
          <w:tcPr>
            <w:tcW w:w="42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443</w:t>
            </w:r>
          </w:p>
        </w:tc>
        <w:tc>
          <w:tcPr>
            <w:tcW w:w="60" w:type="dxa"/>
            <w:vAlign w:val="bottom"/>
          </w:tcPr>
          <w:p>
            <w:pPr>
              <w:spacing w:after="0"/>
              <w:rPr>
                <w:sz w:val="24"/>
                <w:szCs w:val="24"/>
                <w:color w:val="auto"/>
              </w:rPr>
            </w:pPr>
          </w:p>
        </w:tc>
        <w:tc>
          <w:tcPr>
            <w:tcW w:w="46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(100)%</w:t>
            </w:r>
          </w:p>
        </w:tc>
      </w:tr>
      <w:tr>
        <w:trPr>
          <w:trHeight w:val="26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(257,590)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66,704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(26)%</w:t>
            </w:r>
          </w:p>
        </w:tc>
      </w:tr>
      <w:tr>
        <w:trPr>
          <w:trHeight w:val="20"/>
        </w:trPr>
        <w:tc>
          <w:tcPr>
            <w:tcW w:w="4220" w:type="dxa"/>
            <w:vAlign w:val="bottom"/>
          </w:tcPr>
          <w:p>
            <w:pPr>
              <w:spacing w:after="0" w:line="20" w:lineRule="exact"/>
              <w:rPr>
                <w:sz w:val="1"/>
                <w:szCs w:val="1"/>
                <w:color w:val="auto"/>
              </w:rPr>
            </w:pP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11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1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50505"/>
              <w:bottom w:val="single" w:sz="8" w:color="050505"/>
            </w:tcBorders>
          </w:tcPr>
          <w:p>
            <w:pPr>
              <w:spacing w:after="0" w:line="20" w:lineRule="exact"/>
              <w:rPr>
                <w:sz w:val="1"/>
                <w:szCs w:val="1"/>
                <w:color w:val="auto"/>
              </w:rPr>
            </w:pPr>
          </w:p>
        </w:tc>
        <w:tc>
          <w:tcPr>
            <w:tcW w:w="104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050505"/>
              <w:bottom w:val="single" w:sz="8" w:color="050505"/>
            </w:tcBorders>
          </w:tcPr>
          <w:p>
            <w:pPr>
              <w:spacing w:after="0" w:line="20" w:lineRule="exact"/>
              <w:rPr>
                <w:sz w:val="1"/>
                <w:szCs w:val="1"/>
                <w:color w:val="auto"/>
              </w:rPr>
            </w:pPr>
          </w:p>
        </w:tc>
        <w:tc>
          <w:tcPr>
            <w:tcW w:w="100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2698750</wp:posOffset>
                </wp:positionH>
                <wp:positionV relativeFrom="paragraph">
                  <wp:posOffset>-3209925</wp:posOffset>
                </wp:positionV>
                <wp:extent cx="38100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252.7499pt" to="512.5pt,-25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2698750</wp:posOffset>
                </wp:positionH>
                <wp:positionV relativeFrom="paragraph">
                  <wp:posOffset>-3028950</wp:posOffset>
                </wp:positionV>
                <wp:extent cx="9239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238.4999pt" to="285.25pt,-2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-3028950</wp:posOffset>
                </wp:positionV>
                <wp:extent cx="9239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25pt,-238.4999pt" to="361pt,-2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-3028950</wp:posOffset>
                </wp:positionV>
                <wp:extent cx="9239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238.4999pt" to="436.75pt,-2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-3028950</wp:posOffset>
                </wp:positionV>
                <wp:extent cx="9239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238.4999pt" to="512.5pt,-238.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2698750</wp:posOffset>
                </wp:positionH>
                <wp:positionV relativeFrom="paragraph">
                  <wp:posOffset>-1924050</wp:posOffset>
                </wp:positionV>
                <wp:extent cx="9239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51.4999pt" to="285.25pt,-1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-1924050</wp:posOffset>
                </wp:positionV>
                <wp:extent cx="9239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25pt,-151.4999pt" to="361pt,-1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-1924050</wp:posOffset>
                </wp:positionV>
                <wp:extent cx="9239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151.4999pt" to="436.75pt,-1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-1924050</wp:posOffset>
                </wp:positionV>
                <wp:extent cx="9239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151.4999pt" to="512.5pt,-1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2698750</wp:posOffset>
                </wp:positionH>
                <wp:positionV relativeFrom="paragraph">
                  <wp:posOffset>-1733550</wp:posOffset>
                </wp:positionV>
                <wp:extent cx="9239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36.4999pt" to="285.2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-1733550</wp:posOffset>
                </wp:positionV>
                <wp:extent cx="9239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25pt,-136.4999pt" to="361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-1733550</wp:posOffset>
                </wp:positionV>
                <wp:extent cx="9239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136.4999pt" to="436.7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-1733550</wp:posOffset>
                </wp:positionV>
                <wp:extent cx="9239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136.4999pt" to="512.5pt,-13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2698750</wp:posOffset>
                </wp:positionH>
                <wp:positionV relativeFrom="paragraph">
                  <wp:posOffset>-781050</wp:posOffset>
                </wp:positionV>
                <wp:extent cx="9239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61.4999pt" to="285.25pt,-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-781050</wp:posOffset>
                </wp:positionV>
                <wp:extent cx="9239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25pt,-61.4999pt" to="361pt,-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-781050</wp:posOffset>
                </wp:positionV>
                <wp:extent cx="9239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61.4999pt" to="436.75pt,-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-781050</wp:posOffset>
                </wp:positionV>
                <wp:extent cx="92392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61.4999pt" to="512.5pt,-6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2698750</wp:posOffset>
                </wp:positionH>
                <wp:positionV relativeFrom="paragraph">
                  <wp:posOffset>-590550</wp:posOffset>
                </wp:positionV>
                <wp:extent cx="92392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46.4999pt" to="285.25pt,-4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-590550</wp:posOffset>
                </wp:positionV>
                <wp:extent cx="9239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25pt,-46.4999pt" to="361pt,-4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-590550</wp:posOffset>
                </wp:positionV>
                <wp:extent cx="9239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46.4999pt" to="436.75pt,-4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-590550</wp:posOffset>
                </wp:positionV>
                <wp:extent cx="9239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46.4999pt" to="512.5pt,-4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2698750</wp:posOffset>
                </wp:positionH>
                <wp:positionV relativeFrom="paragraph">
                  <wp:posOffset>-209550</wp:posOffset>
                </wp:positionV>
                <wp:extent cx="9239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5pt,-16.4999pt" to="285.25pt,-1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3660775</wp:posOffset>
                </wp:positionH>
                <wp:positionV relativeFrom="paragraph">
                  <wp:posOffset>-209550</wp:posOffset>
                </wp:positionV>
                <wp:extent cx="9239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25pt,-16.4999pt" to="361pt,-1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4622800</wp:posOffset>
                </wp:positionH>
                <wp:positionV relativeFrom="paragraph">
                  <wp:posOffset>-209550</wp:posOffset>
                </wp:positionV>
                <wp:extent cx="9239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pt,-16.4999pt" to="436.75pt,-1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5584825</wp:posOffset>
                </wp:positionH>
                <wp:positionV relativeFrom="paragraph">
                  <wp:posOffset>-209550</wp:posOffset>
                </wp:positionV>
                <wp:extent cx="9239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75pt,-16.4999pt" to="512.5pt,-16.4999pt" o:allowincell="f" strokecolor="#000000" strokeweight="0pt"/>
            </w:pict>
          </mc:Fallback>
        </mc:AlternateContent>
        <w:drawing>
          <wp:anchor simplePos="0" relativeHeight="251657728" behindDoc="1" locked="0" layoutInCell="0" allowOverlap="1">
            <wp:simplePos x="0" y="0"/>
            <wp:positionH relativeFrom="column">
              <wp:posOffset>2686050</wp:posOffset>
            </wp:positionH>
            <wp:positionV relativeFrom="paragraph">
              <wp:posOffset>-43815</wp:posOffset>
            </wp:positionV>
            <wp:extent cx="383540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7">
                      <a:extLst>
                        <a:ext uri="{28A0092B-C50C-407E-A947-70E740481C1C}"/>
                      </a:extLst>
                    </a:blip>
                    <a:srcRect/>
                    <a:stretch>
                      <a:fillRect/>
                    </a:stretch>
                  </pic:blipFill>
                  <pic:spPr bwMode="auto">
                    <a:xfrm>
                      <a:off x="0" y="0"/>
                      <a:ext cx="3835400" cy="50800"/>
                    </a:xfrm>
                    <a:prstGeom prst="rect">
                      <a:avLst/>
                    </a:prstGeom>
                    <a:noFill/>
                  </pic:spPr>
                </pic:pic>
              </a:graphicData>
            </a:graphic>
          </wp:anchor>
        </w:drawing>
      </w:r>
    </w:p>
    <w:p>
      <w:pPr>
        <w:spacing w:after="0" w:line="3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Collaboration revenue - related party</w:t>
      </w:r>
    </w:p>
    <w:p>
      <w:pPr>
        <w:spacing w:after="0" w:line="139"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050505"/>
        </w:rPr>
        <w:t>Revenue recognized in the year ended December 31, 2024 was mainly due to participation in the joint steering committee performance obligation related to the License Agreement entered into with Overland Therapeutics on December 14, 2020.</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Research and Development Expenses</w:t>
      </w:r>
    </w:p>
    <w:p>
      <w:pPr>
        <w:spacing w:after="0" w:line="139" w:lineRule="exact"/>
        <w:rPr>
          <w:sz w:val="20"/>
          <w:szCs w:val="20"/>
          <w:color w:val="auto"/>
        </w:rPr>
      </w:pPr>
    </w:p>
    <w:p>
      <w:pPr>
        <w:ind w:right="780" w:firstLine="720"/>
        <w:spacing w:after="0" w:line="281" w:lineRule="auto"/>
        <w:rPr>
          <w:sz w:val="20"/>
          <w:szCs w:val="20"/>
          <w:color w:val="auto"/>
        </w:rPr>
      </w:pPr>
      <w:r>
        <w:rPr>
          <w:rFonts w:ascii="Times New Roman" w:cs="Times New Roman" w:eastAsia="Times New Roman" w:hAnsi="Times New Roman"/>
          <w:sz w:val="20"/>
          <w:szCs w:val="20"/>
          <w:color w:val="050505"/>
        </w:rPr>
        <w:t>The following table shows the primary components of our research and development expenses for the periods presented:</w:t>
      </w:r>
    </w:p>
    <w:p>
      <w:pPr>
        <w:spacing w:after="0" w:line="160" w:lineRule="exact"/>
        <w:rPr>
          <w:sz w:val="20"/>
          <w:szCs w:val="20"/>
          <w:color w:val="auto"/>
        </w:rPr>
      </w:pPr>
    </w:p>
    <w:tbl>
      <w:tblPr>
        <w:tblLayout w:type="fixed"/>
        <w:tblInd w:w="760" w:type="dxa"/>
        <w:tblCellMar>
          <w:top w:w="0" w:type="dxa"/>
          <w:left w:w="0" w:type="dxa"/>
          <w:bottom w:w="0" w:type="dxa"/>
          <w:right w:w="0" w:type="dxa"/>
        </w:tblCellMar>
      </w:tblPr>
      <w:tr>
        <w:trPr>
          <w:trHeight w:val="264"/>
        </w:trPr>
        <w:tc>
          <w:tcPr>
            <w:tcW w:w="4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40" w:type="dxa"/>
            <w:vAlign w:val="bottom"/>
            <w:gridSpan w:val="7"/>
          </w:tcPr>
          <w:p>
            <w:pPr>
              <w:jc w:val="center"/>
              <w:ind w:right="200"/>
              <w:spacing w:after="0"/>
              <w:rPr>
                <w:sz w:val="20"/>
                <w:szCs w:val="20"/>
                <w:color w:val="auto"/>
              </w:rPr>
            </w:pPr>
            <w:r>
              <w:rPr>
                <w:rFonts w:ascii="Times New Roman" w:cs="Times New Roman" w:eastAsia="Times New Roman" w:hAnsi="Times New Roman"/>
                <w:sz w:val="20"/>
                <w:szCs w:val="20"/>
                <w:b w:val="1"/>
                <w:bCs w:val="1"/>
                <w:color w:val="050505"/>
                <w:w w:val="99"/>
              </w:rPr>
              <w:t>Year Ended December 31,</w:t>
            </w:r>
          </w:p>
        </w:tc>
      </w:tr>
      <w:tr>
        <w:trPr>
          <w:trHeight w:val="34"/>
        </w:trPr>
        <w:tc>
          <w:tcPr>
            <w:tcW w:w="4040" w:type="dxa"/>
            <w:vAlign w:val="bottom"/>
          </w:tcPr>
          <w:p>
            <w:pPr>
              <w:spacing w:after="0"/>
              <w:rPr>
                <w:sz w:val="2"/>
                <w:szCs w:val="2"/>
                <w:color w:val="auto"/>
              </w:rPr>
            </w:pPr>
          </w:p>
        </w:tc>
        <w:tc>
          <w:tcPr>
            <w:tcW w:w="280" w:type="dxa"/>
            <w:vAlign w:val="bottom"/>
            <w:tcBorders>
              <w:bottom w:val="single" w:sz="8" w:color="050505"/>
            </w:tcBorders>
          </w:tcPr>
          <w:p>
            <w:pPr>
              <w:spacing w:after="0"/>
              <w:rPr>
                <w:sz w:val="2"/>
                <w:szCs w:val="2"/>
                <w:color w:val="auto"/>
              </w:rPr>
            </w:pPr>
          </w:p>
        </w:tc>
        <w:tc>
          <w:tcPr>
            <w:tcW w:w="960" w:type="dxa"/>
            <w:vAlign w:val="bottom"/>
            <w:tcBorders>
              <w:bottom w:val="single" w:sz="8" w:color="050505"/>
            </w:tcBorders>
          </w:tcPr>
          <w:p>
            <w:pPr>
              <w:spacing w:after="0"/>
              <w:rPr>
                <w:sz w:val="2"/>
                <w:szCs w:val="2"/>
                <w:color w:val="auto"/>
              </w:rPr>
            </w:pPr>
          </w:p>
        </w:tc>
        <w:tc>
          <w:tcPr>
            <w:tcW w:w="60" w:type="dxa"/>
            <w:vAlign w:val="bottom"/>
            <w:tcBorders>
              <w:bottom w:val="single" w:sz="8" w:color="050505"/>
            </w:tcBorders>
          </w:tcPr>
          <w:p>
            <w:pPr>
              <w:spacing w:after="0"/>
              <w:rPr>
                <w:sz w:val="2"/>
                <w:szCs w:val="2"/>
                <w:color w:val="auto"/>
              </w:rPr>
            </w:pPr>
          </w:p>
        </w:tc>
        <w:tc>
          <w:tcPr>
            <w:tcW w:w="280" w:type="dxa"/>
            <w:vAlign w:val="bottom"/>
            <w:tcBorders>
              <w:bottom w:val="single" w:sz="8" w:color="050505"/>
            </w:tcBorders>
          </w:tcPr>
          <w:p>
            <w:pPr>
              <w:spacing w:after="0"/>
              <w:rPr>
                <w:sz w:val="2"/>
                <w:szCs w:val="2"/>
                <w:color w:val="auto"/>
              </w:rPr>
            </w:pPr>
          </w:p>
        </w:tc>
        <w:tc>
          <w:tcPr>
            <w:tcW w:w="940" w:type="dxa"/>
            <w:vAlign w:val="bottom"/>
            <w:tcBorders>
              <w:bottom w:val="single" w:sz="8" w:color="050505"/>
            </w:tcBorders>
          </w:tcPr>
          <w:p>
            <w:pPr>
              <w:spacing w:after="0"/>
              <w:rPr>
                <w:sz w:val="2"/>
                <w:szCs w:val="2"/>
                <w:color w:val="auto"/>
              </w:rPr>
            </w:pPr>
          </w:p>
        </w:tc>
        <w:tc>
          <w:tcPr>
            <w:tcW w:w="60" w:type="dxa"/>
            <w:vAlign w:val="bottom"/>
            <w:tcBorders>
              <w:bottom w:val="single" w:sz="8" w:color="050505"/>
            </w:tcBorders>
          </w:tcPr>
          <w:p>
            <w:pPr>
              <w:spacing w:after="0"/>
              <w:rPr>
                <w:sz w:val="2"/>
                <w:szCs w:val="2"/>
                <w:color w:val="auto"/>
              </w:rPr>
            </w:pPr>
          </w:p>
        </w:tc>
        <w:tc>
          <w:tcPr>
            <w:tcW w:w="220" w:type="dxa"/>
            <w:vAlign w:val="bottom"/>
            <w:tcBorders>
              <w:bottom w:val="single" w:sz="8" w:color="050505"/>
            </w:tcBorders>
          </w:tcPr>
          <w:p>
            <w:pPr>
              <w:spacing w:after="0"/>
              <w:rPr>
                <w:sz w:val="2"/>
                <w:szCs w:val="2"/>
                <w:color w:val="auto"/>
              </w:rPr>
            </w:pPr>
          </w:p>
        </w:tc>
        <w:tc>
          <w:tcPr>
            <w:tcW w:w="1020" w:type="dxa"/>
            <w:vAlign w:val="bottom"/>
            <w:tcBorders>
              <w:bottom w:val="single" w:sz="8" w:color="050505"/>
            </w:tcBorders>
          </w:tcPr>
          <w:p>
            <w:pPr>
              <w:spacing w:after="0"/>
              <w:rPr>
                <w:sz w:val="2"/>
                <w:szCs w:val="2"/>
                <w:color w:val="auto"/>
              </w:rPr>
            </w:pPr>
          </w:p>
        </w:tc>
      </w:tr>
      <w:tr>
        <w:trPr>
          <w:trHeight w:val="265"/>
        </w:trPr>
        <w:tc>
          <w:tcPr>
            <w:tcW w:w="404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960" w:type="dxa"/>
            <w:vAlign w:val="bottom"/>
            <w:tcBorders>
              <w:bottom w:val="single" w:sz="8" w:color="050505"/>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Borders>
              <w:bottom w:val="single" w:sz="8" w:color="050505"/>
            </w:tcBorders>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940" w:type="dxa"/>
            <w:vAlign w:val="bottom"/>
            <w:tcBorders>
              <w:bottom w:val="single" w:sz="8" w:color="050505"/>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050505"/>
                <w:w w:val="99"/>
              </w:rPr>
              <w:t>2024</w:t>
            </w:r>
          </w:p>
        </w:tc>
        <w:tc>
          <w:tcPr>
            <w:tcW w:w="60" w:type="dxa"/>
            <w:vAlign w:val="bottom"/>
            <w:tcBorders>
              <w:bottom w:val="single" w:sz="8" w:color="050505"/>
            </w:tcBorders>
          </w:tcPr>
          <w:p>
            <w:pPr>
              <w:spacing w:after="0"/>
              <w:rPr>
                <w:sz w:val="23"/>
                <w:szCs w:val="23"/>
                <w:color w:val="auto"/>
              </w:rPr>
            </w:pPr>
          </w:p>
        </w:tc>
        <w:tc>
          <w:tcPr>
            <w:tcW w:w="220" w:type="dxa"/>
            <w:vAlign w:val="bottom"/>
            <w:tcBorders>
              <w:bottom w:val="single" w:sz="8" w:color="050505"/>
            </w:tcBorders>
          </w:tcPr>
          <w:p>
            <w:pPr>
              <w:spacing w:after="0"/>
              <w:rPr>
                <w:sz w:val="23"/>
                <w:szCs w:val="23"/>
                <w:color w:val="auto"/>
              </w:rPr>
            </w:pPr>
          </w:p>
        </w:tc>
        <w:tc>
          <w:tcPr>
            <w:tcW w:w="1020" w:type="dxa"/>
            <w:vAlign w:val="bottom"/>
            <w:tcBorders>
              <w:bottom w:val="single" w:sz="8" w:color="050505"/>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050505"/>
              </w:rPr>
              <w:t>Change</w:t>
            </w:r>
          </w:p>
        </w:tc>
      </w:tr>
      <w:tr>
        <w:trPr>
          <w:trHeight w:val="264"/>
        </w:trPr>
        <w:tc>
          <w:tcPr>
            <w:tcW w:w="4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98"/>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050505"/>
              </w:rPr>
              <w:t>Personnel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64,677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79,993</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(15,316)</w:t>
            </w:r>
          </w:p>
        </w:tc>
      </w:tr>
      <w:tr>
        <w:trPr>
          <w:trHeight w:val="30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050505"/>
              </w:rPr>
              <w:t>Development costs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41,411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62,264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(20,853)</w:t>
            </w:r>
          </w:p>
        </w:tc>
      </w:tr>
      <w:tr>
        <w:trPr>
          <w:trHeight w:val="30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050505"/>
              </w:rPr>
              <w:t>Facilities and depreciation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37,001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40,941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(3,940)</w:t>
            </w:r>
          </w:p>
        </w:tc>
      </w:tr>
      <w:tr>
        <w:trPr>
          <w:trHeight w:val="30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050505"/>
              </w:rPr>
              <w:t>Other</w:t>
            </w:r>
          </w:p>
        </w:tc>
        <w:tc>
          <w:tcPr>
            <w:tcW w:w="280" w:type="dxa"/>
            <w:vAlign w:val="bottom"/>
            <w:tcBorders>
              <w:bottom w:val="single" w:sz="8" w:color="050505"/>
            </w:tcBorders>
          </w:tcPr>
          <w:p>
            <w:pPr>
              <w:spacing w:after="0"/>
              <w:rPr>
                <w:sz w:val="24"/>
                <w:szCs w:val="24"/>
                <w:color w:val="auto"/>
              </w:rPr>
            </w:pPr>
          </w:p>
        </w:tc>
        <w:tc>
          <w:tcPr>
            <w:tcW w:w="9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7,063</w:t>
            </w:r>
          </w:p>
        </w:tc>
        <w:tc>
          <w:tcPr>
            <w:tcW w:w="60" w:type="dxa"/>
            <w:vAlign w:val="bottom"/>
          </w:tcPr>
          <w:p>
            <w:pPr>
              <w:spacing w:after="0"/>
              <w:rPr>
                <w:sz w:val="24"/>
                <w:szCs w:val="24"/>
                <w:color w:val="auto"/>
              </w:rPr>
            </w:pPr>
          </w:p>
        </w:tc>
        <w:tc>
          <w:tcPr>
            <w:tcW w:w="280" w:type="dxa"/>
            <w:vAlign w:val="bottom"/>
            <w:tcBorders>
              <w:bottom w:val="single" w:sz="8" w:color="050505"/>
            </w:tcBorders>
          </w:tcPr>
          <w:p>
            <w:pPr>
              <w:spacing w:after="0"/>
              <w:rPr>
                <w:sz w:val="24"/>
                <w:szCs w:val="24"/>
                <w:color w:val="auto"/>
              </w:rPr>
            </w:pPr>
          </w:p>
        </w:tc>
        <w:tc>
          <w:tcPr>
            <w:tcW w:w="9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9,101</w:t>
            </w:r>
          </w:p>
        </w:tc>
        <w:tc>
          <w:tcPr>
            <w:tcW w:w="60" w:type="dxa"/>
            <w:vAlign w:val="bottom"/>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10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(2,038)</w:t>
            </w:r>
          </w:p>
        </w:tc>
      </w:tr>
      <w:tr>
        <w:trPr>
          <w:trHeight w:val="260"/>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050505"/>
              </w:rPr>
              <w:t>Total research and development expenses</w:t>
            </w:r>
          </w:p>
        </w:tc>
        <w:tc>
          <w:tcPr>
            <w:tcW w:w="280" w:type="dxa"/>
            <w:vAlign w:val="bottom"/>
            <w:tcBorders>
              <w:bottom w:val="single" w:sz="8" w:color="050505"/>
            </w:tcBorders>
          </w:tcPr>
          <w:p>
            <w:pPr>
              <w:spacing w:after="0"/>
              <w:rPr>
                <w:sz w:val="22"/>
                <w:szCs w:val="22"/>
                <w:color w:val="auto"/>
              </w:rPr>
            </w:pPr>
          </w:p>
        </w:tc>
        <w:tc>
          <w:tcPr>
            <w:tcW w:w="9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150,152</w:t>
            </w:r>
          </w:p>
        </w:tc>
        <w:tc>
          <w:tcPr>
            <w:tcW w:w="60" w:type="dxa"/>
            <w:vAlign w:val="bottom"/>
          </w:tcPr>
          <w:p>
            <w:pPr>
              <w:spacing w:after="0"/>
              <w:rPr>
                <w:sz w:val="22"/>
                <w:szCs w:val="22"/>
                <w:color w:val="auto"/>
              </w:rPr>
            </w:pPr>
          </w:p>
        </w:tc>
        <w:tc>
          <w:tcPr>
            <w:tcW w:w="280" w:type="dxa"/>
            <w:vAlign w:val="bottom"/>
            <w:tcBorders>
              <w:bottom w:val="single" w:sz="8" w:color="050505"/>
            </w:tcBorders>
          </w:tcPr>
          <w:p>
            <w:pPr>
              <w:spacing w:after="0"/>
              <w:rPr>
                <w:sz w:val="22"/>
                <w:szCs w:val="22"/>
                <w:color w:val="auto"/>
              </w:rPr>
            </w:pPr>
          </w:p>
        </w:tc>
        <w:tc>
          <w:tcPr>
            <w:tcW w:w="9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192,299</w:t>
            </w:r>
          </w:p>
        </w:tc>
        <w:tc>
          <w:tcPr>
            <w:tcW w:w="60" w:type="dxa"/>
            <w:vAlign w:val="bottom"/>
          </w:tcPr>
          <w:p>
            <w:pPr>
              <w:spacing w:after="0"/>
              <w:rPr>
                <w:sz w:val="22"/>
                <w:szCs w:val="22"/>
                <w:color w:val="auto"/>
              </w:rPr>
            </w:pPr>
          </w:p>
        </w:tc>
        <w:tc>
          <w:tcPr>
            <w:tcW w:w="220" w:type="dxa"/>
            <w:vAlign w:val="bottom"/>
            <w:tcBorders>
              <w:bottom w:val="single" w:sz="8" w:color="050505"/>
            </w:tcBorders>
          </w:tcPr>
          <w:p>
            <w:pPr>
              <w:spacing w:after="0"/>
              <w:rPr>
                <w:sz w:val="22"/>
                <w:szCs w:val="22"/>
                <w:color w:val="auto"/>
              </w:rPr>
            </w:pPr>
          </w:p>
        </w:tc>
        <w:tc>
          <w:tcPr>
            <w:tcW w:w="10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(42,147)</w:t>
            </w: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050505"/>
            </w:tcBorders>
          </w:tcPr>
          <w:p>
            <w:pPr>
              <w:spacing w:after="0" w:line="20" w:lineRule="exact"/>
              <w:rPr>
                <w:sz w:val="1"/>
                <w:szCs w:val="1"/>
                <w:color w:val="auto"/>
              </w:rPr>
            </w:pPr>
          </w:p>
        </w:tc>
        <w:tc>
          <w:tcPr>
            <w:tcW w:w="960" w:type="dxa"/>
            <w:vAlign w:val="bottom"/>
            <w:tcBorders>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050505"/>
            </w:tcBorders>
          </w:tcPr>
          <w:p>
            <w:pPr>
              <w:spacing w:after="0" w:line="20" w:lineRule="exact"/>
              <w:rPr>
                <w:sz w:val="1"/>
                <w:szCs w:val="1"/>
                <w:color w:val="auto"/>
              </w:rPr>
            </w:pPr>
          </w:p>
        </w:tc>
        <w:tc>
          <w:tcPr>
            <w:tcW w:w="940" w:type="dxa"/>
            <w:vAlign w:val="bottom"/>
            <w:tcBorders>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050505"/>
            </w:tcBorders>
          </w:tcPr>
          <w:p>
            <w:pPr>
              <w:spacing w:after="0" w:line="20" w:lineRule="exact"/>
              <w:rPr>
                <w:sz w:val="1"/>
                <w:szCs w:val="1"/>
                <w:color w:val="auto"/>
              </w:rPr>
            </w:pPr>
          </w:p>
        </w:tc>
        <w:tc>
          <w:tcPr>
            <w:tcW w:w="1020" w:type="dxa"/>
            <w:vAlign w:val="bottom"/>
            <w:tcBorders>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-43815</wp:posOffset>
            </wp:positionV>
            <wp:extent cx="245427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extLst>
                    </a:blip>
                    <a:srcRect/>
                    <a:stretch>
                      <a:fillRect/>
                    </a:stretch>
                  </pic:blipFill>
                  <pic:spPr bwMode="auto">
                    <a:xfrm>
                      <a:off x="0" y="0"/>
                      <a:ext cx="2454275" cy="50800"/>
                    </a:xfrm>
                    <a:prstGeom prst="rect">
                      <a:avLst/>
                    </a:prstGeom>
                    <a:noFill/>
                  </pic:spPr>
                </pic:pic>
              </a:graphicData>
            </a:graphic>
          </wp:anchor>
        </w:drawing>
      </w:r>
    </w:p>
    <w:p>
      <w:pPr>
        <w:spacing w:after="0" w:line="10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Our research and development expenses included $75.5 million of internal expense and $74.6 million of external expenses for the year ended December 31, 2025. Of the $74.6 million of the external expenses for the year ended December 31, 2025, $23.4 million was related to our cema-cel program. Our research and development expenses included $91.1 million of internal expenses and $101.2 million of external expenses for the year ended December 31, 2024. Of the $101.2 million of the external expenses for the year ended December 31, 2024, $36.4 million was related to our cema-cel program.</w:t>
      </w:r>
    </w:p>
    <w:p>
      <w:pPr>
        <w:spacing w:after="0" w:line="8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Research and development expenses were $150.2 million and $192.3 million for the years ended December 31, 2025 and 2024, respectively. The net decrease of $42.1 million was primarily due to a decrease in development costs of $20.9 million related to the advancement of our product candidates due to the timing of process development activities and manufacturing runs, personnel related costs of $15.3 million, of which $7.5 million was decreased stock-based compensation expense, and facilities, depreciation, and other expenses of $6.0 million.</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General and Administrative Expenses</w:t>
      </w:r>
    </w:p>
    <w:p>
      <w:pPr>
        <w:sectPr>
          <w:pgSz w:w="12240" w:h="15840" w:orient="portrait"/>
          <w:cols w:equalWidth="0" w:num="1">
            <w:col w:w="10260"/>
          </w:cols>
          <w:pgMar w:left="1000" w:top="86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50505"/>
        </w:rPr>
        <w:t>98</w:t>
      </w:r>
    </w:p>
    <w:p>
      <w:pPr>
        <w:sectPr>
          <w:pgSz w:w="12240" w:h="15840" w:orient="portrait"/>
          <w:cols w:equalWidth="0" w:num="1">
            <w:col w:w="10260"/>
          </w:cols>
          <w:pgMar w:left="1000" w:top="862" w:right="980" w:bottom="0" w:gutter="0" w:footer="0" w:header="0"/>
          <w:type w:val="continuous"/>
        </w:sectPr>
      </w:pPr>
    </w:p>
    <w:bookmarkStart w:id="102" w:name="page103"/>
    <w:bookmarkEnd w:id="102"/>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General and administrative expenses were $56.8 million and $65.2 million for the years ended December 31, 2025 and 2024, respectively. The net decrease of $8.4 million was primarily due to a decrease in personnel related costs of $7.4 million, of which $6.6 million was decreased stock-based compensation expense.</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Impairment of long-lived asset</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During the year ended December 31, 2025, we recorded an additional long-lived asset impairment charge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$1.0 million related to one of our subleased buildings. In addition, during the year ended December 31, 2025, we recorded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equipment impairment of $1.3 million in conjunction with the Workforce Reduction, for a total impairment charge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$2.4 million.</w:t>
      </w:r>
    </w:p>
    <w:p>
      <w:pPr>
        <w:spacing w:after="0" w:line="110" w:lineRule="exact"/>
        <w:rPr>
          <w:sz w:val="20"/>
          <w:szCs w:val="20"/>
          <w:color w:val="auto"/>
        </w:rPr>
      </w:pPr>
    </w:p>
    <w:p>
      <w:pPr>
        <w:ind w:right="140" w:firstLine="720"/>
        <w:spacing w:after="0" w:line="281" w:lineRule="auto"/>
        <w:rPr>
          <w:sz w:val="20"/>
          <w:szCs w:val="20"/>
          <w:color w:val="auto"/>
        </w:rPr>
      </w:pPr>
      <w:r>
        <w:rPr>
          <w:rFonts w:ascii="Times New Roman" w:cs="Times New Roman" w:eastAsia="Times New Roman" w:hAnsi="Times New Roman"/>
          <w:sz w:val="20"/>
          <w:szCs w:val="20"/>
          <w:color w:val="050505"/>
        </w:rPr>
        <w:t>During the year ended December 31, 2024, we recorded long-lived asset total impairment charges of $15.7 million as the carrying values of sublet property asset groups were not recoverable due to market conditions.</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Interest and Other Income, Net</w:t>
      </w:r>
    </w:p>
    <w:p>
      <w:pPr>
        <w:spacing w:after="0" w:line="139"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050505"/>
        </w:rPr>
        <w:t>Interest and other income, net was $19.3 million and $20.2 million for the years ended December 31, 2025 and 2024, respectively. The $0.9 million decrease was primarily due to lower yields and a corresponding decrease in the interest earned on our cash, cash equivalents and investments.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Interest expense</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Interest expense was related to the CIRM award proceeds received for the years ended December 31, 2025 and 2024.</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Other Income (Expense), net</w:t>
      </w:r>
    </w:p>
    <w:p>
      <w:pPr>
        <w:spacing w:after="0" w:line="139"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050505"/>
        </w:rPr>
        <w:t>Other income was $0.2 million for the year ended December 31, 2025 and other expense was $3.9 million for the year ended December 31, 2024. The $4.1 million increase was primarily due to lower impairment loss of $2.0 million related to our equity investment and lower share of net losses in our equity method investments of $1.7 million.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Liquidity and Capital Resources</w:t>
      </w:r>
    </w:p>
    <w:p>
      <w:pPr>
        <w:spacing w:after="0" w:line="137" w:lineRule="exact"/>
        <w:rPr>
          <w:sz w:val="20"/>
          <w:szCs w:val="20"/>
          <w:color w:val="auto"/>
        </w:rPr>
      </w:pPr>
    </w:p>
    <w:p>
      <w:pPr>
        <w:ind w:right="240" w:firstLine="720"/>
        <w:spacing w:after="0" w:line="260" w:lineRule="auto"/>
        <w:rPr>
          <w:sz w:val="20"/>
          <w:szCs w:val="20"/>
          <w:color w:val="auto"/>
        </w:rPr>
      </w:pPr>
      <w:r>
        <w:rPr>
          <w:rFonts w:ascii="Times New Roman" w:cs="Times New Roman" w:eastAsia="Times New Roman" w:hAnsi="Times New Roman"/>
          <w:sz w:val="20"/>
          <w:szCs w:val="20"/>
          <w:color w:val="050505"/>
        </w:rPr>
        <w:t>To date, we have incurred significant net losses and negative cash flows from operations. As of December 31, 2025, we had $258.3 million in cash, cash equivalents and investments. We believe that the aggregate of our current cash, cash equivalents and investments available for operations will be sufficient to fund our operations for at least the next 12 months from the date this Annual Report on Form 10-K is filed with the SEC.</w:t>
      </w:r>
    </w:p>
    <w:p>
      <w:pPr>
        <w:spacing w:after="0" w:line="83"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050505"/>
        </w:rPr>
        <w:t>Our operations have been financed primarily by net proceeds from the sale and issuance of our convertible preferred stock, the issuance of convertible promissory notes, net proceeds from our IPO, our at-the-market (ATM) offerings, our June 2020 underwritten public offering, upfront cash payment of $40.0 million received in December 2020 pursuant to our License Agreement with Overland Therapeutics, and our May 2024 registered offering. In May 2024, we completed a registered offering pursuant to which we issued and sold 37,931,035 shares of our common stock. We received net proceeds of $105.2 million, after deducting underwriting discounts and commissions and offering expenses payable by us. In November 2019, we entered into a sales agreement with TD Securities (U.S.A.) LLC (f/k/a Cowen and Company, LLC) (TD Cowen), as amended on November 2, 2022 and November 2, 2023, under which we may from time to time issue and sell shares of our common stock through TD Cowen in ATM offerings. During the years ended December 31, 2025 and 2024, we sold an aggregate of 13,430,193 and 2,539,134 shares of common stock, respectively, in ATM offerings resulting in net proceeds of $22.3 million and $6.8 million, respectively. The specified dollar limit on the amount of common stock that may be sold under the sales agreement was removed pursuant to the November 2, 2023 amendment to the sales agreement.</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Capital Resources</w:t>
      </w:r>
    </w:p>
    <w:p>
      <w:pPr>
        <w:spacing w:after="0" w:line="13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Our primary use of cash is for operating expenses, which consist primarily of clinical manufacturing and research and development expenditures related to our lead product candidates, other research efforts, and to a lesser extent, general and administrative expenditures. Cash used to fund operating expenses is impacted by the timing of when we pay these expenses, as reflected in the change in our outstanding accounts payable and accrued expenses and other current liabilities.</w:t>
      </w:r>
    </w:p>
    <w:p>
      <w:pPr>
        <w:spacing w:after="0" w:line="83"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Our product candidates are still in the early stages of clinical and preclinical development and the outcome of these efforts is uncertain. Accordingly,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and license arrangements. If, and when, we do raise additional capital through public or private equity offerings, the ownership interest of our existing stockholders will be diluted, and the terms of these securities may</w:t>
      </w:r>
    </w:p>
    <w:p>
      <w:pPr>
        <w:sectPr>
          <w:pgSz w:w="12240" w:h="15840" w:orient="portrait"/>
          <w:cols w:equalWidth="0" w:num="1">
            <w:col w:w="10240"/>
          </w:cols>
          <w:pgMar w:left="1000" w:top="793" w:right="10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99</w:t>
      </w:r>
    </w:p>
    <w:p>
      <w:pPr>
        <w:sectPr>
          <w:pgSz w:w="12240" w:h="15840" w:orient="portrait"/>
          <w:cols w:equalWidth="0" w:num="1">
            <w:col w:w="10240"/>
          </w:cols>
          <w:pgMar w:left="1000" w:top="793" w:right="1000" w:bottom="0" w:gutter="0" w:footer="0" w:header="0"/>
          <w:type w:val="continuous"/>
        </w:sectPr>
      </w:pPr>
    </w:p>
    <w:bookmarkStart w:id="103" w:name="page104"/>
    <w:bookmarkEnd w:id="103"/>
    <w:p>
      <w:pPr>
        <w:spacing w:after="0" w:line="278" w:lineRule="auto"/>
        <w:rPr>
          <w:sz w:val="20"/>
          <w:szCs w:val="20"/>
          <w:color w:val="auto"/>
        </w:rPr>
      </w:pPr>
      <w:r>
        <w:rPr>
          <w:rFonts w:ascii="Times New Roman" w:cs="Times New Roman" w:eastAsia="Times New Roman" w:hAnsi="Times New Roman"/>
          <w:sz w:val="19"/>
          <w:szCs w:val="19"/>
          <w:color w:val="050505"/>
        </w:rPr>
        <w:t>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when needed, we will need to delay, reduce or terminate planned activities to reduce costs. Doing so will likely harm our ability to execute our business plans.</w:t>
      </w:r>
    </w:p>
    <w:p>
      <w:pPr>
        <w:spacing w:after="0" w:line="179" w:lineRule="exact"/>
        <w:rPr>
          <w:sz w:val="20"/>
          <w:szCs w:val="20"/>
          <w:color w:val="auto"/>
        </w:rPr>
      </w:pPr>
    </w:p>
    <w:tbl>
      <w:tblPr>
        <w:tblLayout w:type="fixed"/>
        <w:tblInd w:w="720" w:type="dxa"/>
        <w:tblCellMar>
          <w:top w:w="0" w:type="dxa"/>
          <w:left w:w="0" w:type="dxa"/>
          <w:bottom w:w="0" w:type="dxa"/>
          <w:right w:w="0" w:type="dxa"/>
        </w:tblCellMar>
      </w:tblPr>
      <w:tr>
        <w:trPr>
          <w:trHeight w:val="266"/>
        </w:trPr>
        <w:tc>
          <w:tcPr>
            <w:tcW w:w="62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050505"/>
              </w:rPr>
              <w:t>Cash Flows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63"/>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050505"/>
              </w:rPr>
              <w:t>The following table summarizes our cash flows for the periods indicated:</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6"/>
        </w:trPr>
        <w:tc>
          <w:tcPr>
            <w:tcW w:w="628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2820" w:type="dxa"/>
            <w:vAlign w:val="bottom"/>
            <w:tcBorders>
              <w:bottom w:val="single" w:sz="8" w:color="050505"/>
            </w:tcBorders>
            <w:gridSpan w:val="5"/>
          </w:tcPr>
          <w:p>
            <w:pPr>
              <w:jc w:val="center"/>
              <w:ind w:right="300"/>
              <w:spacing w:after="0"/>
              <w:rPr>
                <w:sz w:val="20"/>
                <w:szCs w:val="20"/>
                <w:color w:val="auto"/>
              </w:rPr>
            </w:pPr>
            <w:r>
              <w:rPr>
                <w:rFonts w:ascii="Times New Roman" w:cs="Times New Roman" w:eastAsia="Times New Roman" w:hAnsi="Times New Roman"/>
                <w:sz w:val="20"/>
                <w:szCs w:val="20"/>
                <w:b w:val="1"/>
                <w:bCs w:val="1"/>
                <w:color w:val="050505"/>
                <w:w w:val="99"/>
              </w:rPr>
              <w:t>Year Ended December 31,</w:t>
            </w:r>
          </w:p>
        </w:tc>
      </w:tr>
      <w:tr>
        <w:trPr>
          <w:trHeight w:val="265"/>
        </w:trPr>
        <w:tc>
          <w:tcPr>
            <w:tcW w:w="628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120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340" w:type="dxa"/>
            <w:vAlign w:val="bottom"/>
            <w:tcBorders>
              <w:bottom w:val="single" w:sz="8" w:color="050505"/>
            </w:tcBorders>
          </w:tcPr>
          <w:p>
            <w:pPr>
              <w:spacing w:after="0"/>
              <w:rPr>
                <w:sz w:val="23"/>
                <w:szCs w:val="23"/>
                <w:color w:val="auto"/>
              </w:rPr>
            </w:pPr>
          </w:p>
        </w:tc>
        <w:tc>
          <w:tcPr>
            <w:tcW w:w="116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60" w:type="dxa"/>
            <w:vAlign w:val="bottom"/>
          </w:tcPr>
          <w:p>
            <w:pPr>
              <w:spacing w:after="0"/>
              <w:rPr>
                <w:sz w:val="23"/>
                <w:szCs w:val="23"/>
                <w:color w:val="auto"/>
              </w:rPr>
            </w:pPr>
          </w:p>
        </w:tc>
      </w:tr>
      <w:tr>
        <w:trPr>
          <w:trHeight w:val="264"/>
        </w:trPr>
        <w:tc>
          <w:tcPr>
            <w:tcW w:w="6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20" w:type="dxa"/>
            <w:vAlign w:val="bottom"/>
            <w:gridSpan w:val="5"/>
          </w:tcPr>
          <w:p>
            <w:pPr>
              <w:jc w:val="center"/>
              <w:ind w:right="32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284"/>
        </w:trPr>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Net cash (used in) provided by:</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628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(149,246)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(200,300)</w:t>
            </w:r>
          </w:p>
        </w:tc>
        <w:tc>
          <w:tcPr>
            <w:tcW w:w="60" w:type="dxa"/>
            <w:vAlign w:val="bottom"/>
          </w:tcPr>
          <w:p>
            <w:pPr>
              <w:spacing w:after="0"/>
              <w:rPr>
                <w:sz w:val="24"/>
                <w:szCs w:val="24"/>
                <w:color w:val="auto"/>
              </w:rPr>
            </w:pPr>
          </w:p>
        </w:tc>
      </w:tr>
      <w:tr>
        <w:trPr>
          <w:trHeight w:val="300"/>
        </w:trPr>
        <w:tc>
          <w:tcPr>
            <w:tcW w:w="628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Investing activities</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95,559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75,688</w:t>
            </w:r>
          </w:p>
        </w:tc>
        <w:tc>
          <w:tcPr>
            <w:tcW w:w="60" w:type="dxa"/>
            <w:vAlign w:val="bottom"/>
          </w:tcPr>
          <w:p>
            <w:pPr>
              <w:spacing w:after="0"/>
              <w:rPr>
                <w:sz w:val="24"/>
                <w:szCs w:val="24"/>
                <w:color w:val="auto"/>
              </w:rPr>
            </w:pPr>
          </w:p>
        </w:tc>
      </w:tr>
      <w:tr>
        <w:trPr>
          <w:trHeight w:val="303"/>
        </w:trPr>
        <w:tc>
          <w:tcPr>
            <w:tcW w:w="628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Financing activities</w:t>
            </w:r>
          </w:p>
        </w:tc>
        <w:tc>
          <w:tcPr>
            <w:tcW w:w="300" w:type="dxa"/>
            <w:vAlign w:val="bottom"/>
            <w:tcBorders>
              <w:bottom w:val="single" w:sz="8" w:color="050505"/>
            </w:tcBorders>
          </w:tcPr>
          <w:p>
            <w:pPr>
              <w:spacing w:after="0"/>
              <w:rPr>
                <w:sz w:val="24"/>
                <w:szCs w:val="24"/>
                <w:color w:val="auto"/>
              </w:rPr>
            </w:pPr>
          </w:p>
        </w:tc>
        <w:tc>
          <w:tcPr>
            <w:tcW w:w="12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30,157</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116,675</w:t>
            </w:r>
          </w:p>
        </w:tc>
        <w:tc>
          <w:tcPr>
            <w:tcW w:w="60" w:type="dxa"/>
            <w:vAlign w:val="bottom"/>
          </w:tcPr>
          <w:p>
            <w:pPr>
              <w:spacing w:after="0"/>
              <w:rPr>
                <w:sz w:val="24"/>
                <w:szCs w:val="24"/>
                <w:color w:val="auto"/>
              </w:rPr>
            </w:pPr>
          </w:p>
        </w:tc>
      </w:tr>
      <w:tr>
        <w:trPr>
          <w:trHeight w:val="260"/>
        </w:trPr>
        <w:tc>
          <w:tcPr>
            <w:tcW w:w="628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Net decrease in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(23,530)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(7,937)</w:t>
            </w:r>
          </w:p>
        </w:tc>
        <w:tc>
          <w:tcPr>
            <w:tcW w:w="6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120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16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-983615</wp:posOffset>
            </wp:positionV>
            <wp:extent cx="5997575" cy="215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9">
                      <a:extLst>
                        <a:ext uri="{28A0092B-C50C-407E-A947-70E740481C1C}"/>
                      </a:extLst>
                    </a:blip>
                    <a:srcRect/>
                    <a:stretch>
                      <a:fillRect/>
                    </a:stretch>
                  </pic:blipFill>
                  <pic:spPr bwMode="auto">
                    <a:xfrm>
                      <a:off x="0" y="0"/>
                      <a:ext cx="5997575" cy="21590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-602615</wp:posOffset>
            </wp:positionV>
            <wp:extent cx="5997575" cy="215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0">
                      <a:extLst>
                        <a:ext uri="{28A0092B-C50C-407E-A947-70E740481C1C}"/>
                      </a:extLst>
                    </a:blip>
                    <a:srcRect/>
                    <a:stretch>
                      <a:fillRect/>
                    </a:stretch>
                  </pic:blipFill>
                  <pic:spPr bwMode="auto">
                    <a:xfrm>
                      <a:off x="0" y="0"/>
                      <a:ext cx="5997575" cy="21590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-221615</wp:posOffset>
            </wp:positionV>
            <wp:extent cx="5997575" cy="228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1">
                      <a:extLst>
                        <a:ext uri="{28A0092B-C50C-407E-A947-70E740481C1C}"/>
                      </a:extLst>
                    </a:blip>
                    <a:srcRect/>
                    <a:stretch>
                      <a:fillRect/>
                    </a:stretch>
                  </pic:blipFill>
                  <pic:spPr bwMode="auto">
                    <a:xfrm>
                      <a:off x="0" y="0"/>
                      <a:ext cx="5997575" cy="228600"/>
                    </a:xfrm>
                    <a:prstGeom prst="rect">
                      <a:avLst/>
                    </a:prstGeom>
                    <a:noFill/>
                  </pic:spPr>
                </pic:pic>
              </a:graphicData>
            </a:graphic>
          </wp:anchor>
        </w:drawing>
      </w:r>
    </w:p>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Operating Activities</w:t>
      </w:r>
    </w:p>
    <w:p>
      <w:pPr>
        <w:spacing w:after="0" w:line="139" w:lineRule="exact"/>
        <w:rPr>
          <w:sz w:val="20"/>
          <w:szCs w:val="20"/>
          <w:color w:val="auto"/>
        </w:rPr>
      </w:pPr>
    </w:p>
    <w:p>
      <w:pPr>
        <w:ind w:right="20" w:firstLine="720"/>
        <w:spacing w:after="0" w:line="269" w:lineRule="auto"/>
        <w:rPr>
          <w:sz w:val="20"/>
          <w:szCs w:val="20"/>
          <w:color w:val="auto"/>
        </w:rPr>
      </w:pPr>
      <w:r>
        <w:rPr>
          <w:rFonts w:ascii="Times New Roman" w:cs="Times New Roman" w:eastAsia="Times New Roman" w:hAnsi="Times New Roman"/>
          <w:sz w:val="19"/>
          <w:szCs w:val="19"/>
          <w:color w:val="050505"/>
        </w:rPr>
        <w:t>During the year ended December 31, 2025, cash used in operating activities of $149.2 million was attributable to a net loss of $190.9 million and a decrease of $10.9 million in our net operating assets and liabilities, partially offset by non-cash charges of $52.5 million. The non-cash charges consisted primarily of stock-based compensation of $37.6 million, depreciation and amortization of $12.4 million, non-cash rent expense of $4.4 million, and impairment of long-lived assets of $2.4 million, partially offset by net amortization and accretion on investment securities of $4.2 million. The net change in operating assets and liabilities was primarily due to a decrease in operating lease liabilities of $7.5 million, increase in the deposit placed in escrow related to the Servier Amendment of $2.7 million, decrease in accrued and other current liabilities of $2.5 million, increase in other long-term assets of $1.3 million, and decrease in accounts payable of $1.2 million, partially offset by a decrease in prepaid expenses and other current assets of $3.2 million and increase in other long-term liabilities of $1.1 million.</w:t>
      </w:r>
    </w:p>
    <w:p>
      <w:pPr>
        <w:spacing w:after="0" w:line="196"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During the year ended December 31, 2024, cash used in operating activities of $200.3 million was attributable to a net loss of $257.6 million and a decrease of $24.8 million in our net operating assets and liabilities, partially offset by non-cash charges of $82.1 million. The non-cash charges consisted primarily of stock-based compensation of $51.7 million, impairment of long-lived assets of $15.7 million, depreciation and amortization of $13.6 million, non-cash rent expense of $5.3 million, impairment of equity investment of $2.0 million, and share of losses from equity method investments of $1.7 million, partially offset by net amortization and accretion on investment securities of $8.3 million. The net change in operating assets and liabilities was primarily due to deposit placed in escrow related to the Servier Amendment of $20.8 million, decrease in operating lease liabilities of $6.3 million, decrease in accrued and other current liabilities of $1.3 million, decrease in accounts payable of $0.5 million, and increase in prepaid expense and other current assets of $0.5 million, partially offset by decrease in other long-term assets of $4.3 million and increase in other long-term liabilities of $0.3 million.</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Investing Activities</w:t>
      </w:r>
    </w:p>
    <w:p>
      <w:pPr>
        <w:spacing w:after="0" w:line="139"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050505"/>
        </w:rPr>
        <w:t>During the year ended December 31, 2025, net cash provided by investing activities of $95.6 million was related to cash inflows from maturities of investments of $234.2 million partially offset by the purchase of investments of $138.3 million and purchases of property and equipment of $0.4 million.</w:t>
      </w:r>
    </w:p>
    <w:p>
      <w:pPr>
        <w:spacing w:after="0" w:line="75"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20"/>
          <w:szCs w:val="20"/>
          <w:color w:val="050505"/>
        </w:rPr>
        <w:t>During the year ended December 31, 2024, net cash provided by investing activities of $75.7 million was related to cash inflows from maturities of investments of $432.5 million and cash provided by investment sales of $5.4 million, partially offset by the purchase of investments of $361.5 million and purchases of property and equipment of $0.7 million.</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Financing Activities</w:t>
      </w:r>
    </w:p>
    <w:p>
      <w:pPr>
        <w:spacing w:after="0" w:line="139" w:lineRule="exact"/>
        <w:rPr>
          <w:sz w:val="20"/>
          <w:szCs w:val="20"/>
          <w:color w:val="auto"/>
        </w:rPr>
      </w:pPr>
    </w:p>
    <w:p>
      <w:pPr>
        <w:jc w:val="both"/>
        <w:ind w:right="160" w:firstLine="720"/>
        <w:spacing w:after="0" w:line="286" w:lineRule="auto"/>
        <w:rPr>
          <w:sz w:val="20"/>
          <w:szCs w:val="20"/>
          <w:color w:val="auto"/>
        </w:rPr>
      </w:pPr>
      <w:r>
        <w:rPr>
          <w:rFonts w:ascii="Times New Roman" w:cs="Times New Roman" w:eastAsia="Times New Roman" w:hAnsi="Times New Roman"/>
          <w:sz w:val="19"/>
          <w:szCs w:val="19"/>
          <w:color w:val="050505"/>
        </w:rPr>
        <w:t>During the year ended December 31, 2025, net cash provided by financing activities of $30.2 million was related to net proceeds from the issuance of common stock through ATM transactions of $22.4 million, proceeds from the CIRM award of $6.9 million, and proceeds from the sale of common stock through our employee stock purchase plan of $0.9 million.</w:t>
      </w:r>
    </w:p>
    <w:p>
      <w:pPr>
        <w:spacing w:after="0" w:line="59" w:lineRule="exact"/>
        <w:rPr>
          <w:sz w:val="20"/>
          <w:szCs w:val="20"/>
          <w:color w:val="auto"/>
        </w:rPr>
      </w:pPr>
    </w:p>
    <w:p>
      <w:pPr>
        <w:ind w:right="20" w:firstLine="720"/>
        <w:spacing w:after="0" w:line="286" w:lineRule="auto"/>
        <w:rPr>
          <w:sz w:val="20"/>
          <w:szCs w:val="20"/>
          <w:color w:val="auto"/>
        </w:rPr>
      </w:pPr>
      <w:r>
        <w:rPr>
          <w:rFonts w:ascii="Times New Roman" w:cs="Times New Roman" w:eastAsia="Times New Roman" w:hAnsi="Times New Roman"/>
          <w:sz w:val="19"/>
          <w:szCs w:val="19"/>
          <w:color w:val="050505"/>
        </w:rPr>
        <w:t>During the year ended December 31, 2024, net cash provided by financing activities of $116.7 million was related to net proceeds from the issuance of common stock through our May 2024 registered offering of $105.3 million, net proceeds from the issuance of common stock through ATM transactions of $6.8 million, proceeds from the CIRM award of $2.3 million,</w:t>
      </w:r>
    </w:p>
    <w:p>
      <w:pPr>
        <w:sectPr>
          <w:pgSz w:w="12240" w:h="15840" w:orient="portrait"/>
          <w:cols w:equalWidth="0" w:num="1">
            <w:col w:w="10200"/>
          </w:cols>
          <w:pgMar w:left="1000" w:top="793" w:right="1040" w:bottom="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050505"/>
        </w:rPr>
        <w:t>100</w:t>
      </w:r>
    </w:p>
    <w:p>
      <w:pPr>
        <w:sectPr>
          <w:pgSz w:w="12240" w:h="15840" w:orient="portrait"/>
          <w:cols w:equalWidth="0" w:num="1">
            <w:col w:w="10200"/>
          </w:cols>
          <w:pgMar w:left="1000" w:top="793" w:right="1040" w:bottom="0" w:gutter="0" w:footer="0" w:header="0"/>
          <w:type w:val="continuous"/>
        </w:sectPr>
      </w:pPr>
    </w:p>
    <w:bookmarkStart w:id="104" w:name="page105"/>
    <w:bookmarkEnd w:id="104"/>
    <w:p>
      <w:pPr>
        <w:ind w:right="360"/>
        <w:spacing w:after="0" w:line="281" w:lineRule="auto"/>
        <w:rPr>
          <w:sz w:val="20"/>
          <w:szCs w:val="20"/>
          <w:color w:val="auto"/>
        </w:rPr>
      </w:pPr>
      <w:r>
        <w:rPr>
          <w:rFonts w:ascii="Times New Roman" w:cs="Times New Roman" w:eastAsia="Times New Roman" w:hAnsi="Times New Roman"/>
          <w:sz w:val="20"/>
          <w:szCs w:val="20"/>
          <w:color w:val="050505"/>
        </w:rPr>
        <w:t>proceeds from the sales of common stock through our employee stock purchase plan of $1.5 million, and proceeds from the issuance of common stock upon the exercise of stock options of $0.8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Contractual Obligations and Commitments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Material Cash Commitments and Requirements</w:t>
      </w:r>
    </w:p>
    <w:p>
      <w:pPr>
        <w:spacing w:after="0" w:line="139"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050505"/>
        </w:rPr>
        <w:t>Our commitments primarily consist of obligations under our agreements with Pfizer, Cellectis, Servier and Foresight. Under these agreements we are required to make milestone payments upon successful completion of certain development, regulatory and/or sales milestones on a target-by-target and country-by-country basis. The payment obligations under the license agreements are contingent upon future events such as our achievement of specified development, regulatory and/or commercial milestones and we will be required to make development milestone payments and royalty payments in connection with the sale of products developed under these agreements. As of December 31, 2025, we were unable to estimate the timing or likelihood of achieving the milestones or making future product sales. For additional information regarding our agreements, refer to Note 6 on our consolidated financial statements included elsewhere in this Annual Report.</w:t>
      </w:r>
    </w:p>
    <w:p>
      <w:pPr>
        <w:spacing w:after="0" w:line="93"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Our operating lease obligations primarily consist of lease payments on our research, lab and office facilities in South San Francisco, California, as well as lease payments on our cell manufacturing facility in Newark, California. For additional information regarding our lease obligations, refer to Note 7 on our consolidated financial statements included elsewhere in this Annual Report.</w:t>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On October 6, 2020, we announced we entered into a strategic five-year collaboration agreement with MD Anderson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for the preclinical and clinical investigation of allogeneic CAR T cell product candidates. In August 2025 we extended the term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of the agreement for an additional year. We and MD Anderson are collaborating on the design and conduct of preclinical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clinical studies with oversight from a joint steering committee. Under the terms of the agreement, we have committed up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$15.0 million of funding for the duration of the agreement. Payment of this funding is contingent on mutual agreement to study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orders in order for any study to be included under the alliance. We made an upfront payment of $3.0 million to MD Anderson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in the year ended December 31, 2020 and made additional upfront payments of $3.0 million to MD Anderson in October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and June 2025. We are committed to make further payments to MD Anderson each year upon the anniversary of the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effective date through the duration of the agreement term, however, if MD Anderson has sufficient funds to continue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agreed-upon research projects, we may defer the additional payment to a later date. The agreement may be terminated by either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party for material breach by the other party. Individual studies may be terminated for, among other things, material breach,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health and safety concerns or where the institutional review board, the review board at the clinical site with oversight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clinical study, requests termination of any study. Where any legal or regulatory authorization is finally withdrawn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terminated, the relevant study will also terminate automatically.</w:t>
      </w:r>
    </w:p>
    <w:p>
      <w:pPr>
        <w:spacing w:after="0" w:line="110"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20"/>
          <w:szCs w:val="20"/>
          <w:color w:val="050505"/>
        </w:rPr>
        <w:t>In July 2020, we entered into a Solar Power Purchase and Energy Services Agreement for the installation and operation of a solar photovoltaic generating system and battery energy storage system at our manufacturing facility in Newark, California. The agreement has a term of 20 years and commenced in September 2022. We are obligated to pay for electricity generated from the system at an agreed rate for the duration of the agreement term. Termination of the agreement by us will result in a termination payment due of approximately $4.3 million. In connection with the agreement, we maintain a letter of credit for the benefit of the service provider in the amount of $4.3 million.</w:t>
      </w:r>
    </w:p>
    <w:p>
      <w:pPr>
        <w:spacing w:after="0" w:line="88" w:lineRule="exact"/>
        <w:rPr>
          <w:sz w:val="20"/>
          <w:szCs w:val="20"/>
          <w:color w:val="auto"/>
        </w:rPr>
      </w:pPr>
    </w:p>
    <w:p>
      <w:pPr>
        <w:ind w:right="80" w:firstLine="720"/>
        <w:spacing w:after="0" w:line="281" w:lineRule="auto"/>
        <w:rPr>
          <w:sz w:val="20"/>
          <w:szCs w:val="20"/>
          <w:color w:val="auto"/>
        </w:rPr>
      </w:pPr>
      <w:r>
        <w:rPr>
          <w:rFonts w:ascii="Times New Roman" w:cs="Times New Roman" w:eastAsia="Times New Roman" w:hAnsi="Times New Roman"/>
          <w:sz w:val="20"/>
          <w:szCs w:val="20"/>
          <w:color w:val="050505"/>
        </w:rPr>
        <w:t>We also have a Change in Control and Severance Plan that requires the funding of specific payments, if certain events occur, such as a change of control and the termination of employment without cause.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Critical Accounting Policies and Significant Judgments and Estimates</w:t>
      </w:r>
    </w:p>
    <w:p>
      <w:pPr>
        <w:spacing w:after="0" w:line="13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Our management’s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3"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050505"/>
        </w:rPr>
        <w:t>We believe that the assumptions and estimates associated with accrued research and development expenditures, stock-based compensation and impairment of long-lived assets have the most significant impact on our consolidated financial statements. Therefore, we consider these to be our critical accounting policies and estimates.</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101</w:t>
      </w:r>
    </w:p>
    <w:p>
      <w:pPr>
        <w:sectPr>
          <w:pgSz w:w="12240" w:h="15840" w:orient="portrait"/>
          <w:cols w:equalWidth="0" w:num="1">
            <w:col w:w="10240"/>
          </w:cols>
          <w:pgMar w:left="1000" w:top="793" w:right="1000" w:bottom="0" w:gutter="0" w:footer="0" w:header="0"/>
          <w:type w:val="continuous"/>
        </w:sectPr>
      </w:pPr>
    </w:p>
    <w:bookmarkStart w:id="105" w:name="page106"/>
    <w:bookmarkEnd w:id="105"/>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Accrued Research and Development Costs</w:t>
      </w:r>
    </w:p>
    <w:p>
      <w:pPr>
        <w:spacing w:after="0" w:line="139" w:lineRule="exact"/>
        <w:rPr>
          <w:sz w:val="20"/>
          <w:szCs w:val="20"/>
          <w:color w:val="auto"/>
        </w:rPr>
      </w:pPr>
    </w:p>
    <w:p>
      <w:pPr>
        <w:ind w:right="380" w:firstLine="720"/>
        <w:spacing w:after="0" w:line="256" w:lineRule="auto"/>
        <w:rPr>
          <w:sz w:val="20"/>
          <w:szCs w:val="20"/>
          <w:color w:val="auto"/>
        </w:rPr>
      </w:pPr>
      <w:r>
        <w:rPr>
          <w:rFonts w:ascii="Times New Roman" w:cs="Times New Roman" w:eastAsia="Times New Roman" w:hAnsi="Times New Roman"/>
          <w:sz w:val="20"/>
          <w:szCs w:val="20"/>
          <w:color w:val="050505"/>
        </w:rPr>
        <w:t>We accrue liabilities for estimated costs of research and development activities conducted by our collaboration partners and third-party service providers, which include the conduct of preclinical and clinical studies, and contract manufacturing activities. We recorded the estimated costs of research and development activities based upon the estimated amount of services provided but not yet invoiced, and includes these costs in the accrued and other current liabilities on the consolidated balance sheets and within research and development expense on the consolidated statements of operations and comprehensive loss.</w:t>
      </w:r>
    </w:p>
    <w:p>
      <w:pPr>
        <w:spacing w:after="0" w:line="88" w:lineRule="exact"/>
        <w:rPr>
          <w:sz w:val="20"/>
          <w:szCs w:val="20"/>
          <w:color w:val="auto"/>
        </w:rPr>
      </w:pPr>
    </w:p>
    <w:p>
      <w:pPr>
        <w:jc w:val="both"/>
        <w:ind w:right="340" w:firstLine="720"/>
        <w:spacing w:after="0" w:line="286" w:lineRule="auto"/>
        <w:rPr>
          <w:sz w:val="20"/>
          <w:szCs w:val="20"/>
          <w:color w:val="auto"/>
        </w:rPr>
      </w:pPr>
      <w:r>
        <w:rPr>
          <w:rFonts w:ascii="Times New Roman" w:cs="Times New Roman" w:eastAsia="Times New Roman" w:hAnsi="Times New Roman"/>
          <w:sz w:val="19"/>
          <w:szCs w:val="19"/>
          <w:color w:val="050505"/>
        </w:rPr>
        <w:t>We accrue for these costs based on factors such as estimates of the work completed in accordance with agreements established with our collaboration partners and third-party service providers. We make estimates in determining the accrued liabilities balance in each reporting period. As actual costs become known, we adjust its accrued liabilities.</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Stock-Based Compensation</w:t>
      </w:r>
    </w:p>
    <w:p>
      <w:pPr>
        <w:spacing w:after="0" w:line="139" w:lineRule="exact"/>
        <w:rPr>
          <w:sz w:val="20"/>
          <w:szCs w:val="20"/>
          <w:color w:val="auto"/>
        </w:rPr>
      </w:pPr>
    </w:p>
    <w:p>
      <w:pPr>
        <w:ind w:right="220" w:firstLine="720"/>
        <w:spacing w:after="0" w:line="256" w:lineRule="auto"/>
        <w:rPr>
          <w:sz w:val="20"/>
          <w:szCs w:val="20"/>
          <w:color w:val="auto"/>
        </w:rPr>
      </w:pPr>
      <w:r>
        <w:rPr>
          <w:rFonts w:ascii="Times New Roman" w:cs="Times New Roman" w:eastAsia="Times New Roman" w:hAnsi="Times New Roman"/>
          <w:sz w:val="20"/>
          <w:szCs w:val="20"/>
          <w:color w:val="050505"/>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lattice option pricing model or Monte Carlo simulation, whichever provides us the more precise grant fair value based on accounting guidance. The grant date fair value of the stock-based awards is generally recognized on a straight-line basis over the requisite service period, which is generally the vesting period of the respective awards.</w:t>
      </w:r>
    </w:p>
    <w:p>
      <w:pPr>
        <w:spacing w:after="0" w:line="88" w:lineRule="exact"/>
        <w:rPr>
          <w:sz w:val="20"/>
          <w:szCs w:val="20"/>
          <w:color w:val="auto"/>
        </w:rPr>
      </w:pPr>
    </w:p>
    <w:p>
      <w:pPr>
        <w:jc w:val="both"/>
        <w:ind w:right="200" w:firstLine="720"/>
        <w:spacing w:after="0" w:line="266" w:lineRule="auto"/>
        <w:rPr>
          <w:sz w:val="20"/>
          <w:szCs w:val="20"/>
          <w:color w:val="auto"/>
        </w:rPr>
      </w:pPr>
      <w:r>
        <w:rPr>
          <w:rFonts w:ascii="Times New Roman" w:cs="Times New Roman" w:eastAsia="Times New Roman" w:hAnsi="Times New Roman"/>
          <w:sz w:val="20"/>
          <w:szCs w:val="20"/>
          <w:color w:val="050505"/>
        </w:rPr>
        <w:t>For the years ended December 31, 2025, and 2024, stock-based compensation was $37.6 million, and $51.7 million, respectively. As of December 31, 2025 and 2024, we had $40.5 million and $69.2 million, respectively, of total unrecognized stock-based compensation.</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Impairment of Long-lived Assets</w:t>
      </w:r>
    </w:p>
    <w:p>
      <w:pPr>
        <w:spacing w:after="0" w:line="13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Our long-lived assets, including right-of-use assets, are reviewed for impairment whenever events or changes in circumstances indicate that the carrying amount of an asset may not be recoverable. Recoverability is measured by comparison of the carrying amount of an asset group to the future net undiscounted cash flows that the assets are expected to generate. The long-lived assets recoverability test is performed at the asset group level, i.e., the lowest level for which identifiable cash flows are largely independent of the cash flows of other assets and liabilities. If this test indicates that the carrying amount of the asset group is not recoverable, an impairment loss is measured as the amount by which the carrying amount of an asset group exceeds its fair value. Any impairment loss is allocated to the long-lived assets of the group on a pro rata basis using the relative carrying amounts of those assets, except that the carrying amount of an individual asset shall not be reduced below its fair value.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Recent Accounting Pronouncements</w:t>
      </w:r>
    </w:p>
    <w:p>
      <w:pPr>
        <w:spacing w:after="0" w:line="137" w:lineRule="exact"/>
        <w:rPr>
          <w:sz w:val="20"/>
          <w:szCs w:val="20"/>
          <w:color w:val="auto"/>
        </w:rPr>
      </w:pPr>
    </w:p>
    <w:p>
      <w:pPr>
        <w:ind w:right="80" w:firstLine="720"/>
        <w:spacing w:after="0" w:line="281" w:lineRule="auto"/>
        <w:rPr>
          <w:sz w:val="20"/>
          <w:szCs w:val="20"/>
          <w:color w:val="auto"/>
        </w:rPr>
      </w:pPr>
      <w:r>
        <w:rPr>
          <w:rFonts w:ascii="Times New Roman" w:cs="Times New Roman" w:eastAsia="Times New Roman" w:hAnsi="Times New Roman"/>
          <w:sz w:val="20"/>
          <w:szCs w:val="20"/>
          <w:color w:val="050505"/>
        </w:rPr>
        <w:t>Refer to Note 2 to our consolidated financial statements for a discussion of new accounting standards and updates that may impact 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7A. Quantitative and Qualitative Disclosures About Market Risk.</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Interest Rate Risk</w:t>
      </w:r>
    </w:p>
    <w:p>
      <w:pPr>
        <w:spacing w:after="0" w:line="139"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050505"/>
        </w:rPr>
        <w:t>Our cash, cash equivalents and investments of $258.3 million as of December 31, 2025, consist of bank deposits, money market funds and available-for-sale securities. Such interest-earning instruments carry a degree of interest rate risk; however, historical fluctuations in interest income have not been significant for us. A 10% change in the interest rates in effect on December 31, 2025 would not have had a material effect on the fair market value of our cash equivalents and available-for-sale securities.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Foreign Currency Exchange Rate Risk</w:t>
      </w:r>
    </w:p>
    <w:p>
      <w:pPr>
        <w:spacing w:after="0" w:line="139" w:lineRule="exact"/>
        <w:rPr>
          <w:sz w:val="20"/>
          <w:szCs w:val="20"/>
          <w:color w:val="auto"/>
        </w:rPr>
      </w:pPr>
    </w:p>
    <w:p>
      <w:pPr>
        <w:ind w:right="40" w:firstLine="720"/>
        <w:spacing w:after="0" w:line="271" w:lineRule="auto"/>
        <w:rPr>
          <w:sz w:val="20"/>
          <w:szCs w:val="20"/>
          <w:color w:val="auto"/>
        </w:rPr>
      </w:pPr>
      <w:r>
        <w:rPr>
          <w:rFonts w:ascii="Times New Roman" w:cs="Times New Roman" w:eastAsia="Times New Roman" w:hAnsi="Times New Roman"/>
          <w:sz w:val="19"/>
          <w:szCs w:val="19"/>
          <w:color w:val="050505"/>
        </w:rPr>
        <w:t>Our collaboration agreement with Servier requires collaboration payments for shared clinical development costs to be paid in euros,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an effect on payments due and made to our collaboration partner as well as other foreign suppliers and for license agreements. A 10% change in the applicable foreign exchange rates during the periods presented would not have had a material effect on our consolidated financial statements. As of December 31, 2025, we</w:t>
      </w:r>
    </w:p>
    <w:p>
      <w:pPr>
        <w:sectPr>
          <w:pgSz w:w="12240" w:h="15840" w:orient="portrait"/>
          <w:cols w:equalWidth="0" w:num="1">
            <w:col w:w="10240"/>
          </w:cols>
          <w:pgMar w:left="1000" w:top="784" w:right="1000" w:bottom="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102</w:t>
      </w:r>
    </w:p>
    <w:p>
      <w:pPr>
        <w:sectPr>
          <w:pgSz w:w="12240" w:h="15840" w:orient="portrait"/>
          <w:cols w:equalWidth="0" w:num="1">
            <w:col w:w="10240"/>
          </w:cols>
          <w:pgMar w:left="1000" w:top="784" w:right="1000" w:bottom="0" w:gutter="0" w:footer="0" w:header="0"/>
          <w:type w:val="continuous"/>
        </w:sectPr>
      </w:pPr>
    </w:p>
    <w:bookmarkStart w:id="106" w:name="page107"/>
    <w:bookmarkEnd w:id="106"/>
    <w:p>
      <w:pPr>
        <w:spacing w:after="0" w:line="281" w:lineRule="auto"/>
        <w:rPr>
          <w:sz w:val="20"/>
          <w:szCs w:val="20"/>
          <w:color w:val="auto"/>
        </w:rPr>
      </w:pPr>
      <w:r>
        <w:rPr>
          <w:rFonts w:ascii="Times New Roman" w:cs="Times New Roman" w:eastAsia="Times New Roman" w:hAnsi="Times New Roman"/>
          <w:sz w:val="20"/>
          <w:szCs w:val="20"/>
          <w:color w:val="050505"/>
        </w:rPr>
        <w:t>had $23.5 million of deposit placed in escrow. As of December 31, 2025, we had $0.2 million receivables and $0.1 million of current liabilities denominated in foreign currency.</w:t>
      </w:r>
    </w:p>
    <w:p>
      <w:pPr>
        <w:sectPr>
          <w:pgSz w:w="12240" w:h="15840" w:orient="portrait"/>
          <w:cols w:equalWidth="0" w:num="1">
            <w:col w:w="10040"/>
          </w:cols>
          <w:pgMar w:left="1000" w:top="793"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050505"/>
        </w:rPr>
        <w:t>103</w:t>
      </w:r>
    </w:p>
    <w:p>
      <w:pPr>
        <w:sectPr>
          <w:pgSz w:w="12240" w:h="15840" w:orient="portrait"/>
          <w:cols w:equalWidth="0" w:num="1">
            <w:col w:w="10040"/>
          </w:cols>
          <w:pgMar w:left="1000" w:top="793" w:right="1200" w:bottom="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64"/>
        </w:trPr>
        <w:tc>
          <w:tcPr>
            <w:tcW w:w="882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Item 8. Financial Statements and Supplementary Data.</w:t>
            </w:r>
          </w:p>
        </w:tc>
        <w:tc>
          <w:tcPr>
            <w:tcW w:w="1360" w:type="dxa"/>
            <w:vAlign w:val="bottom"/>
          </w:tcPr>
          <w:p>
            <w:pPr>
              <w:spacing w:after="0"/>
              <w:rPr>
                <w:sz w:val="22"/>
                <w:szCs w:val="22"/>
                <w:color w:val="auto"/>
              </w:rPr>
            </w:pPr>
          </w:p>
        </w:tc>
      </w:tr>
      <w:tr>
        <w:trPr>
          <w:trHeight w:val="600"/>
        </w:trPr>
        <w:tc>
          <w:tcPr>
            <w:tcW w:w="8820" w:type="dxa"/>
            <w:vAlign w:val="bottom"/>
          </w:tcPr>
          <w:p>
            <w:pPr>
              <w:ind w:left="2500"/>
              <w:spacing w:after="0"/>
              <w:rPr>
                <w:sz w:val="20"/>
                <w:szCs w:val="20"/>
                <w:color w:val="auto"/>
              </w:rPr>
            </w:pPr>
            <w:r>
              <w:rPr>
                <w:rFonts w:ascii="Times New Roman" w:cs="Times New Roman" w:eastAsia="Times New Roman" w:hAnsi="Times New Roman"/>
                <w:sz w:val="20"/>
                <w:szCs w:val="20"/>
                <w:b w:val="1"/>
                <w:bCs w:val="1"/>
                <w:color w:val="050505"/>
              </w:rPr>
              <w:t>INDEX TO CONSOLIDATED FINANCIAL STATEMENTS</w:t>
            </w:r>
          </w:p>
        </w:tc>
        <w:tc>
          <w:tcPr>
            <w:tcW w:w="1360" w:type="dxa"/>
            <w:vAlign w:val="bottom"/>
          </w:tcPr>
          <w:p>
            <w:pPr>
              <w:spacing w:after="0"/>
              <w:rPr>
                <w:sz w:val="24"/>
                <w:szCs w:val="24"/>
                <w:color w:val="auto"/>
              </w:rPr>
            </w:pPr>
          </w:p>
        </w:tc>
      </w:tr>
      <w:tr>
        <w:trPr>
          <w:trHeight w:val="483"/>
        </w:trPr>
        <w:tc>
          <w:tcPr>
            <w:tcW w:w="8820" w:type="dxa"/>
            <w:vAlign w:val="bottom"/>
          </w:tcPr>
          <w:p>
            <w:pPr>
              <w:ind w:left="3140"/>
              <w:spacing w:after="0"/>
              <w:rPr>
                <w:sz w:val="20"/>
                <w:szCs w:val="20"/>
                <w:color w:val="auto"/>
              </w:rPr>
            </w:pPr>
            <w:r>
              <w:rPr>
                <w:rFonts w:ascii="Times New Roman" w:cs="Times New Roman" w:eastAsia="Times New Roman" w:hAnsi="Times New Roman"/>
                <w:sz w:val="20"/>
                <w:szCs w:val="20"/>
                <w:color w:val="050505"/>
              </w:rPr>
              <w:t>For the years ended December 31, 2025 and 2024</w:t>
            </w:r>
          </w:p>
        </w:tc>
        <w:tc>
          <w:tcPr>
            <w:tcW w:w="1360" w:type="dxa"/>
            <w:vAlign w:val="bottom"/>
          </w:tcPr>
          <w:p>
            <w:pPr>
              <w:spacing w:after="0"/>
              <w:rPr>
                <w:sz w:val="24"/>
                <w:szCs w:val="24"/>
                <w:color w:val="auto"/>
              </w:rPr>
            </w:pPr>
          </w:p>
        </w:tc>
      </w:tr>
      <w:tr>
        <w:trPr>
          <w:trHeight w:val="328"/>
        </w:trPr>
        <w:tc>
          <w:tcPr>
            <w:tcW w:w="882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Report of Independent Registered Public Accounting Firm (PCAOB ID: 42)</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105</w:t>
            </w:r>
          </w:p>
        </w:tc>
      </w:tr>
      <w:tr>
        <w:trPr>
          <w:trHeight w:val="362"/>
        </w:trPr>
        <w:tc>
          <w:tcPr>
            <w:tcW w:w="882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Consolidated Financial Statements:</w:t>
            </w:r>
          </w:p>
        </w:tc>
        <w:tc>
          <w:tcPr>
            <w:tcW w:w="1360" w:type="dxa"/>
            <w:vAlign w:val="bottom"/>
          </w:tcPr>
          <w:p>
            <w:pPr>
              <w:spacing w:after="0"/>
              <w:rPr>
                <w:sz w:val="24"/>
                <w:szCs w:val="24"/>
                <w:color w:val="auto"/>
              </w:rPr>
            </w:pPr>
          </w:p>
        </w:tc>
      </w:tr>
      <w:tr>
        <w:trPr>
          <w:trHeight w:val="388"/>
        </w:trPr>
        <w:tc>
          <w:tcPr>
            <w:tcW w:w="882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Consolidated Balance Sheets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106</w:t>
            </w:r>
          </w:p>
        </w:tc>
      </w:tr>
      <w:tr>
        <w:trPr>
          <w:trHeight w:val="300"/>
        </w:trPr>
        <w:tc>
          <w:tcPr>
            <w:tcW w:w="882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Consolidated Statements of Operations and Comprehensive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107</w:t>
            </w:r>
          </w:p>
        </w:tc>
      </w:tr>
      <w:tr>
        <w:trPr>
          <w:trHeight w:val="300"/>
        </w:trPr>
        <w:tc>
          <w:tcPr>
            <w:tcW w:w="882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Consolidated Statements of Stockholders’ Equity</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108</w:t>
            </w:r>
          </w:p>
        </w:tc>
      </w:tr>
      <w:tr>
        <w:trPr>
          <w:trHeight w:val="300"/>
        </w:trPr>
        <w:tc>
          <w:tcPr>
            <w:tcW w:w="882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Consolidated Statements of Cash Flows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109</w:t>
            </w:r>
          </w:p>
        </w:tc>
      </w:tr>
      <w:tr>
        <w:trPr>
          <w:trHeight w:val="300"/>
        </w:trPr>
        <w:tc>
          <w:tcPr>
            <w:tcW w:w="882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Notes to Consolidated Financial Statements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110</w:t>
            </w:r>
          </w:p>
        </w:tc>
      </w:tr>
    </w:tbl>
    <w:p>
      <w:pPr>
        <w:spacing w:after="0" w:line="200" w:lineRule="exact"/>
        <w:rPr>
          <w:sz w:val="20"/>
          <w:szCs w:val="20"/>
          <w:color w:val="auto"/>
        </w:rPr>
      </w:pP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050505"/>
        </w:rPr>
        <w:t>104</w:t>
      </w:r>
    </w:p>
    <w:p>
      <w:pPr>
        <w:sectPr>
          <w:pgSz w:w="12240" w:h="15840" w:orient="portrait"/>
          <w:cols w:equalWidth="0" w:num="1">
            <w:col w:w="10180"/>
          </w:cols>
          <w:pgMar w:left="1000" w:top="786" w:right="1060" w:bottom="0" w:gutter="0" w:footer="0" w:header="0"/>
          <w:type w:val="continuous"/>
        </w:sectPr>
      </w:pPr>
    </w:p>
    <w:bookmarkStart w:id="108" w:name="page109"/>
    <w:bookmarkEnd w:id="108"/>
    <w:p>
      <w:pPr>
        <w:ind w:left="2620"/>
        <w:spacing w:after="0"/>
        <w:rPr>
          <w:sz w:val="20"/>
          <w:szCs w:val="20"/>
          <w:color w:val="auto"/>
        </w:rPr>
      </w:pPr>
      <w:r>
        <w:rPr>
          <w:rFonts w:ascii="Times New Roman" w:cs="Times New Roman" w:eastAsia="Times New Roman" w:hAnsi="Times New Roman"/>
          <w:sz w:val="20"/>
          <w:szCs w:val="20"/>
          <w:b w:val="1"/>
          <w:bCs w:val="1"/>
          <w:color w:val="050505"/>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To the Stockholders and the Board of Directors of Allogene Therapeutics,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Opinion on the Financial Statements</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050505"/>
        </w:rPr>
        <w:t>We have audited the accompanying consolidated balance sheets of Allogene Therapeutics,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Basis for Opinion</w:t>
      </w:r>
    </w:p>
    <w:p>
      <w:pPr>
        <w:spacing w:after="0" w:line="24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050505"/>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050505"/>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050505"/>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Critical Audit Matters</w:t>
      </w:r>
    </w:p>
    <w:p>
      <w:pPr>
        <w:spacing w:after="0" w:line="24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050505"/>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/s/ Ernst &amp; Young LLP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We have served as the Company's auditor since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San Mateo,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March 12, 2026</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105</w:t>
      </w:r>
    </w:p>
    <w:p>
      <w:pPr>
        <w:sectPr>
          <w:pgSz w:w="12240" w:h="15840" w:orient="portrait"/>
          <w:cols w:equalWidth="0" w:num="1">
            <w:col w:w="10240"/>
          </w:cols>
          <w:pgMar w:left="1000" w:top="786" w:right="1000" w:bottom="0" w:gutter="0" w:footer="0" w:header="0"/>
          <w:type w:val="continuous"/>
        </w:sectPr>
      </w:pPr>
    </w:p>
    <w:bookmarkStart w:id="109" w:name="page110"/>
    <w:bookmarkEnd w:id="109"/>
    <w:p>
      <w:pPr>
        <w:jc w:val="center"/>
        <w:ind w:right="60"/>
        <w:spacing w:after="0"/>
        <w:rPr>
          <w:sz w:val="20"/>
          <w:szCs w:val="20"/>
          <w:color w:val="auto"/>
        </w:rPr>
      </w:pPr>
      <w:r>
        <w:rPr>
          <w:rFonts w:ascii="Times New Roman" w:cs="Times New Roman" w:eastAsia="Times New Roman" w:hAnsi="Times New Roman"/>
          <w:sz w:val="20"/>
          <w:szCs w:val="20"/>
          <w:b w:val="1"/>
          <w:bCs w:val="1"/>
          <w:color w:val="050505"/>
        </w:rPr>
        <w:t>ALLOGENE THERAPEUTICS,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050505"/>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050505"/>
        </w:rPr>
        <w:t>(In thousands, except share and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050505"/>
              </w:rPr>
              <w:t>December 31,</w:t>
            </w:r>
          </w:p>
        </w:tc>
        <w:tc>
          <w:tcPr>
            <w:tcW w:w="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050505"/>
              </w:rPr>
              <w:t>December 31,</w:t>
            </w: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2"/>
                <w:szCs w:val="22"/>
                <w:color w:val="auto"/>
              </w:rPr>
            </w:pPr>
          </w:p>
        </w:tc>
        <w:tc>
          <w:tcPr>
            <w:tcW w:w="260" w:type="dxa"/>
            <w:vAlign w:val="bottom"/>
            <w:tcBorders>
              <w:bottom w:val="single" w:sz="8" w:color="050505"/>
            </w:tcBorders>
          </w:tcPr>
          <w:p>
            <w:pPr>
              <w:spacing w:after="0"/>
              <w:rPr>
                <w:sz w:val="22"/>
                <w:szCs w:val="22"/>
                <w:color w:val="auto"/>
              </w:rPr>
            </w:pPr>
          </w:p>
        </w:tc>
        <w:tc>
          <w:tcPr>
            <w:tcW w:w="1040" w:type="dxa"/>
            <w:vAlign w:val="bottom"/>
            <w:tcBorders>
              <w:bottom w:val="single" w:sz="8" w:color="050505"/>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80" w:type="dxa"/>
            <w:vAlign w:val="bottom"/>
          </w:tcPr>
          <w:p>
            <w:pPr>
              <w:spacing w:after="0"/>
              <w:rPr>
                <w:sz w:val="22"/>
                <w:szCs w:val="22"/>
                <w:color w:val="auto"/>
              </w:rPr>
            </w:pPr>
          </w:p>
        </w:tc>
        <w:tc>
          <w:tcPr>
            <w:tcW w:w="260" w:type="dxa"/>
            <w:vAlign w:val="bottom"/>
            <w:tcBorders>
              <w:bottom w:val="single" w:sz="8" w:color="050505"/>
            </w:tcBorders>
          </w:tcPr>
          <w:p>
            <w:pPr>
              <w:spacing w:after="0"/>
              <w:rPr>
                <w:sz w:val="22"/>
                <w:szCs w:val="22"/>
                <w:color w:val="auto"/>
              </w:rPr>
            </w:pPr>
          </w:p>
        </w:tc>
        <w:tc>
          <w:tcPr>
            <w:tcW w:w="1040" w:type="dxa"/>
            <w:vAlign w:val="bottom"/>
            <w:tcBorders>
              <w:bottom w:val="single" w:sz="8" w:color="050505"/>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0" w:type="dxa"/>
            <w:vAlign w:val="bottom"/>
          </w:tcPr>
          <w:p>
            <w:pPr>
              <w:spacing w:after="0"/>
              <w:rPr>
                <w:sz w:val="1"/>
                <w:szCs w:val="1"/>
                <w:color w:val="auto"/>
              </w:rPr>
            </w:pPr>
          </w:p>
        </w:tc>
      </w:tr>
      <w:tr>
        <w:trPr>
          <w:trHeight w:val="485"/>
        </w:trPr>
        <w:tc>
          <w:tcPr>
            <w:tcW w:w="75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Current 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Cash and cash equivalents</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51,688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75,218</w:t>
            </w:r>
          </w:p>
        </w:tc>
        <w:tc>
          <w:tcPr>
            <w:tcW w:w="0" w:type="dxa"/>
            <w:vAlign w:val="bottom"/>
          </w:tcPr>
          <w:p>
            <w:pPr>
              <w:spacing w:after="0"/>
              <w:rPr>
                <w:sz w:val="1"/>
                <w:szCs w:val="1"/>
                <w:color w:val="auto"/>
              </w:rPr>
            </w:pPr>
          </w:p>
        </w:tc>
      </w:tr>
      <w:tr>
        <w:trPr>
          <w:trHeight w:val="300"/>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Short-term investments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198,522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217,258</w:t>
            </w:r>
          </w:p>
        </w:tc>
        <w:tc>
          <w:tcPr>
            <w:tcW w:w="0" w:type="dxa"/>
            <w:vAlign w:val="bottom"/>
          </w:tcPr>
          <w:p>
            <w:pPr>
              <w:spacing w:after="0"/>
              <w:rPr>
                <w:sz w:val="1"/>
                <w:szCs w:val="1"/>
                <w:color w:val="auto"/>
              </w:rPr>
            </w:pPr>
          </w:p>
        </w:tc>
      </w:tr>
      <w:tr>
        <w:trPr>
          <w:trHeight w:val="303"/>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Prepaid expenses and other current assets</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7,539</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10,910</w:t>
            </w:r>
          </w:p>
        </w:tc>
        <w:tc>
          <w:tcPr>
            <w:tcW w:w="0" w:type="dxa"/>
            <w:vAlign w:val="bottom"/>
          </w:tcPr>
          <w:p>
            <w:pPr>
              <w:spacing w:after="0"/>
              <w:rPr>
                <w:sz w:val="1"/>
                <w:szCs w:val="1"/>
                <w:color w:val="auto"/>
              </w:rPr>
            </w:pPr>
          </w:p>
        </w:tc>
      </w:tr>
      <w:tr>
        <w:trPr>
          <w:trHeight w:val="277"/>
        </w:trPr>
        <w:tc>
          <w:tcPr>
            <w:tcW w:w="7500" w:type="dxa"/>
            <w:vAlign w:val="bottom"/>
          </w:tcPr>
          <w:p>
            <w:pPr>
              <w:ind w:left="480"/>
              <w:spacing w:after="0"/>
              <w:rPr>
                <w:sz w:val="20"/>
                <w:szCs w:val="20"/>
                <w:color w:val="auto"/>
              </w:rPr>
            </w:pPr>
            <w:r>
              <w:rPr>
                <w:rFonts w:ascii="Times New Roman" w:cs="Times New Roman" w:eastAsia="Times New Roman" w:hAnsi="Times New Roman"/>
                <w:sz w:val="20"/>
                <w:szCs w:val="20"/>
                <w:color w:val="050505"/>
              </w:rPr>
              <w:t>Total current assets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257,749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303,386</w:t>
            </w: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Long-term investments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8,043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80,673</w:t>
            </w: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Operating lease right-of-use asset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39,888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45,205</w:t>
            </w: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Property and equipment, net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72,839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86,056</w:t>
            </w: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Deposit placed in escrow</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23,479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20,773</w:t>
            </w: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Restricted cash</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10,292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10,292</w:t>
            </w:r>
          </w:p>
        </w:tc>
        <w:tc>
          <w:tcPr>
            <w:tcW w:w="0" w:type="dxa"/>
            <w:vAlign w:val="bottom"/>
          </w:tcPr>
          <w:p>
            <w:pPr>
              <w:spacing w:after="0"/>
              <w:rPr>
                <w:sz w:val="1"/>
                <w:szCs w:val="1"/>
                <w:color w:val="auto"/>
              </w:rPr>
            </w:pPr>
          </w:p>
        </w:tc>
      </w:tr>
      <w:tr>
        <w:trPr>
          <w:trHeight w:val="303"/>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Other long-term assets</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3,615</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2,325</w:t>
            </w:r>
          </w:p>
        </w:tc>
        <w:tc>
          <w:tcPr>
            <w:tcW w:w="0" w:type="dxa"/>
            <w:vAlign w:val="bottom"/>
          </w:tcPr>
          <w:p>
            <w:pPr>
              <w:spacing w:after="0"/>
              <w:rPr>
                <w:sz w:val="1"/>
                <w:szCs w:val="1"/>
                <w:color w:val="auto"/>
              </w:rPr>
            </w:pPr>
          </w:p>
        </w:tc>
      </w:tr>
      <w:tr>
        <w:trPr>
          <w:trHeight w:val="26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Total assets</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415,905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548,710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050505"/>
              </w:rPr>
              <w:t>Liabilities and stockholders’ equity</w:t>
            </w: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104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104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5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Current liabilities: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Accounts payable</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4,270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5,394</w:t>
            </w:r>
          </w:p>
        </w:tc>
        <w:tc>
          <w:tcPr>
            <w:tcW w:w="0" w:type="dxa"/>
            <w:vAlign w:val="bottom"/>
          </w:tcPr>
          <w:p>
            <w:pPr>
              <w:spacing w:after="0"/>
              <w:rPr>
                <w:sz w:val="1"/>
                <w:szCs w:val="1"/>
                <w:color w:val="auto"/>
              </w:rPr>
            </w:pPr>
          </w:p>
        </w:tc>
      </w:tr>
      <w:tr>
        <w:trPr>
          <w:trHeight w:val="303"/>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Accrued and other current liabilities</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28,244</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30,129</w:t>
            </w:r>
          </w:p>
        </w:tc>
        <w:tc>
          <w:tcPr>
            <w:tcW w:w="0" w:type="dxa"/>
            <w:vAlign w:val="bottom"/>
          </w:tcPr>
          <w:p>
            <w:pPr>
              <w:spacing w:after="0"/>
              <w:rPr>
                <w:sz w:val="1"/>
                <w:szCs w:val="1"/>
                <w:color w:val="auto"/>
              </w:rPr>
            </w:pPr>
          </w:p>
        </w:tc>
      </w:tr>
      <w:tr>
        <w:trPr>
          <w:trHeight w:val="277"/>
        </w:trPr>
        <w:tc>
          <w:tcPr>
            <w:tcW w:w="7500" w:type="dxa"/>
            <w:vAlign w:val="bottom"/>
          </w:tcPr>
          <w:p>
            <w:pPr>
              <w:ind w:left="480"/>
              <w:spacing w:after="0"/>
              <w:rPr>
                <w:sz w:val="20"/>
                <w:szCs w:val="20"/>
                <w:color w:val="auto"/>
              </w:rPr>
            </w:pPr>
            <w:r>
              <w:rPr>
                <w:rFonts w:ascii="Times New Roman" w:cs="Times New Roman" w:eastAsia="Times New Roman" w:hAnsi="Times New Roman"/>
                <w:sz w:val="20"/>
                <w:szCs w:val="20"/>
                <w:color w:val="050505"/>
              </w:rPr>
              <w:t>Total current liabilities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32,514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35,523</w:t>
            </w: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Lease liability, noncurrent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75,045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83,247</w:t>
            </w:r>
          </w:p>
        </w:tc>
        <w:tc>
          <w:tcPr>
            <w:tcW w:w="0" w:type="dxa"/>
            <w:vAlign w:val="bottom"/>
          </w:tcPr>
          <w:p>
            <w:pPr>
              <w:spacing w:after="0"/>
              <w:rPr>
                <w:sz w:val="1"/>
                <w:szCs w:val="1"/>
                <w:color w:val="auto"/>
              </w:rPr>
            </w:pPr>
          </w:p>
        </w:tc>
      </w:tr>
      <w:tr>
        <w:trPr>
          <w:trHeight w:val="303"/>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Other long-term liabilities</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15,804</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7,761</w:t>
            </w:r>
          </w:p>
        </w:tc>
        <w:tc>
          <w:tcPr>
            <w:tcW w:w="0" w:type="dxa"/>
            <w:vAlign w:val="bottom"/>
          </w:tcPr>
          <w:p>
            <w:pPr>
              <w:spacing w:after="0"/>
              <w:rPr>
                <w:sz w:val="1"/>
                <w:szCs w:val="1"/>
                <w:color w:val="auto"/>
              </w:rPr>
            </w:pPr>
          </w:p>
        </w:tc>
      </w:tr>
      <w:tr>
        <w:trPr>
          <w:trHeight w:val="28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Total liabilities</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123,363</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126,531</w:t>
            </w: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Commitments and Contingencies (Notes 6 and 7)</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050505"/>
              </w:rPr>
              <w:t>Stockholders’ equity:</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50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Preferred stock, $0.001 par value: 10,000,000 authorized as of December 31, 2025 and</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500" w:type="dxa"/>
            <w:vAlign w:val="bottom"/>
          </w:tcPr>
          <w:p>
            <w:pPr>
              <w:ind w:left="540"/>
              <w:spacing w:after="0" w:line="200" w:lineRule="exact"/>
              <w:rPr>
                <w:sz w:val="20"/>
                <w:szCs w:val="20"/>
                <w:color w:val="auto"/>
              </w:rPr>
            </w:pPr>
            <w:r>
              <w:rPr>
                <w:rFonts w:ascii="Times New Roman" w:cs="Times New Roman" w:eastAsia="Times New Roman" w:hAnsi="Times New Roman"/>
                <w:sz w:val="20"/>
                <w:szCs w:val="20"/>
                <w:color w:val="050505"/>
              </w:rPr>
              <w:t>December 31, 2024; no shares were issued and outstanding as of December 31, 2025</w:t>
            </w:r>
          </w:p>
        </w:tc>
        <w:tc>
          <w:tcPr>
            <w:tcW w:w="2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0" w:type="dxa"/>
            <w:vAlign w:val="bottom"/>
          </w:tcPr>
          <w:p>
            <w:pPr>
              <w:spacing w:after="0"/>
              <w:rPr>
                <w:sz w:val="1"/>
                <w:szCs w:val="1"/>
                <w:color w:val="auto"/>
              </w:rPr>
            </w:pPr>
          </w:p>
        </w:tc>
      </w:tr>
      <w:tr>
        <w:trPr>
          <w:trHeight w:val="260"/>
        </w:trPr>
        <w:tc>
          <w:tcPr>
            <w:tcW w:w="750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and December 31, 2024</w:t>
            </w: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50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Common stock, $0.001 par value: 400,000,000 shares authorized as of December 31,</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500" w:type="dxa"/>
            <w:vAlign w:val="bottom"/>
          </w:tcPr>
          <w:p>
            <w:pPr>
              <w:ind w:left="540"/>
              <w:spacing w:after="0" w:line="200" w:lineRule="exact"/>
              <w:rPr>
                <w:sz w:val="20"/>
                <w:szCs w:val="20"/>
                <w:color w:val="auto"/>
              </w:rPr>
            </w:pPr>
            <w:r>
              <w:rPr>
                <w:rFonts w:ascii="Times New Roman" w:cs="Times New Roman" w:eastAsia="Times New Roman" w:hAnsi="Times New Roman"/>
                <w:sz w:val="20"/>
                <w:szCs w:val="20"/>
                <w:color w:val="050505"/>
              </w:rPr>
              <w:t>2025 and December 31, 2024; 229,413,523 and 212,210,597 shares issued and</w:t>
            </w:r>
          </w:p>
        </w:tc>
        <w:tc>
          <w:tcPr>
            <w:tcW w:w="2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212</w:t>
            </w:r>
          </w:p>
        </w:tc>
        <w:tc>
          <w:tcPr>
            <w:tcW w:w="0" w:type="dxa"/>
            <w:vAlign w:val="bottom"/>
          </w:tcPr>
          <w:p>
            <w:pPr>
              <w:spacing w:after="0"/>
              <w:rPr>
                <w:sz w:val="1"/>
                <w:szCs w:val="1"/>
                <w:color w:val="auto"/>
              </w:rPr>
            </w:pPr>
          </w:p>
        </w:tc>
      </w:tr>
      <w:tr>
        <w:trPr>
          <w:trHeight w:val="260"/>
        </w:trPr>
        <w:tc>
          <w:tcPr>
            <w:tcW w:w="7500" w:type="dxa"/>
            <w:vAlign w:val="bottom"/>
          </w:tcPr>
          <w:p>
            <w:pPr>
              <w:ind w:left="540"/>
              <w:spacing w:after="0"/>
              <w:rPr>
                <w:sz w:val="20"/>
                <w:szCs w:val="20"/>
                <w:color w:val="auto"/>
              </w:rPr>
            </w:pPr>
            <w:r>
              <w:rPr>
                <w:rFonts w:ascii="Times New Roman" w:cs="Times New Roman" w:eastAsia="Times New Roman" w:hAnsi="Times New Roman"/>
                <w:sz w:val="20"/>
                <w:szCs w:val="20"/>
                <w:color w:val="050505"/>
              </w:rPr>
              <w:t>outstanding as of December 31, 2025 and December 31, 2024, respectively</w:t>
            </w: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Additional paid-in capital</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2,302,753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2,241,879</w:t>
            </w:r>
          </w:p>
        </w:tc>
        <w:tc>
          <w:tcPr>
            <w:tcW w:w="0" w:type="dxa"/>
            <w:vAlign w:val="bottom"/>
          </w:tcPr>
          <w:p>
            <w:pPr>
              <w:spacing w:after="0"/>
              <w:rPr>
                <w:sz w:val="1"/>
                <w:szCs w:val="1"/>
                <w:color w:val="auto"/>
              </w:rPr>
            </w:pPr>
          </w:p>
        </w:tc>
      </w:tr>
      <w:tr>
        <w:trPr>
          <w:trHeight w:val="300"/>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Accumulated deficit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(2,010,709)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(1,819,823)</w:t>
            </w:r>
          </w:p>
        </w:tc>
        <w:tc>
          <w:tcPr>
            <w:tcW w:w="0" w:type="dxa"/>
            <w:vAlign w:val="bottom"/>
          </w:tcPr>
          <w:p>
            <w:pPr>
              <w:spacing w:after="0"/>
              <w:rPr>
                <w:sz w:val="1"/>
                <w:szCs w:val="1"/>
                <w:color w:val="auto"/>
              </w:rPr>
            </w:pPr>
          </w:p>
        </w:tc>
      </w:tr>
      <w:tr>
        <w:trPr>
          <w:trHeight w:val="303"/>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Accumulated other comprehensive gain (loss)</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269</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(89)</w:t>
            </w:r>
          </w:p>
        </w:tc>
        <w:tc>
          <w:tcPr>
            <w:tcW w:w="0" w:type="dxa"/>
            <w:vAlign w:val="bottom"/>
          </w:tcPr>
          <w:p>
            <w:pPr>
              <w:spacing w:after="0"/>
              <w:rPr>
                <w:sz w:val="1"/>
                <w:szCs w:val="1"/>
                <w:color w:val="auto"/>
              </w:rPr>
            </w:pPr>
          </w:p>
        </w:tc>
      </w:tr>
      <w:tr>
        <w:trPr>
          <w:trHeight w:val="280"/>
        </w:trPr>
        <w:tc>
          <w:tcPr>
            <w:tcW w:w="750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Total stockholders’ equity</w:t>
            </w: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292,542</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10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422,179</w:t>
            </w:r>
          </w:p>
        </w:tc>
        <w:tc>
          <w:tcPr>
            <w:tcW w:w="0" w:type="dxa"/>
            <w:vAlign w:val="bottom"/>
          </w:tcPr>
          <w:p>
            <w:pPr>
              <w:spacing w:after="0"/>
              <w:rPr>
                <w:sz w:val="1"/>
                <w:szCs w:val="1"/>
                <w:color w:val="auto"/>
              </w:rPr>
            </w:pPr>
          </w:p>
        </w:tc>
      </w:tr>
      <w:tr>
        <w:trPr>
          <w:trHeight w:val="260"/>
        </w:trPr>
        <w:tc>
          <w:tcPr>
            <w:tcW w:w="75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Total liabilities and stockholders’ equity</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415,905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5050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548,710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104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104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-3787140</wp:posOffset>
            </wp:positionV>
            <wp:extent cx="173037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2">
                      <a:extLst>
                        <a:ext uri="{28A0092B-C50C-407E-A947-70E740481C1C}"/>
                      </a:extLst>
                    </a:blip>
                    <a:srcRect/>
                    <a:stretch>
                      <a:fillRect/>
                    </a:stretch>
                  </pic:blipFill>
                  <pic:spPr bwMode="auto">
                    <a:xfrm>
                      <a:off x="0" y="0"/>
                      <a:ext cx="1730375" cy="50800"/>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-43815</wp:posOffset>
            </wp:positionV>
            <wp:extent cx="173037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3">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050505"/>
        </w:rPr>
        <w:t>The accompanying notes are an integral part of these consolidated financial statements.</w:t>
      </w: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050505"/>
        </w:rPr>
        <w:t>106</w:t>
      </w:r>
    </w:p>
    <w:p>
      <w:pPr>
        <w:sectPr>
          <w:pgSz w:w="12240" w:h="15840" w:orient="portrait"/>
          <w:cols w:equalWidth="0" w:num="1">
            <w:col w:w="10180"/>
          </w:cols>
          <w:pgMar w:left="1060" w:top="786" w:right="1000" w:bottom="0" w:gutter="0" w:footer="0" w:header="0"/>
          <w:type w:val="continuous"/>
        </w:sectPr>
      </w:pPr>
    </w:p>
    <w:bookmarkStart w:id="110" w:name="page111"/>
    <w:bookmarkEnd w:id="110"/>
    <w:p>
      <w:pPr>
        <w:jc w:val="center"/>
        <w:ind w:right="40"/>
        <w:spacing w:after="0" w:line="268" w:lineRule="auto"/>
        <w:rPr>
          <w:sz w:val="20"/>
          <w:szCs w:val="20"/>
          <w:color w:val="auto"/>
        </w:rPr>
      </w:pPr>
      <w:r>
        <w:rPr>
          <w:rFonts w:ascii="Times New Roman" w:cs="Times New Roman" w:eastAsia="Times New Roman" w:hAnsi="Times New Roman"/>
          <w:sz w:val="20"/>
          <w:szCs w:val="20"/>
          <w:b w:val="1"/>
          <w:bCs w:val="1"/>
          <w:color w:val="050505"/>
        </w:rPr>
        <w:t>ALLOGENE THERAPEUTICS, INC. Consolidated Statements of Operations and Comprehensive Loss (In thousands, except share and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66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2840" w:type="dxa"/>
            <w:vAlign w:val="bottom"/>
            <w:tcBorders>
              <w:bottom w:val="single" w:sz="8" w:color="050505"/>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0" w:type="dxa"/>
            <w:vAlign w:val="bottom"/>
          </w:tcPr>
          <w:p>
            <w:pPr>
              <w:spacing w:after="0"/>
              <w:rPr>
                <w:sz w:val="1"/>
                <w:szCs w:val="1"/>
                <w:color w:val="auto"/>
              </w:rPr>
            </w:pPr>
          </w:p>
        </w:tc>
      </w:tr>
      <w:tr>
        <w:trPr>
          <w:trHeight w:val="265"/>
        </w:trPr>
        <w:tc>
          <w:tcPr>
            <w:tcW w:w="666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1240" w:type="dxa"/>
            <w:vAlign w:val="bottom"/>
            <w:tcBorders>
              <w:bottom w:val="single" w:sz="8" w:color="050505"/>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320" w:type="dxa"/>
            <w:vAlign w:val="bottom"/>
            <w:tcBorders>
              <w:bottom w:val="single" w:sz="8" w:color="050505"/>
            </w:tcBorders>
          </w:tcPr>
          <w:p>
            <w:pPr>
              <w:spacing w:after="0"/>
              <w:rPr>
                <w:sz w:val="23"/>
                <w:szCs w:val="23"/>
                <w:color w:val="auto"/>
              </w:rPr>
            </w:pPr>
          </w:p>
        </w:tc>
        <w:tc>
          <w:tcPr>
            <w:tcW w:w="122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0" w:type="dxa"/>
            <w:vAlign w:val="bottom"/>
          </w:tcPr>
          <w:p>
            <w:pPr>
              <w:spacing w:after="0"/>
              <w:rPr>
                <w:sz w:val="1"/>
                <w:szCs w:val="1"/>
                <w:color w:val="auto"/>
              </w:rPr>
            </w:pPr>
          </w:p>
        </w:tc>
      </w:tr>
      <w:tr>
        <w:trPr>
          <w:trHeight w:val="495"/>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Collaboration revenue - related party</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w:t>
            </w:r>
          </w:p>
        </w:tc>
        <w:tc>
          <w:tcPr>
            <w:tcW w:w="0" w:type="dxa"/>
            <w:vAlign w:val="bottom"/>
          </w:tcPr>
          <w:p>
            <w:pPr>
              <w:spacing w:after="0"/>
              <w:rPr>
                <w:sz w:val="1"/>
                <w:szCs w:val="1"/>
                <w:color w:val="auto"/>
              </w:rPr>
            </w:pPr>
          </w:p>
        </w:tc>
      </w:tr>
      <w:tr>
        <w:trPr>
          <w:trHeight w:val="293"/>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Operating expenses: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66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Research and development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150,152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192,299</w:t>
            </w:r>
          </w:p>
        </w:tc>
        <w:tc>
          <w:tcPr>
            <w:tcW w:w="0" w:type="dxa"/>
            <w:vAlign w:val="bottom"/>
          </w:tcPr>
          <w:p>
            <w:pPr>
              <w:spacing w:after="0"/>
              <w:rPr>
                <w:sz w:val="1"/>
                <w:szCs w:val="1"/>
                <w:color w:val="auto"/>
              </w:rPr>
            </w:pPr>
          </w:p>
        </w:tc>
      </w:tr>
      <w:tr>
        <w:trPr>
          <w:trHeight w:val="300"/>
        </w:trPr>
        <w:tc>
          <w:tcPr>
            <w:tcW w:w="666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General and administrative</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56,781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65,205</w:t>
            </w:r>
          </w:p>
        </w:tc>
        <w:tc>
          <w:tcPr>
            <w:tcW w:w="0" w:type="dxa"/>
            <w:vAlign w:val="bottom"/>
          </w:tcPr>
          <w:p>
            <w:pPr>
              <w:spacing w:after="0"/>
              <w:rPr>
                <w:sz w:val="1"/>
                <w:szCs w:val="1"/>
                <w:color w:val="auto"/>
              </w:rPr>
            </w:pPr>
          </w:p>
        </w:tc>
      </w:tr>
      <w:tr>
        <w:trPr>
          <w:trHeight w:val="310"/>
        </w:trPr>
        <w:tc>
          <w:tcPr>
            <w:tcW w:w="666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Impairment of long-lived asset</w:t>
            </w:r>
          </w:p>
        </w:tc>
        <w:tc>
          <w:tcPr>
            <w:tcW w:w="300" w:type="dxa"/>
            <w:vAlign w:val="bottom"/>
            <w:tcBorders>
              <w:bottom w:val="single" w:sz="8" w:color="050505"/>
            </w:tcBorders>
          </w:tcPr>
          <w:p>
            <w:pPr>
              <w:spacing w:after="0"/>
              <w:rPr>
                <w:sz w:val="24"/>
                <w:szCs w:val="24"/>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2,382</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15,717</w:t>
            </w:r>
          </w:p>
        </w:tc>
        <w:tc>
          <w:tcPr>
            <w:tcW w:w="0" w:type="dxa"/>
            <w:vAlign w:val="bottom"/>
          </w:tcPr>
          <w:p>
            <w:pPr>
              <w:spacing w:after="0"/>
              <w:rPr>
                <w:sz w:val="1"/>
                <w:szCs w:val="1"/>
                <w:color w:val="auto"/>
              </w:rPr>
            </w:pPr>
          </w:p>
        </w:tc>
      </w:tr>
      <w:tr>
        <w:trPr>
          <w:trHeight w:val="28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Total operating expenses</w:t>
            </w:r>
          </w:p>
        </w:tc>
        <w:tc>
          <w:tcPr>
            <w:tcW w:w="300" w:type="dxa"/>
            <w:vAlign w:val="bottom"/>
            <w:tcBorders>
              <w:bottom w:val="single" w:sz="8" w:color="050505"/>
            </w:tcBorders>
          </w:tcPr>
          <w:p>
            <w:pPr>
              <w:spacing w:after="0"/>
              <w:rPr>
                <w:sz w:val="24"/>
                <w:szCs w:val="24"/>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209,315</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273,221</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Loss from operations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(209,315)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(273,199)</w:t>
            </w:r>
          </w:p>
        </w:tc>
        <w:tc>
          <w:tcPr>
            <w:tcW w:w="0" w:type="dxa"/>
            <w:vAlign w:val="bottom"/>
          </w:tcPr>
          <w:p>
            <w:pPr>
              <w:spacing w:after="0"/>
              <w:rPr>
                <w:sz w:val="1"/>
                <w:szCs w:val="1"/>
                <w:color w:val="auto"/>
              </w:rPr>
            </w:pPr>
          </w:p>
        </w:tc>
      </w:tr>
      <w:tr>
        <w:trPr>
          <w:trHeight w:val="293"/>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Other income (expense), net:</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6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Interest and other income, net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19,289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20,153</w:t>
            </w:r>
          </w:p>
        </w:tc>
        <w:tc>
          <w:tcPr>
            <w:tcW w:w="0" w:type="dxa"/>
            <w:vAlign w:val="bottom"/>
          </w:tcPr>
          <w:p>
            <w:pPr>
              <w:spacing w:after="0"/>
              <w:rPr>
                <w:sz w:val="1"/>
                <w:szCs w:val="1"/>
                <w:color w:val="auto"/>
              </w:rPr>
            </w:pPr>
          </w:p>
        </w:tc>
      </w:tr>
      <w:tr>
        <w:trPr>
          <w:trHeight w:val="300"/>
        </w:trPr>
        <w:tc>
          <w:tcPr>
            <w:tcW w:w="66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Interest expense</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(1,075)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(181)</w:t>
            </w:r>
          </w:p>
        </w:tc>
        <w:tc>
          <w:tcPr>
            <w:tcW w:w="0" w:type="dxa"/>
            <w:vAlign w:val="bottom"/>
          </w:tcPr>
          <w:p>
            <w:pPr>
              <w:spacing w:after="0"/>
              <w:rPr>
                <w:sz w:val="1"/>
                <w:szCs w:val="1"/>
                <w:color w:val="auto"/>
              </w:rPr>
            </w:pPr>
          </w:p>
        </w:tc>
      </w:tr>
      <w:tr>
        <w:trPr>
          <w:trHeight w:val="310"/>
        </w:trPr>
        <w:tc>
          <w:tcPr>
            <w:tcW w:w="66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Other income (expense), net</w:t>
            </w:r>
          </w:p>
        </w:tc>
        <w:tc>
          <w:tcPr>
            <w:tcW w:w="300" w:type="dxa"/>
            <w:vAlign w:val="bottom"/>
            <w:tcBorders>
              <w:bottom w:val="single" w:sz="8" w:color="050505"/>
            </w:tcBorders>
          </w:tcPr>
          <w:p>
            <w:pPr>
              <w:spacing w:after="0"/>
              <w:rPr>
                <w:sz w:val="24"/>
                <w:szCs w:val="24"/>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215</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(3,920)</w:t>
            </w:r>
          </w:p>
        </w:tc>
        <w:tc>
          <w:tcPr>
            <w:tcW w:w="0" w:type="dxa"/>
            <w:vAlign w:val="bottom"/>
          </w:tcPr>
          <w:p>
            <w:pPr>
              <w:spacing w:after="0"/>
              <w:rPr>
                <w:sz w:val="1"/>
                <w:szCs w:val="1"/>
                <w:color w:val="auto"/>
              </w:rPr>
            </w:pPr>
          </w:p>
        </w:tc>
      </w:tr>
      <w:tr>
        <w:trPr>
          <w:trHeight w:val="28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Total other income (expense), net</w:t>
            </w:r>
          </w:p>
        </w:tc>
        <w:tc>
          <w:tcPr>
            <w:tcW w:w="300" w:type="dxa"/>
            <w:vAlign w:val="bottom"/>
            <w:tcBorders>
              <w:bottom w:val="single" w:sz="8" w:color="050505"/>
            </w:tcBorders>
          </w:tcPr>
          <w:p>
            <w:pPr>
              <w:spacing w:after="0"/>
              <w:rPr>
                <w:sz w:val="24"/>
                <w:szCs w:val="24"/>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18,429</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16,052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Loss before income taxes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(257,147)</w:t>
            </w:r>
          </w:p>
        </w:tc>
        <w:tc>
          <w:tcPr>
            <w:tcW w:w="0" w:type="dxa"/>
            <w:vAlign w:val="bottom"/>
          </w:tcPr>
          <w:p>
            <w:pPr>
              <w:spacing w:after="0"/>
              <w:rPr>
                <w:sz w:val="1"/>
                <w:szCs w:val="1"/>
                <w:color w:val="auto"/>
              </w:rPr>
            </w:pPr>
          </w:p>
        </w:tc>
      </w:tr>
      <w:tr>
        <w:trPr>
          <w:trHeight w:val="310"/>
        </w:trPr>
        <w:tc>
          <w:tcPr>
            <w:tcW w:w="66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Income tax expense</w:t>
            </w:r>
          </w:p>
        </w:tc>
        <w:tc>
          <w:tcPr>
            <w:tcW w:w="300" w:type="dxa"/>
            <w:vAlign w:val="bottom"/>
            <w:tcBorders>
              <w:bottom w:val="single" w:sz="8" w:color="050505"/>
            </w:tcBorders>
          </w:tcPr>
          <w:p>
            <w:pPr>
              <w:spacing w:after="0"/>
              <w:rPr>
                <w:sz w:val="24"/>
                <w:szCs w:val="24"/>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(443)</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(257,590)</w:t>
            </w:r>
          </w:p>
        </w:tc>
        <w:tc>
          <w:tcPr>
            <w:tcW w:w="0" w:type="dxa"/>
            <w:vAlign w:val="bottom"/>
          </w:tcPr>
          <w:p>
            <w:pPr>
              <w:spacing w:after="0"/>
              <w:rPr>
                <w:sz w:val="1"/>
                <w:szCs w:val="1"/>
                <w:color w:val="auto"/>
              </w:rPr>
            </w:pPr>
          </w:p>
        </w:tc>
      </w:tr>
      <w:tr>
        <w:trPr>
          <w:trHeight w:val="293"/>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Other comprehensive loss: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Net unrealized gain on available-for-sale investments</w:t>
            </w:r>
          </w:p>
        </w:tc>
        <w:tc>
          <w:tcPr>
            <w:tcW w:w="300" w:type="dxa"/>
            <w:vAlign w:val="bottom"/>
            <w:tcBorders>
              <w:bottom w:val="single" w:sz="8" w:color="050505"/>
            </w:tcBorders>
          </w:tcPr>
          <w:p>
            <w:pPr>
              <w:spacing w:after="0"/>
              <w:rPr>
                <w:sz w:val="24"/>
                <w:szCs w:val="24"/>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358</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866</w:t>
            </w:r>
          </w:p>
        </w:tc>
        <w:tc>
          <w:tcPr>
            <w:tcW w:w="0" w:type="dxa"/>
            <w:vAlign w:val="bottom"/>
          </w:tcPr>
          <w:p>
            <w:pPr>
              <w:spacing w:after="0"/>
              <w:rPr>
                <w:sz w:val="1"/>
                <w:szCs w:val="1"/>
                <w:color w:val="auto"/>
              </w:rPr>
            </w:pPr>
          </w:p>
        </w:tc>
      </w:tr>
      <w:tr>
        <w:trPr>
          <w:trHeight w:val="260"/>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Net comprehensive loss</w:t>
            </w:r>
          </w:p>
        </w:tc>
        <w:tc>
          <w:tcPr>
            <w:tcW w:w="300" w:type="dxa"/>
            <w:vAlign w:val="bottom"/>
            <w:tcBorders>
              <w:bottom w:val="single" w:sz="8" w:color="050505"/>
            </w:tcBorders>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(190,528)</w:t>
            </w:r>
          </w:p>
        </w:tc>
        <w:tc>
          <w:tcPr>
            <w:tcW w:w="60" w:type="dxa"/>
            <w:vAlign w:val="bottom"/>
          </w:tcPr>
          <w:p>
            <w:pPr>
              <w:spacing w:after="0"/>
              <w:rPr>
                <w:sz w:val="22"/>
                <w:szCs w:val="22"/>
                <w:color w:val="auto"/>
              </w:rPr>
            </w:pPr>
          </w:p>
        </w:tc>
        <w:tc>
          <w:tcPr>
            <w:tcW w:w="320" w:type="dxa"/>
            <w:vAlign w:val="bottom"/>
            <w:tcBorders>
              <w:bottom w:val="single" w:sz="8" w:color="050505"/>
            </w:tcBorders>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(256,724)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20"/>
                <w:szCs w:val="20"/>
                <w:color w:val="050505"/>
              </w:rPr>
              <w:t>Net loss per share, basic and diluted</w:t>
            </w: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60" w:type="dxa"/>
            <w:vAlign w:val="bottom"/>
            <w:vMerge w:val="continue"/>
          </w:tcPr>
          <w:p>
            <w:pPr>
              <w:spacing w:after="0"/>
              <w:rPr>
                <w:sz w:val="20"/>
                <w:szCs w:val="20"/>
                <w:color w:val="auto"/>
              </w:rPr>
            </w:pPr>
          </w:p>
        </w:tc>
        <w:tc>
          <w:tcPr>
            <w:tcW w:w="300" w:type="dxa"/>
            <w:vAlign w:val="bottom"/>
            <w:tcBorders>
              <w:top w:val="single" w:sz="8" w:color="050505"/>
              <w:bottom w:val="single" w:sz="8" w:color="050505"/>
            </w:tcBorders>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40" w:type="dxa"/>
            <w:vAlign w:val="bottom"/>
            <w:tcBorders>
              <w:top w:val="single" w:sz="8" w:color="050505"/>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(0.87)</w:t>
            </w:r>
          </w:p>
        </w:tc>
        <w:tc>
          <w:tcPr>
            <w:tcW w:w="60" w:type="dxa"/>
            <w:vAlign w:val="bottom"/>
          </w:tcPr>
          <w:p>
            <w:pPr>
              <w:spacing w:after="0"/>
              <w:rPr>
                <w:sz w:val="20"/>
                <w:szCs w:val="20"/>
                <w:color w:val="auto"/>
              </w:rPr>
            </w:pPr>
          </w:p>
        </w:tc>
        <w:tc>
          <w:tcPr>
            <w:tcW w:w="320" w:type="dxa"/>
            <w:vAlign w:val="bottom"/>
            <w:tcBorders>
              <w:top w:val="single" w:sz="8" w:color="050505"/>
              <w:bottom w:val="single" w:sz="8" w:color="050505"/>
            </w:tcBorders>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Borders>
              <w:top w:val="single" w:sz="8" w:color="050505"/>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(1.32)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line="224" w:lineRule="exact"/>
              <w:rPr>
                <w:sz w:val="20"/>
                <w:szCs w:val="20"/>
                <w:color w:val="auto"/>
              </w:rPr>
            </w:pPr>
            <w:r>
              <w:rPr>
                <w:rFonts w:ascii="Times New Roman" w:cs="Times New Roman" w:eastAsia="Times New Roman" w:hAnsi="Times New Roman"/>
                <w:sz w:val="20"/>
                <w:szCs w:val="20"/>
                <w:color w:val="050505"/>
              </w:rPr>
              <w:t>Weighted-average number of shares used in computing net loss per</w:t>
            </w:r>
          </w:p>
        </w:tc>
        <w:tc>
          <w:tcPr>
            <w:tcW w:w="300" w:type="dxa"/>
            <w:vAlign w:val="bottom"/>
            <w:tcBorders>
              <w:bottom w:val="single" w:sz="8" w:color="050505"/>
            </w:tcBorders>
          </w:tcPr>
          <w:p>
            <w:pPr>
              <w:spacing w:after="0" w:line="20" w:lineRule="exact"/>
              <w:rPr>
                <w:sz w:val="1"/>
                <w:szCs w:val="1"/>
                <w:color w:val="auto"/>
              </w:rPr>
            </w:pPr>
          </w:p>
        </w:tc>
        <w:tc>
          <w:tcPr>
            <w:tcW w:w="1240" w:type="dxa"/>
            <w:vAlign w:val="bottom"/>
            <w:tcBorders>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050505"/>
            </w:tcBorders>
          </w:tcPr>
          <w:p>
            <w:pPr>
              <w:spacing w:after="0" w:line="20" w:lineRule="exact"/>
              <w:rPr>
                <w:sz w:val="1"/>
                <w:szCs w:val="1"/>
                <w:color w:val="auto"/>
              </w:rPr>
            </w:pPr>
          </w:p>
        </w:tc>
        <w:tc>
          <w:tcPr>
            <w:tcW w:w="1220" w:type="dxa"/>
            <w:vAlign w:val="bottom"/>
            <w:tcBorders>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50505"/>
              </w:rPr>
              <w:t>share, basic and diluted</w:t>
            </w:r>
          </w:p>
        </w:tc>
        <w:tc>
          <w:tcPr>
            <w:tcW w:w="300" w:type="dxa"/>
            <w:vAlign w:val="bottom"/>
            <w:tcBorders>
              <w:bottom w:val="single" w:sz="8" w:color="050505"/>
            </w:tcBorders>
          </w:tcPr>
          <w:p>
            <w:pPr>
              <w:spacing w:after="0"/>
              <w:rPr>
                <w:sz w:val="21"/>
                <w:szCs w:val="21"/>
                <w:color w:val="auto"/>
              </w:rPr>
            </w:pPr>
          </w:p>
        </w:tc>
        <w:tc>
          <w:tcPr>
            <w:tcW w:w="12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220,622,669</w:t>
            </w:r>
          </w:p>
        </w:tc>
        <w:tc>
          <w:tcPr>
            <w:tcW w:w="60" w:type="dxa"/>
            <w:vAlign w:val="bottom"/>
          </w:tcPr>
          <w:p>
            <w:pPr>
              <w:spacing w:after="0"/>
              <w:rPr>
                <w:sz w:val="21"/>
                <w:szCs w:val="21"/>
                <w:color w:val="auto"/>
              </w:rPr>
            </w:pPr>
          </w:p>
        </w:tc>
        <w:tc>
          <w:tcPr>
            <w:tcW w:w="320" w:type="dxa"/>
            <w:vAlign w:val="bottom"/>
            <w:tcBorders>
              <w:bottom w:val="single" w:sz="8" w:color="050505"/>
            </w:tcBorders>
          </w:tcPr>
          <w:p>
            <w:pPr>
              <w:spacing w:after="0"/>
              <w:rPr>
                <w:sz w:val="21"/>
                <w:szCs w:val="21"/>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194,811,756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050505"/>
            </w:tcBorders>
          </w:tcPr>
          <w:p>
            <w:pPr>
              <w:spacing w:after="0" w:line="20" w:lineRule="exact"/>
              <w:rPr>
                <w:sz w:val="1"/>
                <w:szCs w:val="1"/>
                <w:color w:val="auto"/>
              </w:rPr>
            </w:pPr>
          </w:p>
        </w:tc>
        <w:tc>
          <w:tcPr>
            <w:tcW w:w="1240" w:type="dxa"/>
            <w:vAlign w:val="bottom"/>
            <w:tcBorders>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050505"/>
            </w:tcBorders>
          </w:tcPr>
          <w:p>
            <w:pPr>
              <w:spacing w:after="0" w:line="20" w:lineRule="exact"/>
              <w:rPr>
                <w:sz w:val="1"/>
                <w:szCs w:val="1"/>
                <w:color w:val="auto"/>
              </w:rPr>
            </w:pPr>
          </w:p>
        </w:tc>
        <w:tc>
          <w:tcPr>
            <w:tcW w:w="1220" w:type="dxa"/>
            <w:vAlign w:val="bottom"/>
            <w:tcBorders>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-548640</wp:posOffset>
            </wp:positionV>
            <wp:extent cx="202565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4">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-358140</wp:posOffset>
            </wp:positionV>
            <wp:extent cx="202565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5">
                      <a:extLst>
                        <a:ext uri="{28A0092B-C50C-407E-A947-70E740481C1C}"/>
                      </a:extLst>
                    </a:blip>
                    <a:srcRect/>
                    <a:stretch>
                      <a:fillRect/>
                    </a:stretch>
                  </pic:blipFill>
                  <pic:spPr bwMode="auto">
                    <a:xfrm>
                      <a:off x="0" y="0"/>
                      <a:ext cx="2025650" cy="5080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-43815</wp:posOffset>
            </wp:positionV>
            <wp:extent cx="2025650"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6">
                      <a:extLst>
                        <a:ext uri="{28A0092B-C50C-407E-A947-70E740481C1C}"/>
                      </a:extLst>
                    </a:blip>
                    <a:srcRect/>
                    <a:stretch>
                      <a:fillRect/>
                    </a:stretch>
                  </pic:blipFill>
                  <pic:spPr bwMode="auto">
                    <a:xfrm>
                      <a:off x="0" y="0"/>
                      <a:ext cx="2025650" cy="50800"/>
                    </a:xfrm>
                    <a:prstGeom prst="rect">
                      <a:avLst/>
                    </a:prstGeom>
                    <a:noFill/>
                  </pic:spPr>
                </pic:pic>
              </a:graphicData>
            </a:graphic>
          </wp:anchor>
        </w:drawing>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050505"/>
        </w:rPr>
        <w:t>The accompanying notes are an integral part of these consolidated financial statements.</w:t>
      </w:r>
    </w:p>
    <w:p>
      <w:pPr>
        <w:sectPr>
          <w:pgSz w:w="12240" w:h="15840" w:orient="portrait"/>
          <w:cols w:equalWidth="0" w:num="1">
            <w:col w:w="9800"/>
          </w:cols>
          <w:pgMar w:left="1240" w:top="78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50505"/>
        </w:rPr>
        <w:t>107</w:t>
      </w:r>
    </w:p>
    <w:p>
      <w:pPr>
        <w:sectPr>
          <w:pgSz w:w="12240" w:h="15840" w:orient="portrait"/>
          <w:cols w:equalWidth="0" w:num="1">
            <w:col w:w="9800"/>
          </w:cols>
          <w:pgMar w:left="1240" w:top="786" w:right="1200"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050505"/>
              </w:rPr>
              <w:t>108</w:t>
            </w:r>
          </w:p>
        </w:tc>
      </w:tr>
    </w:tbl>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20"/>
          <w:szCs w:val="20"/>
          <w:b w:val="1"/>
          <w:bCs w:val="1"/>
          <w:color w:val="050505"/>
        </w:rPr>
        <w:t>ALLOGENE THERAPEUTICS, INC.</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050505"/>
        </w:rPr>
        <w:t>Consolidated Statements of Stockholders’ Equity</w:t>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050505"/>
        </w:rPr>
        <w:t>(In thousands, except share and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050505"/>
              </w:rPr>
              <w:t>Additional</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050505"/>
                <w:w w:val="98"/>
              </w:rPr>
              <w:t>Accumulated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b w:val="1"/>
                <w:bCs w:val="1"/>
                <w:color w:val="050505"/>
              </w:rPr>
              <w:t>Total</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1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50505"/>
              </w:rPr>
              <w:t>Common Stock</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050505"/>
              </w:rPr>
              <w:t>Other</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120" w:type="dxa"/>
            <w:vAlign w:val="bottom"/>
          </w:tcPr>
          <w:p>
            <w:pPr>
              <w:spacing w:after="0"/>
              <w:rPr>
                <w:sz w:val="15"/>
                <w:szCs w:val="15"/>
                <w:color w:val="auto"/>
              </w:rPr>
            </w:pPr>
          </w:p>
        </w:tc>
        <w:tc>
          <w:tcPr>
            <w:tcW w:w="1980" w:type="dxa"/>
            <w:vAlign w:val="bottom"/>
            <w:tcBorders>
              <w:bottom w:val="single" w:sz="8" w:color="050505"/>
            </w:tcBorders>
            <w:gridSpan w:val="3"/>
            <w:vMerge w:val="continue"/>
          </w:tcPr>
          <w:p>
            <w:pPr>
              <w:spacing w:after="0"/>
              <w:rPr>
                <w:sz w:val="15"/>
                <w:szCs w:val="15"/>
                <w:color w:val="auto"/>
              </w:rPr>
            </w:pPr>
          </w:p>
        </w:tc>
        <w:tc>
          <w:tcPr>
            <w:tcW w:w="460" w:type="dxa"/>
            <w:vAlign w:val="bottom"/>
            <w:tcBorders>
              <w:bottom w:val="single" w:sz="8" w:color="050505"/>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80"/>
              <w:spacing w:after="0" w:line="178" w:lineRule="exact"/>
              <w:rPr>
                <w:sz w:val="20"/>
                <w:szCs w:val="20"/>
                <w:color w:val="auto"/>
              </w:rPr>
            </w:pPr>
            <w:r>
              <w:rPr>
                <w:rFonts w:ascii="Times New Roman" w:cs="Times New Roman" w:eastAsia="Times New Roman" w:hAnsi="Times New Roman"/>
                <w:sz w:val="20"/>
                <w:szCs w:val="20"/>
                <w:b w:val="1"/>
                <w:bCs w:val="1"/>
                <w:color w:val="050505"/>
              </w:rPr>
              <w:t>Paid-in</w:t>
            </w:r>
          </w:p>
        </w:tc>
        <w:tc>
          <w:tcPr>
            <w:tcW w:w="80" w:type="dxa"/>
            <w:vAlign w:val="bottom"/>
          </w:tcPr>
          <w:p>
            <w:pPr>
              <w:spacing w:after="0"/>
              <w:rPr>
                <w:sz w:val="15"/>
                <w:szCs w:val="15"/>
                <w:color w:val="auto"/>
              </w:rPr>
            </w:pPr>
          </w:p>
        </w:tc>
        <w:tc>
          <w:tcPr>
            <w:tcW w:w="1360" w:type="dxa"/>
            <w:vAlign w:val="bottom"/>
            <w:gridSpan w:val="2"/>
          </w:tcPr>
          <w:p>
            <w:pPr>
              <w:jc w:val="right"/>
              <w:ind w:right="20"/>
              <w:spacing w:after="0" w:line="178" w:lineRule="exact"/>
              <w:rPr>
                <w:sz w:val="20"/>
                <w:szCs w:val="20"/>
                <w:color w:val="auto"/>
              </w:rPr>
            </w:pPr>
            <w:r>
              <w:rPr>
                <w:rFonts w:ascii="Times New Roman" w:cs="Times New Roman" w:eastAsia="Times New Roman" w:hAnsi="Times New Roman"/>
                <w:sz w:val="20"/>
                <w:szCs w:val="20"/>
                <w:b w:val="1"/>
                <w:bCs w:val="1"/>
                <w:color w:val="050505"/>
              </w:rPr>
              <w:t>Accumulated</w:t>
            </w:r>
          </w:p>
        </w:tc>
        <w:tc>
          <w:tcPr>
            <w:tcW w:w="80" w:type="dxa"/>
            <w:vAlign w:val="bottom"/>
          </w:tcPr>
          <w:p>
            <w:pPr>
              <w:spacing w:after="0"/>
              <w:rPr>
                <w:sz w:val="15"/>
                <w:szCs w:val="15"/>
                <w:color w:val="auto"/>
              </w:rPr>
            </w:pPr>
          </w:p>
        </w:tc>
        <w:tc>
          <w:tcPr>
            <w:tcW w:w="144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050505"/>
                <w:w w:val="98"/>
              </w:rPr>
              <w:t>Comprehensive</w:t>
            </w:r>
          </w:p>
        </w:tc>
        <w:tc>
          <w:tcPr>
            <w:tcW w:w="80" w:type="dxa"/>
            <w:vAlign w:val="bottom"/>
          </w:tcPr>
          <w:p>
            <w:pPr>
              <w:spacing w:after="0"/>
              <w:rPr>
                <w:sz w:val="15"/>
                <w:szCs w:val="15"/>
                <w:color w:val="auto"/>
              </w:rPr>
            </w:pPr>
          </w:p>
        </w:tc>
        <w:tc>
          <w:tcPr>
            <w:tcW w:w="144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050505"/>
              </w:rPr>
              <w:t>Stockholders’</w:t>
            </w:r>
          </w:p>
        </w:tc>
        <w:tc>
          <w:tcPr>
            <w:tcW w:w="0" w:type="dxa"/>
            <w:vAlign w:val="bottom"/>
          </w:tcPr>
          <w:p>
            <w:pPr>
              <w:spacing w:after="0"/>
              <w:rPr>
                <w:sz w:val="1"/>
                <w:szCs w:val="1"/>
                <w:color w:val="auto"/>
              </w:rPr>
            </w:pPr>
          </w:p>
        </w:tc>
      </w:tr>
      <w:tr>
        <w:trPr>
          <w:trHeight w:val="265"/>
        </w:trPr>
        <w:tc>
          <w:tcPr>
            <w:tcW w:w="5120" w:type="dxa"/>
            <w:vAlign w:val="bottom"/>
          </w:tcPr>
          <w:p>
            <w:pPr>
              <w:spacing w:after="0"/>
              <w:rPr>
                <w:sz w:val="23"/>
                <w:szCs w:val="23"/>
                <w:color w:val="auto"/>
              </w:rPr>
            </w:pPr>
          </w:p>
        </w:tc>
        <w:tc>
          <w:tcPr>
            <w:tcW w:w="1480" w:type="dxa"/>
            <w:vAlign w:val="bottom"/>
            <w:tcBorders>
              <w:bottom w:val="single" w:sz="8" w:color="050505"/>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050505"/>
              </w:rPr>
              <w:t>Shares</w:t>
            </w:r>
          </w:p>
        </w:tc>
        <w:tc>
          <w:tcPr>
            <w:tcW w:w="80" w:type="dxa"/>
            <w:vAlign w:val="bottom"/>
          </w:tcPr>
          <w:p>
            <w:pPr>
              <w:spacing w:after="0"/>
              <w:rPr>
                <w:sz w:val="23"/>
                <w:szCs w:val="23"/>
                <w:color w:val="auto"/>
              </w:rPr>
            </w:pPr>
          </w:p>
        </w:tc>
        <w:tc>
          <w:tcPr>
            <w:tcW w:w="880" w:type="dxa"/>
            <w:vAlign w:val="bottom"/>
            <w:tcBorders>
              <w:bottom w:val="single" w:sz="8" w:color="050505"/>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50505"/>
              </w:rPr>
              <w:t>Amount</w:t>
            </w:r>
          </w:p>
        </w:tc>
        <w:tc>
          <w:tcPr>
            <w:tcW w:w="80" w:type="dxa"/>
            <w:vAlign w:val="bottom"/>
          </w:tcPr>
          <w:p>
            <w:pPr>
              <w:spacing w:after="0"/>
              <w:rPr>
                <w:sz w:val="23"/>
                <w:szCs w:val="23"/>
                <w:color w:val="auto"/>
              </w:rPr>
            </w:pPr>
          </w:p>
        </w:tc>
        <w:tc>
          <w:tcPr>
            <w:tcW w:w="200" w:type="dxa"/>
            <w:vAlign w:val="bottom"/>
            <w:tcBorders>
              <w:bottom w:val="single" w:sz="8" w:color="050505"/>
            </w:tcBorders>
          </w:tcPr>
          <w:p>
            <w:pPr>
              <w:spacing w:after="0"/>
              <w:rPr>
                <w:sz w:val="23"/>
                <w:szCs w:val="23"/>
                <w:color w:val="auto"/>
              </w:rPr>
            </w:pPr>
          </w:p>
        </w:tc>
        <w:tc>
          <w:tcPr>
            <w:tcW w:w="1180" w:type="dxa"/>
            <w:vAlign w:val="bottom"/>
            <w:tcBorders>
              <w:bottom w:val="single" w:sz="8" w:color="050505"/>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050505"/>
              </w:rPr>
              <w:t>Capital</w:t>
            </w:r>
          </w:p>
        </w:tc>
        <w:tc>
          <w:tcPr>
            <w:tcW w:w="8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1080" w:type="dxa"/>
            <w:vAlign w:val="bottom"/>
            <w:tcBorders>
              <w:bottom w:val="single" w:sz="8" w:color="050505"/>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050505"/>
              </w:rPr>
              <w:t>Deficit</w:t>
            </w:r>
          </w:p>
        </w:tc>
        <w:tc>
          <w:tcPr>
            <w:tcW w:w="80" w:type="dxa"/>
            <w:vAlign w:val="bottom"/>
          </w:tcPr>
          <w:p>
            <w:pPr>
              <w:spacing w:after="0"/>
              <w:rPr>
                <w:sz w:val="23"/>
                <w:szCs w:val="23"/>
                <w:color w:val="auto"/>
              </w:rPr>
            </w:pPr>
          </w:p>
        </w:tc>
        <w:tc>
          <w:tcPr>
            <w:tcW w:w="1440" w:type="dxa"/>
            <w:vAlign w:val="bottom"/>
            <w:tcBorders>
              <w:bottom w:val="single" w:sz="8" w:color="050505"/>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050505"/>
                <w:w w:val="99"/>
              </w:rPr>
              <w:t>Income (Loss)</w:t>
            </w:r>
          </w:p>
        </w:tc>
        <w:tc>
          <w:tcPr>
            <w:tcW w:w="8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1160" w:type="dxa"/>
            <w:vAlign w:val="bottom"/>
            <w:tcBorders>
              <w:bottom w:val="single" w:sz="8" w:color="050505"/>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050505"/>
              </w:rPr>
              <w:t>Equity</w:t>
            </w:r>
          </w:p>
        </w:tc>
        <w:tc>
          <w:tcPr>
            <w:tcW w:w="0" w:type="dxa"/>
            <w:vAlign w:val="bottom"/>
          </w:tcPr>
          <w:p>
            <w:pPr>
              <w:spacing w:after="0"/>
              <w:rPr>
                <w:sz w:val="1"/>
                <w:szCs w:val="1"/>
                <w:color w:val="auto"/>
              </w:rPr>
            </w:pP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Balance — December 31,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168,642,238</w:t>
            </w:r>
          </w:p>
        </w:tc>
        <w:tc>
          <w:tcPr>
            <w:tcW w:w="80" w:type="dxa"/>
            <w:vAlign w:val="bottom"/>
          </w:tcPr>
          <w:p>
            <w:pPr>
              <w:spacing w:after="0"/>
              <w:rPr>
                <w:sz w:val="22"/>
                <w:szCs w:val="22"/>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05050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169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2,075,252</w:t>
            </w:r>
          </w:p>
        </w:tc>
        <w:tc>
          <w:tcPr>
            <w:tcW w:w="8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(1,562,233)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(955)</w:t>
            </w:r>
          </w:p>
        </w:tc>
        <w:tc>
          <w:tcPr>
            <w:tcW w:w="8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512,233</w:t>
            </w:r>
          </w:p>
        </w:tc>
        <w:tc>
          <w:tcPr>
            <w:tcW w:w="0" w:type="dxa"/>
            <w:vAlign w:val="bottom"/>
          </w:tcPr>
          <w:p>
            <w:pPr>
              <w:spacing w:after="0"/>
              <w:rPr>
                <w:sz w:val="1"/>
                <w:szCs w:val="1"/>
                <w:color w:val="auto"/>
              </w:rPr>
            </w:pPr>
          </w:p>
        </w:tc>
      </w:tr>
      <w:tr>
        <w:trPr>
          <w:trHeight w:val="25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Issuance of common stock from ATM offering, net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2,539,134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6,762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6,764</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commissions and offering costs of $0.1 million</w:t>
            </w:r>
          </w:p>
        </w:tc>
        <w:tc>
          <w:tcPr>
            <w:tcW w:w="14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Issuance of common stock from registered offering, net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37,931,035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105,245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105,283</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commissions and offering costs of 4.7 million</w:t>
            </w:r>
          </w:p>
        </w:tc>
        <w:tc>
          <w:tcPr>
            <w:tcW w:w="14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Issuance of common stock upon exercise of stock options and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2,569,680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811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813</w:t>
            </w:r>
          </w:p>
        </w:tc>
        <w:tc>
          <w:tcPr>
            <w:tcW w:w="0" w:type="dxa"/>
            <w:vAlign w:val="bottom"/>
          </w:tcPr>
          <w:p>
            <w:pPr>
              <w:spacing w:after="0"/>
              <w:rPr>
                <w:sz w:val="1"/>
                <w:szCs w:val="1"/>
                <w:color w:val="auto"/>
              </w:rPr>
            </w:pP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vesting of RSUs</w:t>
            </w:r>
          </w:p>
        </w:tc>
        <w:tc>
          <w:tcPr>
            <w:tcW w:w="14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Vesting of early exercised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532</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Stock-based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51,743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51,743</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Employee stock purchase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528,510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1,534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1,535</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(257,590)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(257,590)</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Net unrealized gain on available-for-sale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866</w:t>
            </w:r>
          </w:p>
        </w:tc>
        <w:tc>
          <w:tcPr>
            <w:tcW w:w="0" w:type="dxa"/>
            <w:vAlign w:val="bottom"/>
          </w:tcPr>
          <w:p>
            <w:pPr>
              <w:spacing w:after="0"/>
              <w:rPr>
                <w:sz w:val="1"/>
                <w:szCs w:val="1"/>
                <w:color w:val="auto"/>
              </w:rPr>
            </w:pPr>
          </w:p>
        </w:tc>
      </w:tr>
      <w:tr>
        <w:trPr>
          <w:trHeight w:val="41"/>
        </w:trPr>
        <w:tc>
          <w:tcPr>
            <w:tcW w:w="5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050505"/>
              </w:rPr>
              <w:t>Balance — December 31, 2024</w:t>
            </w:r>
          </w:p>
        </w:tc>
        <w:tc>
          <w:tcPr>
            <w:tcW w:w="1480" w:type="dxa"/>
            <w:vAlign w:val="bottom"/>
            <w:tcBorders>
              <w:bottom w:val="single" w:sz="8" w:color="050505"/>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050505"/>
            </w:tcBorders>
          </w:tcPr>
          <w:p>
            <w:pPr>
              <w:spacing w:after="0"/>
              <w:rPr>
                <w:sz w:val="3"/>
                <w:szCs w:val="3"/>
                <w:color w:val="auto"/>
              </w:rPr>
            </w:pPr>
          </w:p>
        </w:tc>
        <w:tc>
          <w:tcPr>
            <w:tcW w:w="460" w:type="dxa"/>
            <w:vAlign w:val="bottom"/>
            <w:tcBorders>
              <w:bottom w:val="single" w:sz="8" w:color="050505"/>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050505"/>
            </w:tcBorders>
          </w:tcPr>
          <w:p>
            <w:pPr>
              <w:spacing w:after="0"/>
              <w:rPr>
                <w:sz w:val="3"/>
                <w:szCs w:val="3"/>
                <w:color w:val="auto"/>
              </w:rPr>
            </w:pPr>
          </w:p>
        </w:tc>
        <w:tc>
          <w:tcPr>
            <w:tcW w:w="1180" w:type="dxa"/>
            <w:vAlign w:val="bottom"/>
            <w:tcBorders>
              <w:bottom w:val="single" w:sz="8" w:color="050505"/>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050505"/>
            </w:tcBorders>
          </w:tcPr>
          <w:p>
            <w:pPr>
              <w:spacing w:after="0"/>
              <w:rPr>
                <w:sz w:val="3"/>
                <w:szCs w:val="3"/>
                <w:color w:val="auto"/>
              </w:rPr>
            </w:pPr>
          </w:p>
        </w:tc>
        <w:tc>
          <w:tcPr>
            <w:tcW w:w="1080" w:type="dxa"/>
            <w:vAlign w:val="bottom"/>
            <w:tcBorders>
              <w:bottom w:val="single" w:sz="8" w:color="050505"/>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050505"/>
            </w:tcBorders>
          </w:tcPr>
          <w:p>
            <w:pPr>
              <w:spacing w:after="0"/>
              <w:rPr>
                <w:sz w:val="3"/>
                <w:szCs w:val="3"/>
                <w:color w:val="auto"/>
              </w:rPr>
            </w:pPr>
          </w:p>
        </w:tc>
        <w:tc>
          <w:tcPr>
            <w:tcW w:w="1280" w:type="dxa"/>
            <w:vAlign w:val="bottom"/>
            <w:tcBorders>
              <w:bottom w:val="single" w:sz="8" w:color="050505"/>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050505"/>
            </w:tcBorders>
          </w:tcPr>
          <w:p>
            <w:pPr>
              <w:spacing w:after="0"/>
              <w:rPr>
                <w:sz w:val="3"/>
                <w:szCs w:val="3"/>
                <w:color w:val="auto"/>
              </w:rPr>
            </w:pPr>
          </w:p>
        </w:tc>
        <w:tc>
          <w:tcPr>
            <w:tcW w:w="1160" w:type="dxa"/>
            <w:vAlign w:val="bottom"/>
            <w:tcBorders>
              <w:bottom w:val="single" w:sz="8" w:color="050505"/>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5120" w:type="dxa"/>
            <w:vAlign w:val="bottom"/>
            <w:vMerge w:val="continue"/>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212,210,597</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2,241,879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(1,819,823)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422,179</w:t>
            </w:r>
          </w:p>
        </w:tc>
        <w:tc>
          <w:tcPr>
            <w:tcW w:w="0" w:type="dxa"/>
            <w:vAlign w:val="bottom"/>
          </w:tcPr>
          <w:p>
            <w:pPr>
              <w:spacing w:after="0"/>
              <w:rPr>
                <w:sz w:val="1"/>
                <w:szCs w:val="1"/>
                <w:color w:val="auto"/>
              </w:rPr>
            </w:pPr>
          </w:p>
        </w:tc>
      </w:tr>
      <w:tr>
        <w:trPr>
          <w:trHeight w:val="25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Issuance of common stock from ATM offering, net of</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13,430,193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22,340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22,354</w:t>
            </w:r>
          </w:p>
        </w:tc>
        <w:tc>
          <w:tcPr>
            <w:tcW w:w="0" w:type="dxa"/>
            <w:vAlign w:val="bottom"/>
          </w:tcPr>
          <w:p>
            <w:pPr>
              <w:spacing w:after="0"/>
              <w:rPr>
                <w:sz w:val="1"/>
                <w:szCs w:val="1"/>
                <w:color w:val="auto"/>
              </w:rPr>
            </w:pP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commissions and offering costs of $0.3 million</w:t>
            </w:r>
          </w:p>
        </w:tc>
        <w:tc>
          <w:tcPr>
            <w:tcW w:w="14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Issuance of common stock upon vesting of RSUs</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3,123,885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Stock-based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37,642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37,642</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Employee stock purchase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648,848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894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895</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0" w:type="dxa"/>
            <w:vAlign w:val="bottom"/>
          </w:tcPr>
          <w:p>
            <w:pPr>
              <w:spacing w:after="0"/>
              <w:rPr>
                <w:sz w:val="1"/>
                <w:szCs w:val="1"/>
                <w:color w:val="auto"/>
              </w:rPr>
            </w:pPr>
          </w:p>
        </w:tc>
      </w:tr>
      <w:tr>
        <w:trPr>
          <w:trHeight w:val="300"/>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050505"/>
              </w:rPr>
              <w:t>Net unrealized gain on available-for-sale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358</w:t>
            </w:r>
          </w:p>
        </w:tc>
        <w:tc>
          <w:tcPr>
            <w:tcW w:w="0" w:type="dxa"/>
            <w:vAlign w:val="bottom"/>
          </w:tcPr>
          <w:p>
            <w:pPr>
              <w:spacing w:after="0"/>
              <w:rPr>
                <w:sz w:val="1"/>
                <w:szCs w:val="1"/>
                <w:color w:val="auto"/>
              </w:rPr>
            </w:pPr>
          </w:p>
        </w:tc>
      </w:tr>
      <w:tr>
        <w:trPr>
          <w:trHeight w:val="41"/>
        </w:trPr>
        <w:tc>
          <w:tcPr>
            <w:tcW w:w="5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050505"/>
              </w:rPr>
              <w:t>Balance — December 31, 2025</w:t>
            </w:r>
          </w:p>
        </w:tc>
        <w:tc>
          <w:tcPr>
            <w:tcW w:w="1480" w:type="dxa"/>
            <w:vAlign w:val="bottom"/>
            <w:tcBorders>
              <w:bottom w:val="single" w:sz="8" w:color="050505"/>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20" w:type="dxa"/>
            <w:vAlign w:val="bottom"/>
            <w:tcBorders>
              <w:bottom w:val="single" w:sz="8" w:color="050505"/>
            </w:tcBorders>
          </w:tcPr>
          <w:p>
            <w:pPr>
              <w:spacing w:after="0"/>
              <w:rPr>
                <w:sz w:val="3"/>
                <w:szCs w:val="3"/>
                <w:color w:val="auto"/>
              </w:rPr>
            </w:pPr>
          </w:p>
        </w:tc>
        <w:tc>
          <w:tcPr>
            <w:tcW w:w="460" w:type="dxa"/>
            <w:vAlign w:val="bottom"/>
            <w:tcBorders>
              <w:bottom w:val="single" w:sz="8" w:color="050505"/>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Borders>
              <w:bottom w:val="single" w:sz="8" w:color="050505"/>
            </w:tcBorders>
          </w:tcPr>
          <w:p>
            <w:pPr>
              <w:spacing w:after="0"/>
              <w:rPr>
                <w:sz w:val="3"/>
                <w:szCs w:val="3"/>
                <w:color w:val="auto"/>
              </w:rPr>
            </w:pPr>
          </w:p>
        </w:tc>
        <w:tc>
          <w:tcPr>
            <w:tcW w:w="1180" w:type="dxa"/>
            <w:vAlign w:val="bottom"/>
            <w:tcBorders>
              <w:bottom w:val="single" w:sz="8" w:color="050505"/>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80" w:type="dxa"/>
            <w:vAlign w:val="bottom"/>
            <w:tcBorders>
              <w:bottom w:val="single" w:sz="8" w:color="050505"/>
            </w:tcBorders>
          </w:tcPr>
          <w:p>
            <w:pPr>
              <w:spacing w:after="0"/>
              <w:rPr>
                <w:sz w:val="3"/>
                <w:szCs w:val="3"/>
                <w:color w:val="auto"/>
              </w:rPr>
            </w:pPr>
          </w:p>
        </w:tc>
        <w:tc>
          <w:tcPr>
            <w:tcW w:w="1080" w:type="dxa"/>
            <w:vAlign w:val="bottom"/>
            <w:tcBorders>
              <w:bottom w:val="single" w:sz="8" w:color="050505"/>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0" w:type="dxa"/>
            <w:vAlign w:val="bottom"/>
            <w:tcBorders>
              <w:bottom w:val="single" w:sz="8" w:color="050505"/>
            </w:tcBorders>
          </w:tcPr>
          <w:p>
            <w:pPr>
              <w:spacing w:after="0"/>
              <w:rPr>
                <w:sz w:val="3"/>
                <w:szCs w:val="3"/>
                <w:color w:val="auto"/>
              </w:rPr>
            </w:pPr>
          </w:p>
        </w:tc>
        <w:tc>
          <w:tcPr>
            <w:tcW w:w="1280" w:type="dxa"/>
            <w:vAlign w:val="bottom"/>
            <w:tcBorders>
              <w:bottom w:val="single" w:sz="8" w:color="050505"/>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80" w:type="dxa"/>
            <w:vAlign w:val="bottom"/>
            <w:tcBorders>
              <w:bottom w:val="single" w:sz="8" w:color="050505"/>
            </w:tcBorders>
          </w:tcPr>
          <w:p>
            <w:pPr>
              <w:spacing w:after="0"/>
              <w:rPr>
                <w:sz w:val="3"/>
                <w:szCs w:val="3"/>
                <w:color w:val="auto"/>
              </w:rPr>
            </w:pPr>
          </w:p>
        </w:tc>
        <w:tc>
          <w:tcPr>
            <w:tcW w:w="1160" w:type="dxa"/>
            <w:vAlign w:val="bottom"/>
            <w:tcBorders>
              <w:bottom w:val="single" w:sz="8" w:color="050505"/>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5120" w:type="dxa"/>
            <w:vAlign w:val="bottom"/>
            <w:vMerge w:val="continue"/>
          </w:tcPr>
          <w:p>
            <w:pPr>
              <w:spacing w:after="0"/>
              <w:rPr>
                <w:sz w:val="22"/>
                <w:szCs w:val="22"/>
                <w:color w:val="auto"/>
              </w:rPr>
            </w:pPr>
          </w:p>
        </w:tc>
        <w:tc>
          <w:tcPr>
            <w:tcW w:w="14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229,413,523</w:t>
            </w:r>
          </w:p>
        </w:tc>
        <w:tc>
          <w:tcPr>
            <w:tcW w:w="80" w:type="dxa"/>
            <w:vAlign w:val="bottom"/>
            <w:vMerge w:val="continue"/>
          </w:tcPr>
          <w:p>
            <w:pPr>
              <w:spacing w:after="0"/>
              <w:rPr>
                <w:sz w:val="22"/>
                <w:szCs w:val="22"/>
                <w:color w:val="auto"/>
              </w:rPr>
            </w:pPr>
          </w:p>
        </w:tc>
        <w:tc>
          <w:tcPr>
            <w:tcW w:w="420" w:type="dxa"/>
            <w:vAlign w:val="bottom"/>
            <w:tcBorders>
              <w:bottom w:val="single" w:sz="8" w:color="050505"/>
            </w:tcBorders>
          </w:tcPr>
          <w:p>
            <w:pPr>
              <w:jc w:val="right"/>
              <w:ind w:right="160"/>
              <w:spacing w:after="0"/>
              <w:rPr>
                <w:sz w:val="20"/>
                <w:szCs w:val="20"/>
                <w:color w:val="auto"/>
              </w:rPr>
            </w:pPr>
            <w:r>
              <w:rPr>
                <w:rFonts w:ascii="Times New Roman" w:cs="Times New Roman" w:eastAsia="Times New Roman" w:hAnsi="Times New Roman"/>
                <w:sz w:val="20"/>
                <w:szCs w:val="20"/>
                <w:color w:val="050505"/>
              </w:rPr>
              <w:t>$</w:t>
            </w:r>
          </w:p>
        </w:tc>
        <w:tc>
          <w:tcPr>
            <w:tcW w:w="4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229</w:t>
            </w:r>
          </w:p>
        </w:tc>
        <w:tc>
          <w:tcPr>
            <w:tcW w:w="80" w:type="dxa"/>
            <w:vAlign w:val="bottom"/>
            <w:vMerge w:val="continue"/>
          </w:tcPr>
          <w:p>
            <w:pPr>
              <w:spacing w:after="0"/>
              <w:rPr>
                <w:sz w:val="22"/>
                <w:szCs w:val="22"/>
                <w:color w:val="auto"/>
              </w:rPr>
            </w:pPr>
          </w:p>
        </w:tc>
        <w:tc>
          <w:tcPr>
            <w:tcW w:w="2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2,302,753</w:t>
            </w:r>
          </w:p>
        </w:tc>
        <w:tc>
          <w:tcPr>
            <w:tcW w:w="80" w:type="dxa"/>
            <w:vAlign w:val="bottom"/>
            <w:vMerge w:val="continue"/>
          </w:tcPr>
          <w:p>
            <w:pPr>
              <w:spacing w:after="0"/>
              <w:rPr>
                <w:sz w:val="22"/>
                <w:szCs w:val="22"/>
                <w:color w:val="auto"/>
              </w:rPr>
            </w:pPr>
          </w:p>
        </w:tc>
        <w:tc>
          <w:tcPr>
            <w:tcW w:w="280" w:type="dxa"/>
            <w:vAlign w:val="bottom"/>
            <w:tcBorders>
              <w:bottom w:val="single" w:sz="8" w:color="050505"/>
            </w:tcBorders>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(2,010,709)</w:t>
            </w:r>
          </w:p>
        </w:tc>
        <w:tc>
          <w:tcPr>
            <w:tcW w:w="80" w:type="dxa"/>
            <w:vAlign w:val="bottom"/>
            <w:vMerge w:val="continue"/>
          </w:tcPr>
          <w:p>
            <w:pPr>
              <w:spacing w:after="0"/>
              <w:rPr>
                <w:sz w:val="22"/>
                <w:szCs w:val="22"/>
                <w:color w:val="auto"/>
              </w:rPr>
            </w:pPr>
          </w:p>
        </w:tc>
        <w:tc>
          <w:tcPr>
            <w:tcW w:w="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269</w:t>
            </w:r>
          </w:p>
        </w:tc>
        <w:tc>
          <w:tcPr>
            <w:tcW w:w="80" w:type="dxa"/>
            <w:vAlign w:val="bottom"/>
            <w:vMerge w:val="continue"/>
          </w:tcPr>
          <w:p>
            <w:pPr>
              <w:spacing w:after="0"/>
              <w:rPr>
                <w:sz w:val="22"/>
                <w:szCs w:val="22"/>
                <w:color w:val="auto"/>
              </w:rPr>
            </w:pPr>
          </w:p>
        </w:tc>
        <w:tc>
          <w:tcPr>
            <w:tcW w:w="280" w:type="dxa"/>
            <w:vAlign w:val="bottom"/>
            <w:tcBorders>
              <w:bottom w:val="single" w:sz="8" w:color="050505"/>
            </w:tcBorders>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292,542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050505"/>
            </w:tcBorders>
          </w:tcPr>
          <w:p>
            <w:pPr>
              <w:spacing w:after="0" w:line="20" w:lineRule="exact"/>
              <w:rPr>
                <w:sz w:val="1"/>
                <w:szCs w:val="1"/>
                <w:color w:val="auto"/>
              </w:rPr>
            </w:pPr>
          </w:p>
        </w:tc>
        <w:tc>
          <w:tcPr>
            <w:tcW w:w="46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50505"/>
            </w:tcBorders>
          </w:tcPr>
          <w:p>
            <w:pPr>
              <w:spacing w:after="0" w:line="20" w:lineRule="exact"/>
              <w:rPr>
                <w:sz w:val="1"/>
                <w:szCs w:val="1"/>
                <w:color w:val="auto"/>
              </w:rPr>
            </w:pPr>
          </w:p>
        </w:tc>
        <w:tc>
          <w:tcPr>
            <w:tcW w:w="118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50505"/>
            </w:tcBorders>
          </w:tcPr>
          <w:p>
            <w:pPr>
              <w:spacing w:after="0" w:line="20" w:lineRule="exact"/>
              <w:rPr>
                <w:sz w:val="1"/>
                <w:szCs w:val="1"/>
                <w:color w:val="auto"/>
              </w:rPr>
            </w:pPr>
          </w:p>
        </w:tc>
        <w:tc>
          <w:tcPr>
            <w:tcW w:w="108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050505"/>
            </w:tcBorders>
          </w:tcPr>
          <w:p>
            <w:pPr>
              <w:spacing w:after="0" w:line="20" w:lineRule="exact"/>
              <w:rPr>
                <w:sz w:val="1"/>
                <w:szCs w:val="1"/>
                <w:color w:val="auto"/>
              </w:rPr>
            </w:pPr>
          </w:p>
        </w:tc>
        <w:tc>
          <w:tcPr>
            <w:tcW w:w="128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50505"/>
            </w:tcBorders>
          </w:tcPr>
          <w:p>
            <w:pPr>
              <w:spacing w:after="0" w:line="20" w:lineRule="exact"/>
              <w:rPr>
                <w:sz w:val="1"/>
                <w:szCs w:val="1"/>
                <w:color w:val="auto"/>
              </w:rPr>
            </w:pPr>
          </w:p>
        </w:tc>
        <w:tc>
          <w:tcPr>
            <w:tcW w:w="1160" w:type="dxa"/>
            <w:vAlign w:val="bottom"/>
            <w:tcBorders>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3252470</wp:posOffset>
                </wp:positionH>
                <wp:positionV relativeFrom="paragraph">
                  <wp:posOffset>-3933825</wp:posOffset>
                </wp:positionV>
                <wp:extent cx="15525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25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309.7499pt" to="378.35pt,-309.7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3252470</wp:posOffset>
                </wp:positionH>
                <wp:positionV relativeFrom="paragraph">
                  <wp:posOffset>-3752850</wp:posOffset>
                </wp:positionV>
                <wp:extent cx="94297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295.4999pt" to="330.35pt,-295.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4243070</wp:posOffset>
                </wp:positionH>
                <wp:positionV relativeFrom="paragraph">
                  <wp:posOffset>-3752850</wp:posOffset>
                </wp:positionV>
                <wp:extent cx="56197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1pt,-295.4999pt" to="378.35pt,-295.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4852670</wp:posOffset>
                </wp:positionH>
                <wp:positionV relativeFrom="paragraph">
                  <wp:posOffset>-3752850</wp:posOffset>
                </wp:positionV>
                <wp:extent cx="8763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3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1pt,-295.4999pt" to="451.1pt,-295.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5776595</wp:posOffset>
                </wp:positionH>
                <wp:positionV relativeFrom="paragraph">
                  <wp:posOffset>-3752850</wp:posOffset>
                </wp:positionV>
                <wp:extent cx="8667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5pt,-295.4999pt" to="523.1pt,-295.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6690995</wp:posOffset>
                </wp:positionH>
                <wp:positionV relativeFrom="paragraph">
                  <wp:posOffset>-3752850</wp:posOffset>
                </wp:positionV>
                <wp:extent cx="9144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85pt,-295.4999pt" to="598.85pt,-295.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7653020</wp:posOffset>
                </wp:positionH>
                <wp:positionV relativeFrom="paragraph">
                  <wp:posOffset>-3752850</wp:posOffset>
                </wp:positionV>
                <wp:extent cx="9144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2.6pt,-295.4999pt" to="674.6pt,-295.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3252470</wp:posOffset>
                </wp:positionH>
                <wp:positionV relativeFrom="paragraph">
                  <wp:posOffset>-1666875</wp:posOffset>
                </wp:positionV>
                <wp:extent cx="94297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131.2499pt" to="330.35pt,-131.2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4243070</wp:posOffset>
                </wp:positionH>
                <wp:positionV relativeFrom="paragraph">
                  <wp:posOffset>-1666875</wp:posOffset>
                </wp:positionV>
                <wp:extent cx="5619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1pt,-131.2499pt" to="378.35pt,-131.2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4852670</wp:posOffset>
                </wp:positionH>
                <wp:positionV relativeFrom="paragraph">
                  <wp:posOffset>-1666875</wp:posOffset>
                </wp:positionV>
                <wp:extent cx="8763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3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1pt,-131.2499pt" to="451.1pt,-131.2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5776595</wp:posOffset>
                </wp:positionH>
                <wp:positionV relativeFrom="paragraph">
                  <wp:posOffset>-1666875</wp:posOffset>
                </wp:positionV>
                <wp:extent cx="8667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5pt,-131.2499pt" to="523.1pt,-131.2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6690995</wp:posOffset>
                </wp:positionH>
                <wp:positionV relativeFrom="paragraph">
                  <wp:posOffset>-1666875</wp:posOffset>
                </wp:positionV>
                <wp:extent cx="9144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85pt,-131.2499pt" to="598.85pt,-131.2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7653020</wp:posOffset>
                </wp:positionH>
                <wp:positionV relativeFrom="paragraph">
                  <wp:posOffset>-1666875</wp:posOffset>
                </wp:positionV>
                <wp:extent cx="9144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2.6pt,-131.2499pt" to="674.6pt,-131.24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3252470</wp:posOffset>
                </wp:positionH>
                <wp:positionV relativeFrom="paragraph">
                  <wp:posOffset>-209550</wp:posOffset>
                </wp:positionV>
                <wp:extent cx="9429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29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16.4999pt" to="330.35pt,-16.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4243070</wp:posOffset>
                </wp:positionH>
                <wp:positionV relativeFrom="paragraph">
                  <wp:posOffset>-209550</wp:posOffset>
                </wp:positionV>
                <wp:extent cx="5619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9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1pt,-16.4999pt" to="378.35pt,-16.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4852670</wp:posOffset>
                </wp:positionH>
                <wp:positionV relativeFrom="paragraph">
                  <wp:posOffset>-209550</wp:posOffset>
                </wp:positionV>
                <wp:extent cx="8763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3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1pt,-16.4999pt" to="451.1pt,-16.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5776595</wp:posOffset>
                </wp:positionH>
                <wp:positionV relativeFrom="paragraph">
                  <wp:posOffset>-209550</wp:posOffset>
                </wp:positionV>
                <wp:extent cx="8667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5pt,-16.4999pt" to="523.1pt,-16.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6690995</wp:posOffset>
                </wp:positionH>
                <wp:positionV relativeFrom="paragraph">
                  <wp:posOffset>-209550</wp:posOffset>
                </wp:positionV>
                <wp:extent cx="9144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85pt,-16.4999pt" to="598.85pt,-16.4999pt" o:allowincell="f" strokecolor="#050505" strokeweight="0pt"/>
            </w:pict>
          </mc:Fallback>
        </mc:AlternateContent>
        <mc:AlternateContent>
          <mc:Choice Requires="wps">
            <w:drawing>
              <wp:anchor simplePos="0" relativeHeight="251657728" behindDoc="1" locked="0" layoutInCell="0" allowOverlap="1">
                <wp:simplePos x="0" y="0"/>
                <wp:positionH relativeFrom="column">
                  <wp:posOffset>7653020</wp:posOffset>
                </wp:positionH>
                <wp:positionV relativeFrom="paragraph">
                  <wp:posOffset>-209550</wp:posOffset>
                </wp:positionV>
                <wp:extent cx="9144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0">
                          <a:solidFill>
                            <a:srgbClr val="050505"/>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2.6pt,-16.4999pt" to="674.6pt,-16.4999pt" o:allowincell="f" strokecolor="#050505" strokeweight="0pt"/>
            </w:pict>
          </mc:Fallback>
        </mc:AlternateContent>
        <w:drawing>
          <wp:anchor simplePos="0" relativeHeight="251657728" behindDoc="1" locked="0" layoutInCell="0" allowOverlap="1">
            <wp:simplePos x="0" y="0"/>
            <wp:positionH relativeFrom="column">
              <wp:posOffset>3239770</wp:posOffset>
            </wp:positionH>
            <wp:positionV relativeFrom="paragraph">
              <wp:posOffset>-43815</wp:posOffset>
            </wp:positionV>
            <wp:extent cx="534035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7">
                      <a:extLst>
                        <a:ext uri="{28A0092B-C50C-407E-A947-70E740481C1C}"/>
                      </a:extLst>
                    </a:blip>
                    <a:srcRect/>
                    <a:stretch>
                      <a:fillRect/>
                    </a:stretch>
                  </pic:blipFill>
                  <pic:spPr bwMode="auto">
                    <a:xfrm>
                      <a:off x="0" y="0"/>
                      <a:ext cx="5340350" cy="50800"/>
                    </a:xfrm>
                    <a:prstGeom prst="rect">
                      <a:avLst/>
                    </a:prstGeom>
                    <a:noFill/>
                  </pic:spPr>
                </pic:pic>
              </a:graphicData>
            </a:graphic>
          </wp:anchor>
        </w:drawing>
      </w:r>
    </w:p>
    <w:p>
      <w:pPr>
        <w:spacing w:after="0" w:line="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050505"/>
        </w:rPr>
        <w:t>The accompanying notes are an integral part of these consolidated financial statements.</w:t>
      </w:r>
    </w:p>
    <w:p>
      <w:pPr>
        <w:sectPr>
          <w:pgSz w:w="15840" w:h="12240" w:orient="landscape"/>
          <w:cols w:equalWidth="0" w:num="2">
            <w:col w:w="218" w:space="679"/>
            <w:col w:w="13500"/>
          </w:cols>
          <w:pgMar w:left="303" w:top="361" w:right="1140"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20"/>
          <w:szCs w:val="20"/>
          <w:b w:val="1"/>
          <w:bCs w:val="1"/>
          <w:color w:val="050505"/>
        </w:rPr>
        <w:t>ALLOGENE THERAPEUTICS, INC.</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50505"/>
        </w:rPr>
        <w:t>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050505"/>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100" w:type="dxa"/>
            <w:vAlign w:val="bottom"/>
          </w:tcPr>
          <w:p>
            <w:pPr>
              <w:spacing w:after="0"/>
              <w:rPr>
                <w:sz w:val="23"/>
                <w:szCs w:val="23"/>
                <w:color w:val="auto"/>
              </w:rPr>
            </w:pPr>
          </w:p>
        </w:tc>
        <w:tc>
          <w:tcPr>
            <w:tcW w:w="180" w:type="dxa"/>
            <w:vAlign w:val="bottom"/>
            <w:tcBorders>
              <w:bottom w:val="single" w:sz="8" w:color="050505"/>
            </w:tcBorders>
          </w:tcPr>
          <w:p>
            <w:pPr>
              <w:spacing w:after="0"/>
              <w:rPr>
                <w:sz w:val="23"/>
                <w:szCs w:val="23"/>
                <w:color w:val="auto"/>
              </w:rPr>
            </w:pPr>
          </w:p>
        </w:tc>
        <w:tc>
          <w:tcPr>
            <w:tcW w:w="2480" w:type="dxa"/>
            <w:vAlign w:val="bottom"/>
            <w:tcBorders>
              <w:bottom w:val="single" w:sz="8" w:color="050505"/>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0" w:type="dxa"/>
            <w:vAlign w:val="bottom"/>
          </w:tcPr>
          <w:p>
            <w:pPr>
              <w:spacing w:after="0"/>
              <w:rPr>
                <w:sz w:val="1"/>
                <w:szCs w:val="1"/>
                <w:color w:val="auto"/>
              </w:rPr>
            </w:pPr>
          </w:p>
        </w:tc>
      </w:tr>
      <w:tr>
        <w:trPr>
          <w:trHeight w:val="265"/>
        </w:trPr>
        <w:tc>
          <w:tcPr>
            <w:tcW w:w="7100" w:type="dxa"/>
            <w:vAlign w:val="bottom"/>
          </w:tcPr>
          <w:p>
            <w:pPr>
              <w:spacing w:after="0"/>
              <w:rPr>
                <w:sz w:val="23"/>
                <w:szCs w:val="23"/>
                <w:color w:val="auto"/>
              </w:rPr>
            </w:pPr>
          </w:p>
        </w:tc>
        <w:tc>
          <w:tcPr>
            <w:tcW w:w="180" w:type="dxa"/>
            <w:vAlign w:val="bottom"/>
            <w:tcBorders>
              <w:bottom w:val="single" w:sz="8" w:color="050505"/>
            </w:tcBorders>
          </w:tcPr>
          <w:p>
            <w:pPr>
              <w:spacing w:after="0"/>
              <w:rPr>
                <w:sz w:val="23"/>
                <w:szCs w:val="23"/>
                <w:color w:val="auto"/>
              </w:rPr>
            </w:pPr>
          </w:p>
        </w:tc>
        <w:tc>
          <w:tcPr>
            <w:tcW w:w="1120" w:type="dxa"/>
            <w:vAlign w:val="bottom"/>
            <w:tcBorders>
              <w:bottom w:val="single" w:sz="8" w:color="050505"/>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1000" w:type="dxa"/>
            <w:vAlign w:val="bottom"/>
            <w:tcBorders>
              <w:bottom w:val="single" w:sz="8" w:color="050505"/>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Cash flows from operating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(257,590)</w:t>
            </w:r>
          </w:p>
        </w:tc>
        <w:tc>
          <w:tcPr>
            <w:tcW w:w="0" w:type="dxa"/>
            <w:vAlign w:val="bottom"/>
          </w:tcPr>
          <w:p>
            <w:pPr>
              <w:spacing w:after="0"/>
              <w:rPr>
                <w:sz w:val="1"/>
                <w:szCs w:val="1"/>
                <w:color w:val="auto"/>
              </w:rPr>
            </w:pPr>
          </w:p>
        </w:tc>
      </w:tr>
      <w:tr>
        <w:trPr>
          <w:trHeight w:val="28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050505"/>
              </w:rPr>
              <w:t>Adjustments to reconcile net loss to net cash used in operating activities: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Stock-based compensation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37,642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51,743</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12,359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13,639</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Net amortization/accretion on investment securities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(8,348)</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Impairment of long-lived asset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2,382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15,717</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Impairment of equity investment and equity method investment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1,957</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Non-cash rent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4,355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5,264</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Income tax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443</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Non-cash collaboration revenue - related party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Share of loss from 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1,688</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Changes in operating assets and liabilities: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Deposit placed in escrow</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(20,773)</w:t>
            </w:r>
          </w:p>
        </w:tc>
        <w:tc>
          <w:tcPr>
            <w:tcW w:w="0" w:type="dxa"/>
            <w:vAlign w:val="bottom"/>
          </w:tcPr>
          <w:p>
            <w:pPr>
              <w:spacing w:after="0"/>
              <w:rPr>
                <w:sz w:val="1"/>
                <w:szCs w:val="1"/>
                <w:color w:val="auto"/>
              </w:rPr>
            </w:pPr>
          </w:p>
        </w:tc>
      </w:tr>
      <w:tr>
        <w:trPr>
          <w:trHeight w:val="28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Prepaid expenses and other current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3,238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(492)</w:t>
            </w:r>
          </w:p>
        </w:tc>
        <w:tc>
          <w:tcPr>
            <w:tcW w:w="0" w:type="dxa"/>
            <w:vAlign w:val="bottom"/>
          </w:tcPr>
          <w:p>
            <w:pPr>
              <w:spacing w:after="0"/>
              <w:rPr>
                <w:sz w:val="1"/>
                <w:szCs w:val="1"/>
                <w:color w:val="auto"/>
              </w:rPr>
            </w:pPr>
          </w:p>
        </w:tc>
      </w:tr>
      <w:tr>
        <w:trPr>
          <w:trHeight w:val="28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Other long-term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4,279</w:t>
            </w:r>
          </w:p>
        </w:tc>
        <w:tc>
          <w:tcPr>
            <w:tcW w:w="0" w:type="dxa"/>
            <w:vAlign w:val="bottom"/>
          </w:tcPr>
          <w:p>
            <w:pPr>
              <w:spacing w:after="0"/>
              <w:rPr>
                <w:sz w:val="1"/>
                <w:szCs w:val="1"/>
                <w:color w:val="auto"/>
              </w:rPr>
            </w:pPr>
          </w:p>
        </w:tc>
      </w:tr>
      <w:tr>
        <w:trPr>
          <w:trHeight w:val="28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Accounts payable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(503)</w:t>
            </w:r>
          </w:p>
        </w:tc>
        <w:tc>
          <w:tcPr>
            <w:tcW w:w="0" w:type="dxa"/>
            <w:vAlign w:val="bottom"/>
          </w:tcPr>
          <w:p>
            <w:pPr>
              <w:spacing w:after="0"/>
              <w:rPr>
                <w:sz w:val="1"/>
                <w:szCs w:val="1"/>
                <w:color w:val="auto"/>
              </w:rPr>
            </w:pPr>
          </w:p>
        </w:tc>
      </w:tr>
      <w:tr>
        <w:trPr>
          <w:trHeight w:val="28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Accrued and other current liabilities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(1,262)</w:t>
            </w:r>
          </w:p>
        </w:tc>
        <w:tc>
          <w:tcPr>
            <w:tcW w:w="0" w:type="dxa"/>
            <w:vAlign w:val="bottom"/>
          </w:tcPr>
          <w:p>
            <w:pPr>
              <w:spacing w:after="0"/>
              <w:rPr>
                <w:sz w:val="1"/>
                <w:szCs w:val="1"/>
                <w:color w:val="auto"/>
              </w:rPr>
            </w:pPr>
          </w:p>
        </w:tc>
      </w:tr>
      <w:tr>
        <w:trPr>
          <w:trHeight w:val="285"/>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Operating lease liabilities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(6,307)</w:t>
            </w:r>
          </w:p>
        </w:tc>
        <w:tc>
          <w:tcPr>
            <w:tcW w:w="0" w:type="dxa"/>
            <w:vAlign w:val="bottom"/>
          </w:tcPr>
          <w:p>
            <w:pPr>
              <w:spacing w:after="0"/>
              <w:rPr>
                <w:sz w:val="1"/>
                <w:szCs w:val="1"/>
                <w:color w:val="auto"/>
              </w:rPr>
            </w:pPr>
          </w:p>
        </w:tc>
      </w:tr>
      <w:tr>
        <w:trPr>
          <w:trHeight w:val="286"/>
        </w:trPr>
        <w:tc>
          <w:tcPr>
            <w:tcW w:w="710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Other long-term liabilities</w:t>
            </w:r>
          </w:p>
        </w:tc>
        <w:tc>
          <w:tcPr>
            <w:tcW w:w="18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1,135</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259</w:t>
            </w:r>
          </w:p>
        </w:tc>
        <w:tc>
          <w:tcPr>
            <w:tcW w:w="0" w:type="dxa"/>
            <w:vAlign w:val="bottom"/>
          </w:tcPr>
          <w:p>
            <w:pPr>
              <w:spacing w:after="0"/>
              <w:rPr>
                <w:sz w:val="1"/>
                <w:szCs w:val="1"/>
                <w:color w:val="auto"/>
              </w:rPr>
            </w:pPr>
          </w:p>
        </w:tc>
      </w:tr>
      <w:tr>
        <w:trPr>
          <w:trHeight w:val="265"/>
        </w:trPr>
        <w:tc>
          <w:tcPr>
            <w:tcW w:w="7100" w:type="dxa"/>
            <w:vAlign w:val="bottom"/>
          </w:tcPr>
          <w:p>
            <w:pPr>
              <w:ind w:left="720"/>
              <w:spacing w:after="0"/>
              <w:rPr>
                <w:sz w:val="20"/>
                <w:szCs w:val="20"/>
                <w:color w:val="auto"/>
              </w:rPr>
            </w:pPr>
            <w:r>
              <w:rPr>
                <w:rFonts w:ascii="Times New Roman" w:cs="Times New Roman" w:eastAsia="Times New Roman" w:hAnsi="Times New Roman"/>
                <w:sz w:val="20"/>
                <w:szCs w:val="20"/>
                <w:color w:val="050505"/>
              </w:rPr>
              <w:t>Net cash used in operating activities</w:t>
            </w:r>
          </w:p>
        </w:tc>
        <w:tc>
          <w:tcPr>
            <w:tcW w:w="180" w:type="dxa"/>
            <w:vAlign w:val="bottom"/>
            <w:tcBorders>
              <w:bottom w:val="single" w:sz="8" w:color="050505"/>
            </w:tcBorders>
          </w:tcPr>
          <w:p>
            <w:pPr>
              <w:spacing w:after="0"/>
              <w:rPr>
                <w:sz w:val="23"/>
                <w:szCs w:val="23"/>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(149,246)</w:t>
            </w:r>
          </w:p>
        </w:tc>
        <w:tc>
          <w:tcPr>
            <w:tcW w:w="6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(200,300)</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Cash flows from investing activities:</w:t>
            </w:r>
          </w:p>
        </w:tc>
        <w:tc>
          <w:tcPr>
            <w:tcW w:w="1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(386)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(694)</w:t>
            </w:r>
          </w:p>
        </w:tc>
        <w:tc>
          <w:tcPr>
            <w:tcW w:w="0" w:type="dxa"/>
            <w:vAlign w:val="bottom"/>
          </w:tcPr>
          <w:p>
            <w:pPr>
              <w:spacing w:after="0"/>
              <w:rPr>
                <w:sz w:val="1"/>
                <w:szCs w:val="1"/>
                <w:color w:val="auto"/>
              </w:rPr>
            </w:pPr>
          </w:p>
        </w:tc>
      </w:tr>
      <w:tr>
        <w:trPr>
          <w:trHeight w:val="288"/>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Purchases of property and equipment</w:t>
            </w:r>
          </w:p>
        </w:tc>
        <w:tc>
          <w:tcPr>
            <w:tcW w:w="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Proceeds from sales of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5,398</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Proceeds from maturities of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234,202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432,459</w:t>
            </w:r>
          </w:p>
        </w:tc>
        <w:tc>
          <w:tcPr>
            <w:tcW w:w="0" w:type="dxa"/>
            <w:vAlign w:val="bottom"/>
          </w:tcPr>
          <w:p>
            <w:pPr>
              <w:spacing w:after="0"/>
              <w:rPr>
                <w:sz w:val="1"/>
                <w:szCs w:val="1"/>
                <w:color w:val="auto"/>
              </w:rPr>
            </w:pPr>
          </w:p>
        </w:tc>
      </w:tr>
      <w:tr>
        <w:trPr>
          <w:trHeight w:val="286"/>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Purchase of investments</w:t>
            </w:r>
          </w:p>
        </w:tc>
        <w:tc>
          <w:tcPr>
            <w:tcW w:w="18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(138,257)</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(361,475)</w:t>
            </w:r>
          </w:p>
        </w:tc>
        <w:tc>
          <w:tcPr>
            <w:tcW w:w="0" w:type="dxa"/>
            <w:vAlign w:val="bottom"/>
          </w:tcPr>
          <w:p>
            <w:pPr>
              <w:spacing w:after="0"/>
              <w:rPr>
                <w:sz w:val="1"/>
                <w:szCs w:val="1"/>
                <w:color w:val="auto"/>
              </w:rPr>
            </w:pPr>
          </w:p>
        </w:tc>
      </w:tr>
      <w:tr>
        <w:trPr>
          <w:trHeight w:val="265"/>
        </w:trPr>
        <w:tc>
          <w:tcPr>
            <w:tcW w:w="7100" w:type="dxa"/>
            <w:vAlign w:val="bottom"/>
          </w:tcPr>
          <w:p>
            <w:pPr>
              <w:ind w:left="720"/>
              <w:spacing w:after="0"/>
              <w:rPr>
                <w:sz w:val="20"/>
                <w:szCs w:val="20"/>
                <w:color w:val="auto"/>
              </w:rPr>
            </w:pPr>
            <w:r>
              <w:rPr>
                <w:rFonts w:ascii="Times New Roman" w:cs="Times New Roman" w:eastAsia="Times New Roman" w:hAnsi="Times New Roman"/>
                <w:sz w:val="20"/>
                <w:szCs w:val="20"/>
                <w:color w:val="050505"/>
              </w:rPr>
              <w:t>Net cash provided by investing activities</w:t>
            </w:r>
          </w:p>
        </w:tc>
        <w:tc>
          <w:tcPr>
            <w:tcW w:w="180" w:type="dxa"/>
            <w:vAlign w:val="bottom"/>
            <w:tcBorders>
              <w:bottom w:val="single" w:sz="8" w:color="050505"/>
            </w:tcBorders>
          </w:tcPr>
          <w:p>
            <w:pPr>
              <w:spacing w:after="0"/>
              <w:rPr>
                <w:sz w:val="23"/>
                <w:szCs w:val="23"/>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95,559</w:t>
            </w:r>
          </w:p>
        </w:tc>
        <w:tc>
          <w:tcPr>
            <w:tcW w:w="6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75,688</w:t>
            </w:r>
          </w:p>
        </w:tc>
        <w:tc>
          <w:tcPr>
            <w:tcW w:w="0" w:type="dxa"/>
            <w:vAlign w:val="bottom"/>
          </w:tcPr>
          <w:p>
            <w:pPr>
              <w:spacing w:after="0"/>
              <w:rPr>
                <w:sz w:val="1"/>
                <w:szCs w:val="1"/>
                <w:color w:val="auto"/>
              </w:rPr>
            </w:pP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Cash flows from financing activities: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240"/>
              <w:spacing w:after="0" w:line="229" w:lineRule="exact"/>
              <w:rPr>
                <w:sz w:val="20"/>
                <w:szCs w:val="20"/>
                <w:color w:val="auto"/>
              </w:rPr>
            </w:pPr>
            <w:r>
              <w:rPr>
                <w:rFonts w:ascii="Times New Roman" w:cs="Times New Roman" w:eastAsia="Times New Roman" w:hAnsi="Times New Roman"/>
                <w:sz w:val="20"/>
                <w:szCs w:val="20"/>
                <w:color w:val="050505"/>
              </w:rPr>
              <w:t>Proceeds from issuance of common stock from ATM offering, net of commissions</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22,354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6,764</w:t>
            </w:r>
          </w:p>
        </w:tc>
        <w:tc>
          <w:tcPr>
            <w:tcW w:w="0" w:type="dxa"/>
            <w:vAlign w:val="bottom"/>
          </w:tcPr>
          <w:p>
            <w:pPr>
              <w:spacing w:after="0"/>
              <w:rPr>
                <w:sz w:val="1"/>
                <w:szCs w:val="1"/>
                <w:color w:val="auto"/>
              </w:rPr>
            </w:pPr>
          </w:p>
        </w:tc>
      </w:tr>
      <w:tr>
        <w:trPr>
          <w:trHeight w:val="260"/>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and issuance costs</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10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050505"/>
              </w:rPr>
              <w:t>Proceeds from issuance of common stock from public offering, net of commissions</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105,283</w:t>
            </w:r>
          </w:p>
        </w:tc>
        <w:tc>
          <w:tcPr>
            <w:tcW w:w="0" w:type="dxa"/>
            <w:vAlign w:val="bottom"/>
          </w:tcPr>
          <w:p>
            <w:pPr>
              <w:spacing w:after="0"/>
              <w:rPr>
                <w:sz w:val="1"/>
                <w:szCs w:val="1"/>
                <w:color w:val="auto"/>
              </w:rPr>
            </w:pPr>
          </w:p>
        </w:tc>
      </w:tr>
      <w:tr>
        <w:trPr>
          <w:trHeight w:val="260"/>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and issuance costs</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Proceeds from issuance of common stock upon exercise of stock options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813</w:t>
            </w:r>
          </w:p>
        </w:tc>
        <w:tc>
          <w:tcPr>
            <w:tcW w:w="0" w:type="dxa"/>
            <w:vAlign w:val="bottom"/>
          </w:tcPr>
          <w:p>
            <w:pPr>
              <w:spacing w:after="0"/>
              <w:rPr>
                <w:sz w:val="1"/>
                <w:szCs w:val="1"/>
                <w:color w:val="auto"/>
              </w:rPr>
            </w:pPr>
          </w:p>
        </w:tc>
      </w:tr>
      <w:tr>
        <w:trPr>
          <w:trHeight w:val="285"/>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Proceeds from issuance of common stock under the employee stock purchase plan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1,535</w:t>
            </w:r>
          </w:p>
        </w:tc>
        <w:tc>
          <w:tcPr>
            <w:tcW w:w="0" w:type="dxa"/>
            <w:vAlign w:val="bottom"/>
          </w:tcPr>
          <w:p>
            <w:pPr>
              <w:spacing w:after="0"/>
              <w:rPr>
                <w:sz w:val="1"/>
                <w:szCs w:val="1"/>
                <w:color w:val="auto"/>
              </w:rPr>
            </w:pPr>
          </w:p>
        </w:tc>
      </w:tr>
      <w:tr>
        <w:trPr>
          <w:trHeight w:val="286"/>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Proceeds from CIRM award</w:t>
            </w:r>
          </w:p>
        </w:tc>
        <w:tc>
          <w:tcPr>
            <w:tcW w:w="18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6,908</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2,280</w:t>
            </w:r>
          </w:p>
        </w:tc>
        <w:tc>
          <w:tcPr>
            <w:tcW w:w="0" w:type="dxa"/>
            <w:vAlign w:val="bottom"/>
          </w:tcPr>
          <w:p>
            <w:pPr>
              <w:spacing w:after="0"/>
              <w:rPr>
                <w:sz w:val="1"/>
                <w:szCs w:val="1"/>
                <w:color w:val="auto"/>
              </w:rPr>
            </w:pPr>
          </w:p>
        </w:tc>
      </w:tr>
      <w:tr>
        <w:trPr>
          <w:trHeight w:val="265"/>
        </w:trPr>
        <w:tc>
          <w:tcPr>
            <w:tcW w:w="7100" w:type="dxa"/>
            <w:vAlign w:val="bottom"/>
          </w:tcPr>
          <w:p>
            <w:pPr>
              <w:ind w:left="720"/>
              <w:spacing w:after="0"/>
              <w:rPr>
                <w:sz w:val="20"/>
                <w:szCs w:val="20"/>
                <w:color w:val="auto"/>
              </w:rPr>
            </w:pPr>
            <w:r>
              <w:rPr>
                <w:rFonts w:ascii="Times New Roman" w:cs="Times New Roman" w:eastAsia="Times New Roman" w:hAnsi="Times New Roman"/>
                <w:sz w:val="20"/>
                <w:szCs w:val="20"/>
                <w:color w:val="050505"/>
              </w:rPr>
              <w:t>Net cash provided by financing activities</w:t>
            </w:r>
          </w:p>
        </w:tc>
        <w:tc>
          <w:tcPr>
            <w:tcW w:w="180" w:type="dxa"/>
            <w:vAlign w:val="bottom"/>
            <w:tcBorders>
              <w:bottom w:val="single" w:sz="8" w:color="050505"/>
            </w:tcBorders>
          </w:tcPr>
          <w:p>
            <w:pPr>
              <w:spacing w:after="0"/>
              <w:rPr>
                <w:sz w:val="23"/>
                <w:szCs w:val="23"/>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30,157</w:t>
            </w:r>
          </w:p>
        </w:tc>
        <w:tc>
          <w:tcPr>
            <w:tcW w:w="60" w:type="dxa"/>
            <w:vAlign w:val="bottom"/>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116,675</w:t>
            </w: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050505"/>
              </w:rPr>
              <w:t>Net decrease in cash, cash equivalents and restricted cash</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(23,530)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(7,937)</w:t>
            </w:r>
          </w:p>
        </w:tc>
        <w:tc>
          <w:tcPr>
            <w:tcW w:w="0" w:type="dxa"/>
            <w:vAlign w:val="bottom"/>
          </w:tcPr>
          <w:p>
            <w:pPr>
              <w:spacing w:after="0"/>
              <w:rPr>
                <w:sz w:val="1"/>
                <w:szCs w:val="1"/>
                <w:color w:val="auto"/>
              </w:rPr>
            </w:pPr>
          </w:p>
        </w:tc>
      </w:tr>
      <w:tr>
        <w:trPr>
          <w:trHeight w:val="286"/>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050505"/>
              </w:rPr>
              <w:t>Cash, cash equivalents and restricted cash — beginning of period</w:t>
            </w:r>
          </w:p>
        </w:tc>
        <w:tc>
          <w:tcPr>
            <w:tcW w:w="18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85,510</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10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93,447</w:t>
            </w:r>
          </w:p>
        </w:tc>
        <w:tc>
          <w:tcPr>
            <w:tcW w:w="0" w:type="dxa"/>
            <w:vAlign w:val="bottom"/>
          </w:tcPr>
          <w:p>
            <w:pPr>
              <w:spacing w:after="0"/>
              <w:rPr>
                <w:sz w:val="1"/>
                <w:szCs w:val="1"/>
                <w:color w:val="auto"/>
              </w:rPr>
            </w:pPr>
          </w:p>
        </w:tc>
      </w:tr>
      <w:tr>
        <w:trPr>
          <w:trHeight w:val="245"/>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050505"/>
              </w:rPr>
              <w:t>Cash, cash equivalents and restricted cash —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61,980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85,510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050505"/>
              </w:rPr>
              <w:t>Non-cash operating, investing and financing activities:</w:t>
            </w:r>
          </w:p>
        </w:tc>
        <w:tc>
          <w:tcPr>
            <w:tcW w:w="180" w:type="dxa"/>
            <w:vAlign w:val="bottom"/>
            <w:tcBorders>
              <w:top w:val="single" w:sz="8" w:color="050505"/>
              <w:bottom w:val="single" w:sz="8" w:color="050505"/>
            </w:tcBorders>
          </w:tcPr>
          <w:p>
            <w:pPr>
              <w:spacing w:after="0" w:line="20" w:lineRule="exact"/>
              <w:rPr>
                <w:sz w:val="1"/>
                <w:szCs w:val="1"/>
                <w:color w:val="auto"/>
              </w:rPr>
            </w:pPr>
          </w:p>
        </w:tc>
        <w:tc>
          <w:tcPr>
            <w:tcW w:w="11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100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00" w:type="dxa"/>
            <w:vAlign w:val="bottom"/>
            <w:vMerge w:val="continue"/>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2,409</w:t>
            </w:r>
          </w:p>
        </w:tc>
        <w:tc>
          <w:tcPr>
            <w:tcW w:w="0" w:type="dxa"/>
            <w:vAlign w:val="bottom"/>
          </w:tcPr>
          <w:p>
            <w:pPr>
              <w:spacing w:after="0"/>
              <w:rPr>
                <w:sz w:val="1"/>
                <w:szCs w:val="1"/>
                <w:color w:val="auto"/>
              </w:rPr>
            </w:pPr>
          </w:p>
        </w:tc>
      </w:tr>
      <w:tr>
        <w:trPr>
          <w:trHeight w:val="288"/>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Right-of-use asset obtained in exchange for lease liability</w:t>
            </w:r>
          </w:p>
        </w:tc>
        <w:tc>
          <w:tcPr>
            <w:tcW w:w="18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240"/>
              <w:spacing w:after="0" w:line="225" w:lineRule="exact"/>
              <w:rPr>
                <w:sz w:val="20"/>
                <w:szCs w:val="20"/>
                <w:color w:val="auto"/>
              </w:rPr>
            </w:pPr>
            <w:r>
              <w:rPr>
                <w:rFonts w:ascii="Times New Roman" w:cs="Times New Roman" w:eastAsia="Times New Roman" w:hAnsi="Times New Roman"/>
                <w:sz w:val="20"/>
                <w:szCs w:val="20"/>
                <w:color w:val="050505"/>
              </w:rPr>
              <w:t>Property and equipment purchases in accounts payable and accrued and other current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107</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64</w:t>
            </w:r>
          </w:p>
        </w:tc>
        <w:tc>
          <w:tcPr>
            <w:tcW w:w="0" w:type="dxa"/>
            <w:vAlign w:val="bottom"/>
          </w:tcPr>
          <w:p>
            <w:pPr>
              <w:spacing w:after="0"/>
              <w:rPr>
                <w:sz w:val="1"/>
                <w:szCs w:val="1"/>
                <w:color w:val="auto"/>
              </w:rPr>
            </w:pPr>
          </w:p>
        </w:tc>
      </w:tr>
      <w:tr>
        <w:trPr>
          <w:trHeight w:val="258"/>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liabilities</w:t>
            </w:r>
          </w:p>
        </w:tc>
        <w:tc>
          <w:tcPr>
            <w:tcW w:w="18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Supplemental disclosure:</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10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Cash paid for amounts included in the measurement of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(12,921)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-1036955</wp:posOffset>
            </wp:positionV>
            <wp:extent cx="1720850"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8">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050505"/>
        </w:rPr>
        <w:t>The accompanying notes are an integral part of these consolidated financial statements.</w:t>
      </w:r>
    </w:p>
    <w:p>
      <w:pPr>
        <w:sectPr>
          <w:pgSz w:w="12240" w:h="15840" w:orient="portrait"/>
          <w:cols w:equalWidth="0" w:num="1">
            <w:col w:w="9760"/>
          </w:cols>
          <w:pgMar w:left="1260" w:top="49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050505"/>
        </w:rPr>
        <w:t>109</w:t>
      </w:r>
    </w:p>
    <w:p>
      <w:pPr>
        <w:sectPr>
          <w:pgSz w:w="12240" w:h="15840" w:orient="portrait"/>
          <w:cols w:equalWidth="0" w:num="1">
            <w:col w:w="9760"/>
          </w:cols>
          <w:pgMar w:left="1260" w:top="498" w:right="122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050505"/>
        </w:rPr>
        <w:t>ALLOGENE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50505"/>
        </w:rPr>
        <w:t>Notes to Consolidated Financial Statements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1. Description of Business and Summary of Significant Accounting Policies</w:t>
      </w:r>
    </w:p>
    <w:p>
      <w:pPr>
        <w:spacing w:after="0" w:line="137"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Allogene Therapeutics, Inc. (the Company or Allogene) was incorporated on November 30, 2017 in the State of Delaware and is headquartered in South San Francisco, California. Allogene is a clinical stage immuno-oncology company pioneering the development of genetically engineered allogeneic T cell product candidates for the treatment of cancer and autoimmune diseases. The Company is developing a pipeline of “off-the-shelf” T cell product candidates that are designed to target and kill cancer cells in patients or eliminate pathogenic autoreactive cells in patients with autoimmune disorders. The Company’s engineered T cells are allogeneic, meaning they are derived from healthy donors for intended use in any patient, rather than from an individual patient for that patient’s use, as in the case of autologous T cells. The Company believes this key difference will enable it to deliver readily available treatments faster, more reliably, at greater scale, and to more patients.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Public Offerings</w:t>
      </w:r>
    </w:p>
    <w:p>
      <w:pPr>
        <w:spacing w:after="0" w:line="13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In November 2019, the Company entered into a sales agreement with Cowen and Company, LLC (Cowen), as amended on November 2, 2022 and November 2, 2023, under which the Company may from time to time issue and sell shares of its common stock through Cowen in at-the-market (ATM) offerings. The aggregate compensation payable to Cowen as the Company's sales agent equals up to 3.0% of the gross sales price of the shares sold through Cowen pursuant to the sales agreement. The specified dollar limit on the amount of common stock that may be sold under the sales agreement was removed pursuant to the November 2, 2023 amendment to the sales agreement. During the years ended December 31, 2025 and 2024, the Company sold an aggregate of 13,430,193 and 2,539,134 shares of common stock in ATM offerings resulting in net proceeds of $22.4 million and $6.8 million,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Registered Offering</w:t>
      </w:r>
    </w:p>
    <w:p>
      <w:pPr>
        <w:spacing w:after="0" w:line="139"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On May 13, 2024, the Company entered into (i) an underwriting agreement (Underwriting Agreement) with Goldman Sachs &amp; Co. LLC (Underwriter) and (ii) a Securities Purchase Agreement (Securities Purchase Agreement) with certain members of the Company’s Board of Directors and executive officers or their respective affiliates (Purchasers), pursuant to which the Company sold and issued to the Underwriter and the Purchasers an aggregate of 37,931,035 shares of common stock of the Company at a purchase price of $2.90 per share, in a registered offering transaction (Registered Offering) for aggregate gross proceeds of $110.0 million, before deducting the underwriting discount and commissions and estimated offering expenses payable by the Company. The Registered Offering closed on May 16, 2024. The aggregate fee payable by the Company to the Underwriter was $4.7 million, plus the reimbursement of certain expenses. The Purchasers purchased an aggregate of 1,034,484 shares of common stock of the Company in the Registered Offering.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Need for Additional Capital</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The Company has sustained operating losses and expects to continue to generate operating losses for the foreseeable future. The Company’s ultimate success depends on the outcome of its research and development activities as well as the ability to commercialize the Company’s product candidates. The Company had cash, cash equivalents and investments of $258.3 million as of December 31, 2025. Since inception through December 31, 2025, the Company has incurred cumulative net losses of $2,010.7 million. Management expects to incur additional losses in the future to fund its operations and conduct product research and development and recognizes the need to raise additional capital to fully implement its business plan.</w:t>
      </w:r>
    </w:p>
    <w:p>
      <w:pPr>
        <w:spacing w:after="0" w:line="88" w:lineRule="exact"/>
        <w:rPr>
          <w:sz w:val="20"/>
          <w:szCs w:val="20"/>
          <w:color w:val="auto"/>
        </w:rPr>
      </w:pPr>
    </w:p>
    <w:p>
      <w:pPr>
        <w:ind w:firstLine="720"/>
        <w:spacing w:after="0" w:line="262" w:lineRule="auto"/>
        <w:rPr>
          <w:sz w:val="20"/>
          <w:szCs w:val="20"/>
          <w:color w:val="auto"/>
        </w:rPr>
      </w:pPr>
      <w:r>
        <w:rPr>
          <w:rFonts w:ascii="Times New Roman" w:cs="Times New Roman" w:eastAsia="Times New Roman" w:hAnsi="Times New Roman"/>
          <w:sz w:val="20"/>
          <w:szCs w:val="20"/>
          <w:color w:val="050505"/>
        </w:rPr>
        <w:t>The Company intends to raise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The Company expects that its cash and cash equivalents and investments will be sufficient to fund its operations for at least the next 12 months from the date the Company’s Annual Report on Form 10-K is filed with the Securities and Exchange Commission (SEC).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Basis of Presentation</w:t>
      </w:r>
    </w:p>
    <w:p>
      <w:pPr>
        <w:spacing w:after="0" w:line="139" w:lineRule="exact"/>
        <w:rPr>
          <w:sz w:val="20"/>
          <w:szCs w:val="20"/>
          <w:color w:val="auto"/>
        </w:rPr>
      </w:pPr>
    </w:p>
    <w:p>
      <w:pPr>
        <w:ind w:right="380" w:firstLine="720"/>
        <w:spacing w:after="0" w:line="281" w:lineRule="auto"/>
        <w:rPr>
          <w:sz w:val="20"/>
          <w:szCs w:val="20"/>
          <w:color w:val="auto"/>
        </w:rPr>
      </w:pPr>
      <w:r>
        <w:rPr>
          <w:rFonts w:ascii="Times New Roman" w:cs="Times New Roman" w:eastAsia="Times New Roman" w:hAnsi="Times New Roman"/>
          <w:sz w:val="20"/>
          <w:szCs w:val="20"/>
          <w:color w:val="050505"/>
        </w:rPr>
        <w:t>The accompanying consolidated financial statements have been prepared in accordance with accounting principles generally accepted in the United States of America (GAAP).</w:t>
      </w:r>
    </w:p>
    <w:p>
      <w:pPr>
        <w:spacing w:after="0" w:line="61" w:lineRule="exact"/>
        <w:rPr>
          <w:sz w:val="20"/>
          <w:szCs w:val="20"/>
          <w:color w:val="auto"/>
        </w:rPr>
      </w:pPr>
    </w:p>
    <w:p>
      <w:pPr>
        <w:ind w:right="120" w:firstLine="720"/>
        <w:spacing w:after="0" w:line="309" w:lineRule="auto"/>
        <w:rPr>
          <w:sz w:val="20"/>
          <w:szCs w:val="20"/>
          <w:color w:val="auto"/>
        </w:rPr>
      </w:pPr>
      <w:r>
        <w:rPr>
          <w:rFonts w:ascii="Times New Roman" w:cs="Times New Roman" w:eastAsia="Times New Roman" w:hAnsi="Times New Roman"/>
          <w:sz w:val="19"/>
          <w:szCs w:val="19"/>
          <w:color w:val="050505"/>
        </w:rPr>
        <w:t>In June 2020, the Company formed a wholly-owned, Netherlands-based subsidiary, Allogene Therapeutics, B.V., to help prepare for and assist with the Company's activities in Europe. The consolidated financial statements include the accounts</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110</w:t>
      </w:r>
    </w:p>
    <w:p>
      <w:pPr>
        <w:sectPr>
          <w:pgSz w:w="12240" w:h="15840" w:orient="portrait"/>
          <w:cols w:equalWidth="0" w:num="1">
            <w:col w:w="10240"/>
          </w:cols>
          <w:pgMar w:left="1000" w:top="786" w:right="1000" w:bottom="0" w:gutter="0" w:footer="0" w:header="0"/>
          <w:type w:val="continuous"/>
        </w:sectPr>
      </w:pPr>
    </w:p>
    <w:bookmarkStart w:id="114" w:name="page115"/>
    <w:bookmarkEnd w:id="114"/>
    <w:p>
      <w:pPr>
        <w:ind w:right="640"/>
        <w:spacing w:after="0" w:line="281" w:lineRule="auto"/>
        <w:rPr>
          <w:sz w:val="20"/>
          <w:szCs w:val="20"/>
          <w:color w:val="auto"/>
        </w:rPr>
      </w:pPr>
      <w:r>
        <w:rPr>
          <w:rFonts w:ascii="Times New Roman" w:cs="Times New Roman" w:eastAsia="Times New Roman" w:hAnsi="Times New Roman"/>
          <w:sz w:val="20"/>
          <w:szCs w:val="20"/>
          <w:color w:val="050505"/>
        </w:rPr>
        <w:t>of the Company and its wholly-owned subsidiary, Allogene Therapeutics, B.V. All material intercompany balances and transactions have been eliminated during consolidation. The subsidiary was dissolved on January 3,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Use of Estimates</w:t>
      </w:r>
    </w:p>
    <w:p>
      <w:pPr>
        <w:spacing w:after="0" w:line="139" w:lineRule="exact"/>
        <w:rPr>
          <w:sz w:val="20"/>
          <w:szCs w:val="20"/>
          <w:color w:val="auto"/>
        </w:rPr>
      </w:pPr>
    </w:p>
    <w:p>
      <w:pPr>
        <w:ind w:right="160" w:firstLine="720"/>
        <w:spacing w:after="0" w:line="254" w:lineRule="auto"/>
        <w:rPr>
          <w:sz w:val="20"/>
          <w:szCs w:val="20"/>
          <w:color w:val="auto"/>
        </w:rPr>
      </w:pPr>
      <w:r>
        <w:rPr>
          <w:rFonts w:ascii="Times New Roman" w:cs="Times New Roman" w:eastAsia="Times New Roman" w:hAnsi="Times New Roman"/>
          <w:sz w:val="20"/>
          <w:szCs w:val="20"/>
          <w:color w:val="050505"/>
        </w:rPr>
        <w:t>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period. Significant estimates and assumptions made in the accompanying consolidated financial statements include but are not limited to the fair value of common stock, the fair value of stock options, the fair value of investments, income tax uncertainties, the CIRM (as defined below) award liability and certain accruals. The Company evaluates its estimates and assumptions on an ongoing basis using historical experience and other factors and adjusts those estimates and assumptions when facts and circumstances change. Actual results could differ from those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Concentration of Credit and other Risks and Uncertainties</w:t>
      </w:r>
    </w:p>
    <w:p>
      <w:pPr>
        <w:spacing w:after="0" w:line="139"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050505"/>
        </w:rPr>
        <w:t>Financial instruments, which potentially subject the Company to significant concentrations of credit risk, consist primarily of cash and cash equivalents and investments. The primary objectives for the Company’s investment portfolio are the preservation of capital and the maintenance of liquidity. The Company does not enter into any investment transaction for trading or speculative purposes.</w:t>
      </w:r>
    </w:p>
    <w:p>
      <w:pPr>
        <w:spacing w:after="0" w:line="83" w:lineRule="exact"/>
        <w:rPr>
          <w:sz w:val="20"/>
          <w:szCs w:val="20"/>
          <w:color w:val="auto"/>
        </w:rPr>
      </w:pPr>
    </w:p>
    <w:p>
      <w:pPr>
        <w:ind w:right="160" w:firstLine="720"/>
        <w:spacing w:after="0" w:line="271" w:lineRule="auto"/>
        <w:rPr>
          <w:sz w:val="20"/>
          <w:szCs w:val="20"/>
          <w:color w:val="auto"/>
        </w:rPr>
      </w:pPr>
      <w:r>
        <w:rPr>
          <w:rFonts w:ascii="Times New Roman" w:cs="Times New Roman" w:eastAsia="Times New Roman" w:hAnsi="Times New Roman"/>
          <w:sz w:val="19"/>
          <w:szCs w:val="19"/>
          <w:color w:val="050505"/>
        </w:rPr>
        <w:t>The Company’s investment policy limits investments to certain types of instruments such as certificates of deposit, commercial paper, money market instruments, asset-backed securities, obligations issued by the U.S. government and U.S. government agencies as well as corporate debt securities, and places restrictions on maturities and concentration by type and issuer. The Company maintains cash balances in excess of amounts insured by the FDIC and concentrated within a limited number of financial institutions. The accounts are monitored by management and management believes that the financial institutions are financially sound, and, accordingly, minimal credit risk exists with respect to these financial institutions. As of December 31, 2025 and 2024, the Company has not experienced any significant credit losses in such accounts or investments.</w:t>
      </w:r>
    </w:p>
    <w:p>
      <w:pPr>
        <w:spacing w:after="0" w:line="73"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The Company is subject to a number of risks common for early-stage biopharmaceutical companies including, but not limited to, the ability to achieve any clinical or commercial success of its product candidates, ability to obtain regulatory approval of its product candidates, the need for substantial additional financing to achieve its goals, uncertainty of broad adoption of its approved products, if any, by physicians and patients, significant competition, dependency on the Company's contract manufacturing organization, and ability to manufacture.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Segments</w:t>
      </w:r>
    </w:p>
    <w:p>
      <w:pPr>
        <w:spacing w:after="0" w:line="139"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050505"/>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The Company’s method for measuring profitability on a reportable segment basis is net profit or loss. The Company's CODM does not evaluate operating segments using asset or liability information. Additional significant segment expenses are provided on a quarterly basis to the CODM to support the CODM’s decision making process. Refer to Note 14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Cash, Cash Equivalents and Restricted Cash</w:t>
      </w:r>
    </w:p>
    <w:p>
      <w:pPr>
        <w:spacing w:after="0" w:line="139"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050505"/>
        </w:rPr>
        <w:t>The Company considers all highly liquid investments purchased with original maturities of three months or less from the purchase date to be cash equivalents. Cash equivalents consist primarily of amounts invested in bank money market accounts and money market mutual funds.</w:t>
      </w:r>
    </w:p>
    <w:p>
      <w:pPr>
        <w:spacing w:after="0" w:line="75"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050505"/>
        </w:rPr>
        <w:t>The Company has issued letters of credit under separate lease and other agreements which have been collateralized by restricted cash. This cash is classified as long-term restricted cash on the accompanying consolidated balance sheets based on the terms of the underlying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Investments</w:t>
      </w:r>
    </w:p>
    <w:p>
      <w:pPr>
        <w:spacing w:after="0" w:line="139" w:lineRule="exact"/>
        <w:rPr>
          <w:sz w:val="20"/>
          <w:szCs w:val="20"/>
          <w:color w:val="auto"/>
        </w:rPr>
      </w:pPr>
    </w:p>
    <w:p>
      <w:pPr>
        <w:ind w:firstLine="720"/>
        <w:spacing w:after="0" w:line="272" w:lineRule="auto"/>
        <w:rPr>
          <w:sz w:val="20"/>
          <w:szCs w:val="20"/>
          <w:color w:val="auto"/>
        </w:rPr>
      </w:pPr>
      <w:r>
        <w:rPr>
          <w:rFonts w:ascii="Times New Roman" w:cs="Times New Roman" w:eastAsia="Times New Roman" w:hAnsi="Times New Roman"/>
          <w:sz w:val="19"/>
          <w:szCs w:val="19"/>
          <w:color w:val="050505"/>
        </w:rPr>
        <w:t>Investments are available-for-sale and are carried at estimated fair value. The Company’s valuations of marketable securities are generally derived from independent pricing services based upon quoted prices in active markets for similar securities, with prices adjusted for yield and number of days to maturity, or based on industry models using data inputs, such as interest rates and prices that can be directly observed or corroborated in active markets. Management determines the appropriate classification of its investments in debt securities at the time of purchase and at the end of each reporting period. Investments with original maturities of less than three months at the date of purchase are classified as cash and cash equivalents. Investments</w:t>
      </w:r>
    </w:p>
    <w:p>
      <w:pPr>
        <w:sectPr>
          <w:pgSz w:w="12240" w:h="15840" w:orient="portrait"/>
          <w:cols w:equalWidth="0" w:num="1">
            <w:col w:w="10240"/>
          </w:cols>
          <w:pgMar w:left="1000" w:top="793" w:right="1000" w:bottom="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111</w:t>
      </w:r>
    </w:p>
    <w:p>
      <w:pPr>
        <w:sectPr>
          <w:pgSz w:w="12240" w:h="15840" w:orient="portrait"/>
          <w:cols w:equalWidth="0" w:num="1">
            <w:col w:w="10240"/>
          </w:cols>
          <w:pgMar w:left="1000" w:top="793" w:right="1000" w:bottom="0" w:gutter="0" w:footer="0" w:header="0"/>
          <w:type w:val="continuous"/>
        </w:sectPr>
      </w:pPr>
    </w:p>
    <w:bookmarkStart w:id="115" w:name="page116"/>
    <w:bookmarkEnd w:id="115"/>
    <w:p>
      <w:pPr>
        <w:ind w:right="140"/>
        <w:spacing w:after="0" w:line="281" w:lineRule="auto"/>
        <w:rPr>
          <w:sz w:val="20"/>
          <w:szCs w:val="20"/>
          <w:color w:val="auto"/>
        </w:rPr>
      </w:pPr>
      <w:r>
        <w:rPr>
          <w:rFonts w:ascii="Times New Roman" w:cs="Times New Roman" w:eastAsia="Times New Roman" w:hAnsi="Times New Roman"/>
          <w:sz w:val="20"/>
          <w:szCs w:val="20"/>
          <w:color w:val="050505"/>
        </w:rPr>
        <w:t>with original maturities beyond three months at the date of purchase and which mature at, or less than twelve months from the consolidated balance sheet date are classified as current.</w:t>
      </w:r>
    </w:p>
    <w:p>
      <w:pPr>
        <w:spacing w:after="0" w:line="6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Unrealized gains and losses are excluded from earnings and are reported as a component of other comprehensive income.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Additionally, the Company assesses whether it has plans to sell the security or it is more likely than not it will be required to sell any available-for-sale securities before recovery of its amortized cost basis. Realized gains and losses and declines in fair value considered to be other than temporary, if any, on available-for-sale securities are included in interest and other income, net. The cost of investments sold is based on the specific-identification method. Interest income on investments is included in interest and other income,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Fair Value Measurement</w:t>
      </w:r>
    </w:p>
    <w:p>
      <w:pPr>
        <w:spacing w:after="0" w:line="139" w:lineRule="exact"/>
        <w:rPr>
          <w:sz w:val="20"/>
          <w:szCs w:val="20"/>
          <w:color w:val="auto"/>
        </w:rPr>
      </w:pPr>
    </w:p>
    <w:p>
      <w:pPr>
        <w:ind w:right="240" w:firstLine="720"/>
        <w:spacing w:after="0" w:line="255" w:lineRule="auto"/>
        <w:rPr>
          <w:sz w:val="20"/>
          <w:szCs w:val="20"/>
          <w:color w:val="auto"/>
        </w:rPr>
      </w:pPr>
      <w:r>
        <w:rPr>
          <w:rFonts w:ascii="Times New Roman" w:cs="Times New Roman" w:eastAsia="Times New Roman" w:hAnsi="Times New Roman"/>
          <w:sz w:val="20"/>
          <w:szCs w:val="20"/>
          <w:color w:val="050505"/>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90" w:lineRule="exact"/>
        <w:rPr>
          <w:sz w:val="20"/>
          <w:szCs w:val="20"/>
          <w:color w:val="auto"/>
        </w:rPr>
      </w:pPr>
    </w:p>
    <w:p>
      <w:pPr>
        <w:ind w:right="80" w:firstLine="720"/>
        <w:spacing w:after="0" w:line="281" w:lineRule="auto"/>
        <w:rPr>
          <w:sz w:val="20"/>
          <w:szCs w:val="20"/>
          <w:color w:val="auto"/>
        </w:rPr>
      </w:pPr>
      <w:r>
        <w:rPr>
          <w:rFonts w:ascii="Times New Roman" w:cs="Times New Roman" w:eastAsia="Times New Roman" w:hAnsi="Times New Roman"/>
          <w:sz w:val="20"/>
          <w:szCs w:val="20"/>
          <w:color w:val="050505"/>
        </w:rPr>
        <w:t>Level 1—Observable inputs such as unadjusted, quoted prices in active markets for identical assets or liabilities at the measurement date.</w:t>
      </w:r>
    </w:p>
    <w:p>
      <w:pPr>
        <w:spacing w:after="0" w:line="61"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050505"/>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75" w:lineRule="exact"/>
        <w:rPr>
          <w:sz w:val="20"/>
          <w:szCs w:val="20"/>
          <w:color w:val="auto"/>
        </w:rPr>
      </w:pPr>
    </w:p>
    <w:p>
      <w:pPr>
        <w:ind w:right="440" w:firstLine="720"/>
        <w:spacing w:after="0" w:line="281" w:lineRule="auto"/>
        <w:rPr>
          <w:sz w:val="20"/>
          <w:szCs w:val="20"/>
          <w:color w:val="auto"/>
        </w:rPr>
      </w:pPr>
      <w:r>
        <w:rPr>
          <w:rFonts w:ascii="Times New Roman" w:cs="Times New Roman" w:eastAsia="Times New Roman" w:hAnsi="Times New Roman"/>
          <w:sz w:val="20"/>
          <w:szCs w:val="20"/>
          <w:color w:val="050505"/>
        </w:rPr>
        <w:t>Level 3— Unobservable inputs that are supported by little or no market activity and that are significant to the fair value of the assets or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Property and Equipment, Net</w:t>
      </w:r>
    </w:p>
    <w:p>
      <w:pPr>
        <w:spacing w:after="0" w:line="139" w:lineRule="exact"/>
        <w:rPr>
          <w:sz w:val="20"/>
          <w:szCs w:val="20"/>
          <w:color w:val="auto"/>
        </w:rPr>
      </w:pPr>
    </w:p>
    <w:p>
      <w:pPr>
        <w:ind w:right="220" w:firstLine="720"/>
        <w:spacing w:after="0" w:line="278" w:lineRule="auto"/>
        <w:rPr>
          <w:sz w:val="20"/>
          <w:szCs w:val="20"/>
          <w:color w:val="auto"/>
        </w:rPr>
      </w:pPr>
      <w:r>
        <w:rPr>
          <w:rFonts w:ascii="Times New Roman" w:cs="Times New Roman" w:eastAsia="Times New Roman" w:hAnsi="Times New Roman"/>
          <w:sz w:val="19"/>
          <w:szCs w:val="19"/>
          <w:color w:val="050505"/>
        </w:rPr>
        <w:t>Property and equipment are stated at cost less accumulated depreciation and amortization. Depreciation is computed on a straight-line basis over the estimated useful lives of the related assets, generally three to seven years. Maintenance and repairs are charged to operations as incurred. Upon sale or retirement of assets, the cost and related accumulated depreciation are removed from the consolidated balance sheets and the resulting gain or loss is reflected in other expense.</w:t>
      </w:r>
    </w:p>
    <w:p>
      <w:pPr>
        <w:spacing w:after="0" w:line="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050505"/>
        </w:rPr>
        <w:t>The Company has determined the estimated life of assets to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185420</wp:posOffset>
            </wp:positionV>
            <wp:extent cx="6530975" cy="2063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9">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050505"/>
              </w:rPr>
              <w:t>Laboratory equipment</w:t>
            </w:r>
          </w:p>
        </w:tc>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 years</w:t>
            </w:r>
          </w:p>
        </w:tc>
      </w:tr>
      <w:tr>
        <w:trPr>
          <w:trHeight w:val="285"/>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050505"/>
              </w:rPr>
              <w:t>Computer equipment and purchased software</w:t>
            </w:r>
          </w:p>
        </w:tc>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3 - 5 years</w:t>
            </w:r>
          </w:p>
        </w:tc>
      </w:tr>
      <w:tr>
        <w:trPr>
          <w:trHeight w:val="285"/>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050505"/>
              </w:rPr>
              <w:t>Fixtures and furniture</w:t>
            </w:r>
          </w:p>
        </w:tc>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 years</w:t>
            </w:r>
          </w:p>
        </w:tc>
      </w:tr>
      <w:tr>
        <w:trPr>
          <w:trHeight w:val="285"/>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050505"/>
              </w:rPr>
              <w:t>Leasehold improvements</w:t>
            </w:r>
          </w:p>
        </w:tc>
        <w:tc>
          <w:tcPr>
            <w:tcW w:w="46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Shorter of lease term or useful life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-367030</wp:posOffset>
            </wp:positionV>
            <wp:extent cx="6530975" cy="206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0">
                      <a:extLst>
                        <a:ext uri="{28A0092B-C50C-407E-A947-70E740481C1C}"/>
                      </a:extLst>
                    </a:blip>
                    <a:srcRect/>
                    <a:stretch>
                      <a:fillRect/>
                    </a:stretch>
                  </pic:blipFill>
                  <pic:spPr bwMode="auto">
                    <a:xfrm>
                      <a:off x="0" y="0"/>
                      <a:ext cx="6530975" cy="206375"/>
                    </a:xfrm>
                    <a:prstGeom prst="rect">
                      <a:avLst/>
                    </a:prstGeom>
                    <a:noFill/>
                  </pic:spPr>
                </pic:pic>
              </a:graphicData>
            </a:graphic>
          </wp:anchor>
        </w:drawing>
      </w:r>
    </w:p>
    <w:p>
      <w:pPr>
        <w:spacing w:after="0" w:line="15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The Company capitalizes implementation costs associated with internal use cloud computing arrangements in alignment with ASC 350-40 internal-use software. Costs incurred in preliminary project stage and post implementation stage are expensed as incurred. Costs incurred during the application development stage of implementation are capitalized in other long-term assets on the consolidated balance sheets. Capitalized implementation costs from cloud computing arrangements are amortized over the term of the cloud-based service arrangement.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California Institute for Regenerative Medicine (CIRM) Award</w:t>
      </w:r>
    </w:p>
    <w:p>
      <w:pPr>
        <w:spacing w:after="0" w:line="139" w:lineRule="exact"/>
        <w:rPr>
          <w:sz w:val="20"/>
          <w:szCs w:val="20"/>
          <w:color w:val="auto"/>
        </w:rPr>
      </w:pPr>
    </w:p>
    <w:p>
      <w:pPr>
        <w:ind w:right="60" w:firstLine="900"/>
        <w:spacing w:after="0" w:line="256" w:lineRule="auto"/>
        <w:rPr>
          <w:sz w:val="20"/>
          <w:szCs w:val="20"/>
          <w:color w:val="auto"/>
        </w:rPr>
      </w:pPr>
      <w:r>
        <w:rPr>
          <w:rFonts w:ascii="Times New Roman" w:cs="Times New Roman" w:eastAsia="Times New Roman" w:hAnsi="Times New Roman"/>
          <w:sz w:val="20"/>
          <w:szCs w:val="20"/>
          <w:color w:val="050505"/>
        </w:rPr>
        <w:t>Accounting for the CIRM award does not fall under ASC 606, Revenue from Contracts and Customers, as CIRM does not meet the definition of a customer. No income associated with the CIRM award will be recognized until it is confirmed with CIRM that the award does not require repayment. Until then such award will be recognized, along with any interest, as a long-term liability upon cash receipt. Any estimated interest accrued for the CIRM award received is recognized as interest expense in the consolidated statements of operations. The Company will not recognize a receivable of future awards until it is approved by CIRM. Refer to Note 5 below for more details.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112</w:t>
      </w:r>
    </w:p>
    <w:p>
      <w:pPr>
        <w:sectPr>
          <w:pgSz w:w="12240" w:h="15840" w:orient="portrait"/>
          <w:cols w:equalWidth="0" w:num="1">
            <w:col w:w="10220"/>
          </w:cols>
          <w:pgMar w:left="1000" w:top="793" w:right="102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i w:val="1"/>
          <w:iCs w:val="1"/>
          <w:color w:val="050505"/>
        </w:rPr>
        <w:t>Leases</w:t>
      </w:r>
    </w:p>
    <w:p>
      <w:pPr>
        <w:spacing w:after="0" w:line="139"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For its long-term operating leases, the Company recognizes a right-of-use asset and a lease liability on its consolidated balance sheets. The lease liability is determined as the present value of future lease payments using an estimated rate of interest that the Company would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w:t>
      </w:r>
    </w:p>
    <w:p>
      <w:pPr>
        <w:spacing w:after="0" w:line="8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050505"/>
        </w:rPr>
        <w:t>Rent expense for the operating lease is recognized on a straight-line basis over the lease term and is included in operating expenses on the consolidated statements of operations and comprehensive loss. Variable lease payments include lease operating expenses.</w:t>
      </w:r>
    </w:p>
    <w:p>
      <w:pPr>
        <w:spacing w:after="0" w:line="75"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The Company elected to exclude from its consolidated balance sheets recognition of leases having a term of 12 months or less (short-term leases) and elected to not separate lease components and non-lease components for its long-term real-estate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Equity Method Investments</w:t>
      </w:r>
    </w:p>
    <w:p>
      <w:pPr>
        <w:spacing w:after="0" w:line="136"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The Company uses the equity method of accounting for equity investments in companies if the investment provides the ability to exercise significant influence, but not control, over operating and financial policies of the investee. The Company's proportionate share of the net income or loss of these companies is included in other expenses, net in the consolidated statement of operations. Judgment regarding the level of influence over each equity method investment includes considering key factors such as the Company's ownership interest, representation on the board of directors, participation in policy-making decisions and material purchase and sale transactions.</w:t>
      </w:r>
    </w:p>
    <w:p>
      <w:pPr>
        <w:spacing w:after="0" w:line="88"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The Company evaluates equity method investments for impairment whenever events or changes in circumstances indicate that the carrying amount of the investment might not be recoverable. Factors considered when reviewing an equity method investment for impairment include the length of time (duration) and the extent (severity) to which the fair value of the equity method investment has been less than cost, the investee’s financial condition and near-term prospects and the intent and ability to hold the investment for a period of time sufficient to allow for anticipated recovery. An impairment that is other-than-temporary is recognized in the period identified.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Variable Interest Entities</w:t>
      </w:r>
    </w:p>
    <w:p>
      <w:pPr>
        <w:spacing w:after="0" w:line="139"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For entities in which the Company has variable interests, the Company focuses on identifying if one of the entities is the primary beneficiary through having the power to direct the activities that most significantly impact the variable interest entity’s economic performance and having the obligation to absorb losses or the right to receive benefits from the variable interest entity. If the Company is the primary beneficiary of a variable interest entity, the assets, liabilities, and results of operations of the variable interest entity will be included in the Company’s consolidated financial statements. The Company did not consolidate any variable interest entities in any of the periods presented because the Company determined that it was not the primary beneficiary.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Accrued Research and Development Costs</w:t>
      </w:r>
    </w:p>
    <w:p>
      <w:pPr>
        <w:spacing w:after="0" w:line="139"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050505"/>
        </w:rPr>
        <w:t>The Company records accrued liabilities for estimated costs of research and development activities conducted by collaboration partners and third-party service providers, which include the conduct of preclinical studies and clinical trials, and contract manufacturing activities. The Company records the estimated costs of research and development activities based upon the estimated amount of services provided but not yet invoiced and includes these costs in accrued and other current liabilities on the consolidated balance sheets and within research and development expenses on the consolidated statements of operations and comprehensive loss.</w:t>
      </w:r>
    </w:p>
    <w:p>
      <w:pPr>
        <w:spacing w:after="0" w:line="88"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The Company accrues for these costs based on factors such as estimates of the work completed and in accordance with agreements established with its collaboration partners and third-party service providers. The Company makes significant judgments and estimates in determining the accrued liabilities balance at the end of each reporting period. As actual costs become known, the Company adjusts its accrued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Income Taxes</w:t>
      </w:r>
    </w:p>
    <w:p>
      <w:pPr>
        <w:spacing w:after="0" w:line="139"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19"/>
          <w:szCs w:val="19"/>
          <w:color w:val="050505"/>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113</w:t>
      </w:r>
    </w:p>
    <w:p>
      <w:pPr>
        <w:sectPr>
          <w:pgSz w:w="12240" w:h="15840" w:orient="portrait"/>
          <w:cols w:equalWidth="0" w:num="1">
            <w:col w:w="10260"/>
          </w:cols>
          <w:pgMar w:left="1000" w:top="784" w:right="980" w:bottom="0" w:gutter="0" w:footer="0" w:header="0"/>
          <w:type w:val="continuous"/>
        </w:sectPr>
      </w:pPr>
    </w:p>
    <w:bookmarkStart w:id="117" w:name="page118"/>
    <w:bookmarkEnd w:id="117"/>
    <w:p>
      <w:pPr>
        <w:ind w:right="640"/>
        <w:spacing w:after="0" w:line="309" w:lineRule="auto"/>
        <w:rPr>
          <w:sz w:val="20"/>
          <w:szCs w:val="20"/>
          <w:color w:val="auto"/>
        </w:rPr>
      </w:pPr>
      <w:r>
        <w:rPr>
          <w:rFonts w:ascii="Times New Roman" w:cs="Times New Roman" w:eastAsia="Times New Roman" w:hAnsi="Times New Roman"/>
          <w:sz w:val="19"/>
          <w:szCs w:val="19"/>
          <w:color w:val="050505"/>
        </w:rPr>
        <w:t>more likely than not that some portion or all of a deferred tax asset will not be realized. Due to the Company’s historical operating performance and net losses, the net deferred tax assets have been fully offset by a valuation allowance.</w:t>
      </w:r>
    </w:p>
    <w:p>
      <w:pPr>
        <w:spacing w:after="0" w:line="3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the provision for income taxes.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Stock-Based Compensation</w:t>
      </w:r>
    </w:p>
    <w:p>
      <w:pPr>
        <w:spacing w:after="0" w:line="139" w:lineRule="exact"/>
        <w:rPr>
          <w:sz w:val="20"/>
          <w:szCs w:val="20"/>
          <w:color w:val="auto"/>
        </w:rPr>
      </w:pPr>
    </w:p>
    <w:p>
      <w:pPr>
        <w:ind w:right="40" w:firstLine="720"/>
        <w:spacing w:after="0" w:line="275" w:lineRule="auto"/>
        <w:rPr>
          <w:sz w:val="20"/>
          <w:szCs w:val="20"/>
          <w:color w:val="auto"/>
        </w:rPr>
      </w:pPr>
      <w:r>
        <w:rPr>
          <w:rFonts w:ascii="Times New Roman" w:cs="Times New Roman" w:eastAsia="Times New Roman" w:hAnsi="Times New Roman"/>
          <w:sz w:val="19"/>
          <w:szCs w:val="19"/>
          <w:color w:val="050505"/>
        </w:rPr>
        <w:t>The Company measures its stock-based awards granted to employees, consultants and directors based on the estimated fair values of the awards and recognizes the compensation over the requisite service period. The Company uses the Black-Scholes option-pricing model, the lattice option pricing model or Monte Carlo simulation to estimate the fair value of its stock-based awards. Stock-based compensation is recognized using the straight-line method. As the stock compensation expense is based on awards ultimately expected to vest, it is reduced by forfeitures. The Company accounts for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Net Loss Per Share</w:t>
      </w:r>
    </w:p>
    <w:p>
      <w:pPr>
        <w:spacing w:after="0" w:line="139"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050505"/>
        </w:rPr>
        <w:t>Basic net loss per share is calculated by dividing the net loss by the weighted-average number of shares of common stock outstanding for the period, without consideration for potential dilutive shares of common stock.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Comprehensive Loss</w:t>
      </w:r>
    </w:p>
    <w:p>
      <w:pPr>
        <w:spacing w:after="0" w:line="139"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20"/>
          <w:szCs w:val="20"/>
          <w:color w:val="050505"/>
        </w:rPr>
        <w:t>Comprehensive loss includes net loss and certain changes in stockholders’ equity that are excluded from net loss. For the years ended December 31, 2025 and 2024, this was comprised of unrealized gains and losses, net of tax, on the Company’s investments.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Impairment of Long-Lived Assets</w:t>
      </w:r>
    </w:p>
    <w:p>
      <w:pPr>
        <w:spacing w:after="0" w:line="139"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050505"/>
        </w:rPr>
        <w:t>Long-lived assets are reviewed for impairment whenever events or changes in circumstances indicate that the carrying amount of an asset may not be recoverable. Recoverability is measured by comparison of the carrying amount of an asset group to the future net undiscounted cash flows that the assets are expected to generate. The long-lived assets recoverability test is performed at the asset group level, i.e., the lowest level for which identifiable cash flows are largely independent of the cash flows of other assets and liabilities. If this test indicates that the carrying amount of the asset group is not recoverable, an impairment loss is measured as the amount by which the carrying amount of an asset group exceeds its fair value. Any impairment loss is allocated to the long-lived assets of the group on a pro rata basis using the relative carrying amounts of those assets, except that the carrying amount of an individual asset shall not be reduced below its fair value. The Company recorded long-lived asset impairment losses of $2.4 million and $15.7 million for the years ended December 31, 2025 and 2024, respectively (refer to Note 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Revenue Recognition</w:t>
      </w:r>
    </w:p>
    <w:p>
      <w:pPr>
        <w:spacing w:after="0" w:line="139" w:lineRule="exact"/>
        <w:rPr>
          <w:sz w:val="20"/>
          <w:szCs w:val="20"/>
          <w:color w:val="auto"/>
        </w:rPr>
      </w:pPr>
    </w:p>
    <w:p>
      <w:pPr>
        <w:ind w:firstLine="720"/>
        <w:spacing w:after="0" w:line="262" w:lineRule="auto"/>
        <w:rPr>
          <w:sz w:val="20"/>
          <w:szCs w:val="20"/>
          <w:color w:val="auto"/>
        </w:rPr>
      </w:pPr>
      <w:r>
        <w:rPr>
          <w:rFonts w:ascii="Times New Roman" w:cs="Times New Roman" w:eastAsia="Times New Roman" w:hAnsi="Times New Roman"/>
          <w:sz w:val="20"/>
          <w:szCs w:val="20"/>
          <w:color w:val="050505"/>
        </w:rPr>
        <w:t>The Company’s revenue has been generated through collaboration research and license agreements. The terms of these agreements may contain multiple deliverables which may include (i) grant of licenses, (ii) transfer of know-how, (iii) research and development activities, (iii) clinical manufacturing, and (iv) product supply. The payment terms of these agreements may include nonrefundable upfront fees, payments for research and development activities, payments based upon the achievement of certain milestones, royalty payments based on product sales derived from the collaboration, and payments for supplying product.</w:t>
      </w:r>
    </w:p>
    <w:p>
      <w:pPr>
        <w:spacing w:after="0" w:line="102"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19"/>
          <w:szCs w:val="19"/>
          <w:color w:val="050505"/>
        </w:rPr>
        <w:t>The Company analyzes its collaboration arrangements to assess whether they are within the scope of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Topic 606, Revenue from Contracts with Customers (ASC 606). For elements of collaboration arrangements that are accounted for pursuant to ASC 808, an appropriate recognition method is determined and applied consistently, generally by analogy to ASC 606.</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114</w:t>
      </w:r>
    </w:p>
    <w:p>
      <w:pPr>
        <w:sectPr>
          <w:pgSz w:w="12240" w:h="15840" w:orient="portrait"/>
          <w:cols w:equalWidth="0" w:num="1">
            <w:col w:w="10240"/>
          </w:cols>
          <w:pgMar w:left="1000" w:top="793" w:right="1000" w:bottom="0" w:gutter="0" w:footer="0" w:header="0"/>
          <w:type w:val="continuous"/>
        </w:sectPr>
      </w:pPr>
    </w:p>
    <w:bookmarkStart w:id="118" w:name="page119"/>
    <w:bookmarkEnd w:id="118"/>
    <w:p>
      <w:pPr>
        <w:jc w:val="both"/>
        <w:ind w:firstLine="720"/>
        <w:spacing w:after="0" w:line="252" w:lineRule="auto"/>
        <w:rPr>
          <w:sz w:val="20"/>
          <w:szCs w:val="20"/>
          <w:color w:val="auto"/>
        </w:rPr>
      </w:pPr>
      <w:r>
        <w:rPr>
          <w:rFonts w:ascii="Times New Roman" w:cs="Times New Roman" w:eastAsia="Times New Roman" w:hAnsi="Times New Roman"/>
          <w:sz w:val="20"/>
          <w:szCs w:val="20"/>
          <w:color w:val="050505"/>
        </w:rPr>
        <w:t>For elements of those arrangements that the Company determines should be accounted for under ASC 606, the Company assesses which activities in the collaboration agreements are performance obligations that should be accounted for separately and determines the transaction price of the arrangement, which includes the assessment of the probability of achievement of future milestones and other potential consideration. A performance obligation represents a promise in a contract to transfer a distinct good or service to a customer, which represents a unit of accounting in accordance with ASC 606.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the Company has transferred control of a good or service to the customer, meaning the customer has the ability to use and obtain the benefit of the good or service. A portion of the consideration should be allocated to each distinct performance obligation. The total consideration which the Company expects to collect in exchange for the Company’s products is an estimate and may be fixed or variable. The Company constrains the estimated variable consideration when it assesses it is probable that a significant reversal in the amount of cumulative revenue recognized may occur in future periods. The transaction price is re-evaluated, including the estimated variable consideration included in the transaction price and all constrained amounts, in each reporting period and as uncertain events are resolved or other changes in circumstances occur. The allocation of the transaction price is performed based on standalone selling prices, which are based on estimated amounts that the Company would charge for a performance obligation if it were sold separately. Revenue is recognized when, or as, performance obligations in the contracts are satisfied, in the amount reflecting the expected consideration to be received from the goods or services transferred to the customers. Funds received in advance are recorded as deferred revenue and are recognized as the related performance obligation is satisfied.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Research and Development Expenses</w:t>
      </w:r>
    </w:p>
    <w:p>
      <w:pPr>
        <w:spacing w:after="0" w:line="139" w:lineRule="exact"/>
        <w:rPr>
          <w:sz w:val="20"/>
          <w:szCs w:val="20"/>
          <w:color w:val="auto"/>
        </w:rPr>
      </w:pPr>
    </w:p>
    <w:p>
      <w:pPr>
        <w:ind w:right="140" w:firstLine="720"/>
        <w:spacing w:after="0" w:line="275" w:lineRule="auto"/>
        <w:rPr>
          <w:sz w:val="20"/>
          <w:szCs w:val="20"/>
          <w:color w:val="auto"/>
        </w:rPr>
      </w:pPr>
      <w:r>
        <w:rPr>
          <w:rFonts w:ascii="Times New Roman" w:cs="Times New Roman" w:eastAsia="Times New Roman" w:hAnsi="Times New Roman"/>
          <w:sz w:val="19"/>
          <w:szCs w:val="19"/>
          <w:color w:val="050505"/>
        </w:rPr>
        <w:t>Research and development costs are expensed as incurred and consist of salaries and benefits, including associated stock-based compensation, and laboratory supplies and facility costs, as well as fees paid to other entities that conduct certain research and development activities on the Company’s behalf. Research and development expenses also include costs incurred for internal and sponsored collaborative research and development activities. Costs associated with co-development activities performed under the various license and collaboration agreements are included in research and development expenses.</w:t>
      </w:r>
    </w:p>
    <w:p>
      <w:pPr>
        <w:spacing w:after="0" w:line="68" w:lineRule="exact"/>
        <w:rPr>
          <w:sz w:val="20"/>
          <w:szCs w:val="20"/>
          <w:color w:val="auto"/>
        </w:rPr>
      </w:pPr>
    </w:p>
    <w:p>
      <w:pPr>
        <w:ind w:right="580" w:firstLine="720"/>
        <w:spacing w:after="0" w:line="309" w:lineRule="auto"/>
        <w:rPr>
          <w:sz w:val="20"/>
          <w:szCs w:val="20"/>
          <w:color w:val="auto"/>
        </w:rPr>
      </w:pPr>
      <w:r>
        <w:rPr>
          <w:rFonts w:ascii="Times New Roman" w:cs="Times New Roman" w:eastAsia="Times New Roman" w:hAnsi="Times New Roman"/>
          <w:sz w:val="19"/>
          <w:szCs w:val="19"/>
          <w:color w:val="050505"/>
        </w:rPr>
        <w:t>Nonrefundable advance payments for goods or services to be received in the future for use in research and development activities are capitalized and then expensed as the related goods are delivered or the services are performed.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2. Recent Accounting Guidance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Recently Adopted Accounting Pronouncements</w:t>
      </w:r>
    </w:p>
    <w:p>
      <w:pPr>
        <w:spacing w:after="0" w:line="139"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050505"/>
        </w:rPr>
        <w:t xml:space="preserve">In December 2023, the Financial Accounting Standards Board (FASB) issued Accounting Standards Update 2023-09, </w:t>
      </w:r>
      <w:r>
        <w:rPr>
          <w:rFonts w:ascii="Times New Roman" w:cs="Times New Roman" w:eastAsia="Times New Roman" w:hAnsi="Times New Roman"/>
          <w:sz w:val="20"/>
          <w:szCs w:val="20"/>
          <w:b w:val="1"/>
          <w:bCs w:val="1"/>
          <w:i w:val="1"/>
          <w:iCs w:val="1"/>
          <w:color w:val="050505"/>
        </w:rPr>
        <w:t xml:space="preserve">Income taxes (Topic 740), Improvements to Income Tax Disclosures </w:t>
      </w:r>
      <w:r>
        <w:rPr>
          <w:rFonts w:ascii="Times New Roman" w:cs="Times New Roman" w:eastAsia="Times New Roman" w:hAnsi="Times New Roman"/>
          <w:sz w:val="20"/>
          <w:szCs w:val="20"/>
          <w:color w:val="050505"/>
        </w:rPr>
        <w:t>(ASU 2023-09), which enhances the disclosures required</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for income taxes in the Company’s annual financial statements. The Company adopted this standard effective January 1, 2025 and applied the disclosure requirements on a retrospective basis. Adoption of the new guidance had no significant impact on the Company’s financial statements. Refer to Note 12 for the revised disclosures consistent with the new guidance. These reclassifications have no effect on the benefit for income taxes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Recent Accounting Pronouncements Not Yet Adopted</w:t>
      </w:r>
    </w:p>
    <w:p>
      <w:pPr>
        <w:spacing w:after="0" w:line="135" w:lineRule="exact"/>
        <w:rPr>
          <w:sz w:val="20"/>
          <w:szCs w:val="20"/>
          <w:color w:val="auto"/>
        </w:rPr>
      </w:pPr>
    </w:p>
    <w:p>
      <w:pPr>
        <w:ind w:right="20" w:firstLine="720"/>
        <w:spacing w:after="0" w:line="273" w:lineRule="auto"/>
        <w:rPr>
          <w:sz w:val="20"/>
          <w:szCs w:val="20"/>
          <w:color w:val="auto"/>
        </w:rPr>
      </w:pPr>
      <w:r>
        <w:rPr>
          <w:rFonts w:ascii="Times New Roman" w:cs="Times New Roman" w:eastAsia="Times New Roman" w:hAnsi="Times New Roman"/>
          <w:sz w:val="19"/>
          <w:szCs w:val="19"/>
          <w:color w:val="050505"/>
        </w:rPr>
        <w:t xml:space="preserve">In November 2024, the FASB issued ASU 2024-03, </w:t>
      </w:r>
      <w:r>
        <w:rPr>
          <w:rFonts w:ascii="Times New Roman" w:cs="Times New Roman" w:eastAsia="Times New Roman" w:hAnsi="Times New Roman"/>
          <w:sz w:val="19"/>
          <w:szCs w:val="19"/>
          <w:b w:val="1"/>
          <w:bCs w:val="1"/>
          <w:i w:val="1"/>
          <w:iCs w:val="1"/>
          <w:color w:val="050505"/>
        </w:rPr>
        <w:t>Income Statement—Reporting Comprehensive Income—Expense</w:t>
      </w:r>
      <w:r>
        <w:rPr>
          <w:rFonts w:ascii="Times New Roman" w:cs="Times New Roman" w:eastAsia="Times New Roman" w:hAnsi="Times New Roman"/>
          <w:sz w:val="19"/>
          <w:szCs w:val="19"/>
          <w:color w:val="050505"/>
        </w:rPr>
        <w:t xml:space="preserve"> </w:t>
      </w:r>
      <w:r>
        <w:rPr>
          <w:rFonts w:ascii="Times New Roman" w:cs="Times New Roman" w:eastAsia="Times New Roman" w:hAnsi="Times New Roman"/>
          <w:sz w:val="19"/>
          <w:szCs w:val="19"/>
          <w:b w:val="1"/>
          <w:bCs w:val="1"/>
          <w:i w:val="1"/>
          <w:iCs w:val="1"/>
          <w:color w:val="050505"/>
        </w:rPr>
        <w:t>Disaggregation Disclosures (Subtopic 220-40)</w:t>
      </w:r>
      <w:r>
        <w:rPr>
          <w:rFonts w:ascii="Times New Roman" w:cs="Times New Roman" w:eastAsia="Times New Roman" w:hAnsi="Times New Roman"/>
          <w:sz w:val="19"/>
          <w:szCs w:val="19"/>
          <w:color w:val="050505"/>
        </w:rPr>
        <w:t>, which requires new disclosures to disaggregate prescribed natural expenses</w:t>
      </w:r>
      <w:r>
        <w:rPr>
          <w:rFonts w:ascii="Times New Roman" w:cs="Times New Roman" w:eastAsia="Times New Roman" w:hAnsi="Times New Roman"/>
          <w:sz w:val="19"/>
          <w:szCs w:val="19"/>
          <w:b w:val="1"/>
          <w:bCs w:val="1"/>
          <w:i w:val="1"/>
          <w:iCs w:val="1"/>
          <w:color w:val="050505"/>
        </w:rPr>
        <w:t xml:space="preserve"> </w:t>
      </w:r>
      <w:r>
        <w:rPr>
          <w:rFonts w:ascii="Times New Roman" w:cs="Times New Roman" w:eastAsia="Times New Roman" w:hAnsi="Times New Roman"/>
          <w:sz w:val="19"/>
          <w:szCs w:val="19"/>
          <w:color w:val="050505"/>
        </w:rPr>
        <w:t>underlying any income statement caption. ASU 2024-03 is effective for annual periods in fiscal years beginning after December 15, 2026, and interim periods thereafter. Early adoption is permitted. ASU 2024-03 applies on a prospective basis for periods beginning after the effective date. However, retrospective application to any or all prior periods presented is permitted. The Company is currently assessing the impact ASU 2024-03 will have on the consolidated financial statements and disclosures.</w:t>
      </w:r>
    </w:p>
    <w:p>
      <w:pPr>
        <w:spacing w:after="0" w:line="73"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In September 2025, the FASB issued ASU 2025-06, Intangibles-Goodwill and Other-Internal-Use Software (Subtopic 350-40): Targeted Improvements to the Accounting for Internal-Use Software, which modernizes the accounting for internal-use software costs. ASU 2025-06 removes all references to prescriptive and sequential software development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ASU 2025-06 is effective for annual periods beginning after December 15, 2027, with early adoption permitted as of the beginning of an annual period. The Company is currently in the process of evaluating the impact of this pronouncement on the consolidated financial statements and disclosures.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115</w:t>
      </w:r>
    </w:p>
    <w:p>
      <w:pPr>
        <w:sectPr>
          <w:pgSz w:w="12240" w:h="15840" w:orient="portrait"/>
          <w:cols w:equalWidth="0" w:num="1">
            <w:col w:w="10260"/>
          </w:cols>
          <w:pgMar w:left="1000" w:top="793" w:right="98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050505"/>
        </w:rPr>
        <w:t>Note 3. Fair Value Measurements</w:t>
      </w:r>
    </w:p>
    <w:p>
      <w:pPr>
        <w:spacing w:after="0" w:line="137"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050505"/>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Company measures and reports its cash equivalents, restricted cash, and investments at fair value.</w:t>
      </w:r>
    </w:p>
    <w:p>
      <w:pPr>
        <w:spacing w:after="0" w:line="130" w:lineRule="exact"/>
        <w:rPr>
          <w:sz w:val="20"/>
          <w:szCs w:val="20"/>
          <w:color w:val="auto"/>
        </w:rPr>
      </w:pPr>
    </w:p>
    <w:p>
      <w:pPr>
        <w:jc w:val="both"/>
        <w:ind w:right="180" w:firstLine="720"/>
        <w:spacing w:after="0" w:line="266" w:lineRule="auto"/>
        <w:rPr>
          <w:sz w:val="20"/>
          <w:szCs w:val="20"/>
          <w:color w:val="auto"/>
        </w:rPr>
      </w:pPr>
      <w:r>
        <w:rPr>
          <w:rFonts w:ascii="Times New Roman" w:cs="Times New Roman" w:eastAsia="Times New Roman" w:hAnsi="Times New Roman"/>
          <w:sz w:val="20"/>
          <w:szCs w:val="20"/>
          <w:color w:val="050505"/>
        </w:rPr>
        <w:t>Money market funds are measured at fair value on a recurring basis using quoted prices and are classified as Level 1. Investments are measured at fair value based on inputs other than quoted prices that are derived from observable market data and are classified as Level 2 inputs, except for investments in U.S. treasury securities which are classified as Level 1.</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There were no Level 3 assets or liabilities as of December 31, 2025 or 2024.</w:t>
      </w:r>
    </w:p>
    <w:p>
      <w:pPr>
        <w:spacing w:after="0" w:line="130" w:lineRule="exact"/>
        <w:rPr>
          <w:sz w:val="20"/>
          <w:szCs w:val="20"/>
          <w:color w:val="auto"/>
        </w:rPr>
      </w:pPr>
    </w:p>
    <w:p>
      <w:pPr>
        <w:ind w:right="980" w:firstLine="720"/>
        <w:spacing w:after="0" w:line="281" w:lineRule="auto"/>
        <w:rPr>
          <w:sz w:val="20"/>
          <w:szCs w:val="20"/>
          <w:color w:val="auto"/>
        </w:rPr>
      </w:pPr>
      <w:r>
        <w:rPr>
          <w:rFonts w:ascii="Times New Roman" w:cs="Times New Roman" w:eastAsia="Times New Roman" w:hAnsi="Times New Roman"/>
          <w:sz w:val="20"/>
          <w:szCs w:val="20"/>
          <w:color w:val="050505"/>
        </w:rPr>
        <w:t>Financial assets subject to fair value measurements on a recurring basis and the level of inputs used in such measurements by major security type as of December 31, 2025 and 2024 are presented in the following table: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5180" w:type="dxa"/>
            <w:vAlign w:val="bottom"/>
          </w:tcPr>
          <w:p>
            <w:pPr>
              <w:spacing w:after="0"/>
              <w:rPr>
                <w:sz w:val="23"/>
                <w:szCs w:val="23"/>
                <w:color w:val="auto"/>
              </w:rPr>
            </w:pPr>
          </w:p>
        </w:tc>
        <w:tc>
          <w:tcPr>
            <w:tcW w:w="220" w:type="dxa"/>
            <w:vAlign w:val="bottom"/>
            <w:tcBorders>
              <w:bottom w:val="single" w:sz="8" w:color="050505"/>
            </w:tcBorders>
          </w:tcPr>
          <w:p>
            <w:pPr>
              <w:spacing w:after="0"/>
              <w:rPr>
                <w:sz w:val="23"/>
                <w:szCs w:val="23"/>
                <w:color w:val="auto"/>
              </w:rPr>
            </w:pPr>
          </w:p>
        </w:tc>
        <w:tc>
          <w:tcPr>
            <w:tcW w:w="980" w:type="dxa"/>
            <w:vAlign w:val="bottom"/>
            <w:tcBorders>
              <w:bottom w:val="single" w:sz="8" w:color="050505"/>
            </w:tcBorders>
          </w:tcPr>
          <w:p>
            <w:pPr>
              <w:spacing w:after="0"/>
              <w:rPr>
                <w:sz w:val="23"/>
                <w:szCs w:val="23"/>
                <w:color w:val="auto"/>
              </w:rPr>
            </w:pPr>
          </w:p>
        </w:tc>
        <w:tc>
          <w:tcPr>
            <w:tcW w:w="80" w:type="dxa"/>
            <w:vAlign w:val="bottom"/>
            <w:tcBorders>
              <w:bottom w:val="single" w:sz="8" w:color="050505"/>
            </w:tcBorders>
          </w:tcPr>
          <w:p>
            <w:pPr>
              <w:spacing w:after="0"/>
              <w:rPr>
                <w:sz w:val="23"/>
                <w:szCs w:val="23"/>
                <w:color w:val="auto"/>
              </w:rPr>
            </w:pPr>
          </w:p>
        </w:tc>
        <w:tc>
          <w:tcPr>
            <w:tcW w:w="220" w:type="dxa"/>
            <w:vAlign w:val="bottom"/>
            <w:tcBorders>
              <w:bottom w:val="single" w:sz="8" w:color="050505"/>
            </w:tcBorders>
          </w:tcPr>
          <w:p>
            <w:pPr>
              <w:spacing w:after="0"/>
              <w:rPr>
                <w:sz w:val="23"/>
                <w:szCs w:val="23"/>
                <w:color w:val="auto"/>
              </w:rPr>
            </w:pPr>
          </w:p>
        </w:tc>
        <w:tc>
          <w:tcPr>
            <w:tcW w:w="1960" w:type="dxa"/>
            <w:vAlign w:val="bottom"/>
            <w:tcBorders>
              <w:bottom w:val="single" w:sz="8" w:color="050505"/>
            </w:tcBorders>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December 31, 2025</w:t>
            </w:r>
          </w:p>
        </w:tc>
        <w:tc>
          <w:tcPr>
            <w:tcW w:w="300" w:type="dxa"/>
            <w:vAlign w:val="bottom"/>
            <w:tcBorders>
              <w:bottom w:val="single" w:sz="8" w:color="050505"/>
            </w:tcBorders>
          </w:tcPr>
          <w:p>
            <w:pPr>
              <w:spacing w:after="0"/>
              <w:rPr>
                <w:sz w:val="23"/>
                <w:szCs w:val="23"/>
                <w:color w:val="auto"/>
              </w:rPr>
            </w:pPr>
          </w:p>
        </w:tc>
        <w:tc>
          <w:tcPr>
            <w:tcW w:w="80" w:type="dxa"/>
            <w:vAlign w:val="bottom"/>
            <w:tcBorders>
              <w:bottom w:val="single" w:sz="8" w:color="050505"/>
            </w:tcBorders>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900" w:type="dxa"/>
            <w:vAlign w:val="bottom"/>
            <w:tcBorders>
              <w:bottom w:val="single" w:sz="8" w:color="050505"/>
            </w:tcBorders>
          </w:tcPr>
          <w:p>
            <w:pPr>
              <w:spacing w:after="0"/>
              <w:rPr>
                <w:sz w:val="23"/>
                <w:szCs w:val="23"/>
                <w:color w:val="auto"/>
              </w:rPr>
            </w:pPr>
          </w:p>
        </w:tc>
      </w:tr>
      <w:tr>
        <w:trPr>
          <w:trHeight w:val="235"/>
        </w:trPr>
        <w:tc>
          <w:tcPr>
            <w:tcW w:w="5180" w:type="dxa"/>
            <w:vAlign w:val="bottom"/>
          </w:tcPr>
          <w:p>
            <w:pPr>
              <w:spacing w:after="0"/>
              <w:rPr>
                <w:sz w:val="20"/>
                <w:szCs w:val="20"/>
                <w:color w:val="auto"/>
              </w:rPr>
            </w:pPr>
          </w:p>
        </w:tc>
        <w:tc>
          <w:tcPr>
            <w:tcW w:w="220" w:type="dxa"/>
            <w:vAlign w:val="bottom"/>
            <w:tcBorders>
              <w:bottom w:val="single" w:sz="8" w:color="050505"/>
            </w:tcBorders>
          </w:tcPr>
          <w:p>
            <w:pPr>
              <w:spacing w:after="0"/>
              <w:rPr>
                <w:sz w:val="20"/>
                <w:szCs w:val="20"/>
                <w:color w:val="auto"/>
              </w:rPr>
            </w:pPr>
          </w:p>
        </w:tc>
        <w:tc>
          <w:tcPr>
            <w:tcW w:w="980" w:type="dxa"/>
            <w:vAlign w:val="bottom"/>
            <w:tcBorders>
              <w:bottom w:val="single" w:sz="8" w:color="050505"/>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050505"/>
              </w:rPr>
              <w:t>Level 1</w:t>
            </w:r>
          </w:p>
        </w:tc>
        <w:tc>
          <w:tcPr>
            <w:tcW w:w="80" w:type="dxa"/>
            <w:vAlign w:val="bottom"/>
            <w:tcBorders>
              <w:bottom w:val="single" w:sz="8" w:color="050505"/>
            </w:tcBorders>
          </w:tcPr>
          <w:p>
            <w:pPr>
              <w:spacing w:after="0"/>
              <w:rPr>
                <w:sz w:val="20"/>
                <w:szCs w:val="20"/>
                <w:color w:val="auto"/>
              </w:rPr>
            </w:pPr>
          </w:p>
        </w:tc>
        <w:tc>
          <w:tcPr>
            <w:tcW w:w="220" w:type="dxa"/>
            <w:vAlign w:val="bottom"/>
            <w:tcBorders>
              <w:bottom w:val="single" w:sz="8" w:color="050505"/>
            </w:tcBorders>
          </w:tcPr>
          <w:p>
            <w:pPr>
              <w:spacing w:after="0"/>
              <w:rPr>
                <w:sz w:val="20"/>
                <w:szCs w:val="20"/>
                <w:color w:val="auto"/>
              </w:rPr>
            </w:pPr>
          </w:p>
        </w:tc>
        <w:tc>
          <w:tcPr>
            <w:tcW w:w="980" w:type="dxa"/>
            <w:vAlign w:val="bottom"/>
            <w:tcBorders>
              <w:bottom w:val="single" w:sz="8" w:color="050505"/>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050505"/>
              </w:rPr>
              <w:t>Level 2</w:t>
            </w:r>
          </w:p>
        </w:tc>
        <w:tc>
          <w:tcPr>
            <w:tcW w:w="80" w:type="dxa"/>
            <w:vAlign w:val="bottom"/>
            <w:tcBorders>
              <w:bottom w:val="single" w:sz="8" w:color="050505"/>
            </w:tcBorders>
          </w:tcPr>
          <w:p>
            <w:pPr>
              <w:spacing w:after="0"/>
              <w:rPr>
                <w:sz w:val="20"/>
                <w:szCs w:val="20"/>
                <w:color w:val="auto"/>
              </w:rPr>
            </w:pPr>
          </w:p>
        </w:tc>
        <w:tc>
          <w:tcPr>
            <w:tcW w:w="9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b w:val="1"/>
                <w:bCs w:val="1"/>
                <w:color w:val="050505"/>
              </w:rPr>
              <w:t>Level 3</w:t>
            </w:r>
          </w:p>
        </w:tc>
        <w:tc>
          <w:tcPr>
            <w:tcW w:w="300" w:type="dxa"/>
            <w:vAlign w:val="bottom"/>
            <w:tcBorders>
              <w:bottom w:val="single" w:sz="8" w:color="050505"/>
            </w:tcBorders>
          </w:tcPr>
          <w:p>
            <w:pPr>
              <w:spacing w:after="0"/>
              <w:rPr>
                <w:sz w:val="20"/>
                <w:szCs w:val="20"/>
                <w:color w:val="auto"/>
              </w:rPr>
            </w:pPr>
          </w:p>
        </w:tc>
        <w:tc>
          <w:tcPr>
            <w:tcW w:w="80" w:type="dxa"/>
            <w:vAlign w:val="bottom"/>
            <w:tcBorders>
              <w:bottom w:val="single" w:sz="8" w:color="050505"/>
            </w:tcBorders>
          </w:tcPr>
          <w:p>
            <w:pPr>
              <w:spacing w:after="0"/>
              <w:rPr>
                <w:sz w:val="20"/>
                <w:szCs w:val="20"/>
                <w:color w:val="auto"/>
              </w:rPr>
            </w:pPr>
          </w:p>
        </w:tc>
        <w:tc>
          <w:tcPr>
            <w:tcW w:w="1200" w:type="dxa"/>
            <w:vAlign w:val="bottom"/>
            <w:tcBorders>
              <w:bottom w:val="single" w:sz="8" w:color="050505"/>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050505"/>
              </w:rPr>
              <w:t>Fair Value</w:t>
            </w:r>
          </w:p>
        </w:tc>
      </w:tr>
      <w:tr>
        <w:trPr>
          <w:trHeight w:val="251"/>
        </w:trPr>
        <w:tc>
          <w:tcPr>
            <w:tcW w:w="5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4"/>
        </w:trPr>
        <w:tc>
          <w:tcPr>
            <w:tcW w:w="518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Financial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8"/>
        </w:trPr>
        <w:tc>
          <w:tcPr>
            <w:tcW w:w="518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Money market funds ¹</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48,576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050505"/>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48,576</w:t>
            </w:r>
          </w:p>
        </w:tc>
      </w:tr>
      <w:tr>
        <w:trPr>
          <w:trHeight w:val="285"/>
        </w:trPr>
        <w:tc>
          <w:tcPr>
            <w:tcW w:w="518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Commercial paper</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42,704</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42,704</w:t>
            </w:r>
          </w:p>
        </w:tc>
      </w:tr>
      <w:tr>
        <w:trPr>
          <w:trHeight w:val="285"/>
        </w:trPr>
        <w:tc>
          <w:tcPr>
            <w:tcW w:w="518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Corporate bonds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53,705</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53,705</w:t>
            </w:r>
          </w:p>
        </w:tc>
      </w:tr>
      <w:tr>
        <w:trPr>
          <w:trHeight w:val="285"/>
        </w:trPr>
        <w:tc>
          <w:tcPr>
            <w:tcW w:w="518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U.S. treasury securities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76,157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76,157</w:t>
            </w:r>
          </w:p>
        </w:tc>
      </w:tr>
      <w:tr>
        <w:trPr>
          <w:trHeight w:val="286"/>
        </w:trPr>
        <w:tc>
          <w:tcPr>
            <w:tcW w:w="518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U.S. agency securities</w:t>
            </w: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33,999</w:t>
            </w:r>
          </w:p>
        </w:tc>
        <w:tc>
          <w:tcPr>
            <w:tcW w:w="80" w:type="dxa"/>
            <w:vAlign w:val="bottom"/>
          </w:tcPr>
          <w:p>
            <w:pPr>
              <w:spacing w:after="0"/>
              <w:rPr>
                <w:sz w:val="24"/>
                <w:szCs w:val="24"/>
                <w:color w:val="auto"/>
              </w:rPr>
            </w:pPr>
          </w:p>
        </w:tc>
        <w:tc>
          <w:tcPr>
            <w:tcW w:w="900" w:type="dxa"/>
            <w:vAlign w:val="bottom"/>
            <w:tcBorders>
              <w:bottom w:val="single" w:sz="8" w:color="050505"/>
            </w:tcBorders>
          </w:tcPr>
          <w:p>
            <w:pPr>
              <w:spacing w:after="0"/>
              <w:rPr>
                <w:sz w:val="24"/>
                <w:szCs w:val="24"/>
                <w:color w:val="auto"/>
              </w:rPr>
            </w:pPr>
          </w:p>
        </w:tc>
        <w:tc>
          <w:tcPr>
            <w:tcW w:w="300" w:type="dxa"/>
            <w:vAlign w:val="bottom"/>
            <w:tcBorders>
              <w:bottom w:val="single" w:sz="8" w:color="050505"/>
            </w:tcBorders>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9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33,999</w:t>
            </w:r>
          </w:p>
        </w:tc>
      </w:tr>
      <w:tr>
        <w:trPr>
          <w:trHeight w:val="245"/>
        </w:trPr>
        <w:tc>
          <w:tcPr>
            <w:tcW w:w="5180" w:type="dxa"/>
            <w:vAlign w:val="bottom"/>
          </w:tcPr>
          <w:p>
            <w:pPr>
              <w:ind w:left="500"/>
              <w:spacing w:after="0"/>
              <w:rPr>
                <w:sz w:val="20"/>
                <w:szCs w:val="20"/>
                <w:color w:val="auto"/>
              </w:rPr>
            </w:pPr>
            <w:r>
              <w:rPr>
                <w:rFonts w:ascii="Times New Roman" w:cs="Times New Roman" w:eastAsia="Times New Roman" w:hAnsi="Times New Roman"/>
                <w:sz w:val="20"/>
                <w:szCs w:val="20"/>
                <w:color w:val="050505"/>
              </w:rPr>
              <w:t>Total financial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124,733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130,408</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050505"/>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255,141</w:t>
            </w: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050505"/>
              <w:bottom w:val="single" w:sz="8" w:color="050505"/>
            </w:tcBorders>
          </w:tcPr>
          <w:p>
            <w:pPr>
              <w:spacing w:after="0" w:line="20" w:lineRule="exact"/>
              <w:rPr>
                <w:sz w:val="1"/>
                <w:szCs w:val="1"/>
                <w:color w:val="auto"/>
              </w:rPr>
            </w:pPr>
          </w:p>
        </w:tc>
        <w:tc>
          <w:tcPr>
            <w:tcW w:w="98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50505"/>
              <w:bottom w:val="single" w:sz="8" w:color="050505"/>
            </w:tcBorders>
          </w:tcPr>
          <w:p>
            <w:pPr>
              <w:spacing w:after="0" w:line="20" w:lineRule="exact"/>
              <w:rPr>
                <w:sz w:val="1"/>
                <w:szCs w:val="1"/>
                <w:color w:val="auto"/>
              </w:rPr>
            </w:pPr>
          </w:p>
        </w:tc>
        <w:tc>
          <w:tcPr>
            <w:tcW w:w="98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050505"/>
              <w:bottom w:val="single" w:sz="8" w:color="050505"/>
            </w:tcBorders>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90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540500" cy="2063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1">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-43815</wp:posOffset>
            </wp:positionV>
            <wp:extent cx="321627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2">
                      <a:extLst>
                        <a:ext uri="{28A0092B-C50C-407E-A947-70E740481C1C}"/>
                      </a:extLst>
                    </a:blip>
                    <a:srcRect/>
                    <a:stretch>
                      <a:fillRect/>
                    </a:stretch>
                  </pic:blipFill>
                  <pic:spPr bwMode="auto">
                    <a:xfrm>
                      <a:off x="0" y="0"/>
                      <a:ext cx="3216275" cy="50800"/>
                    </a:xfrm>
                    <a:prstGeom prst="rect">
                      <a:avLst/>
                    </a:prstGeom>
                    <a:noFill/>
                  </pic:spPr>
                </pic:pic>
              </a:graphicData>
            </a:graphic>
          </wp:anchor>
        </w:drawing>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8580" w:type="dxa"/>
            <w:vAlign w:val="bottom"/>
            <w:gridSpan w:val="8"/>
          </w:tcPr>
          <w:p>
            <w:pPr>
              <w:ind w:left="540"/>
              <w:spacing w:after="0"/>
              <w:rPr>
                <w:sz w:val="20"/>
                <w:szCs w:val="20"/>
                <w:color w:val="auto"/>
              </w:rPr>
            </w:pPr>
            <w:r>
              <w:rPr>
                <w:rFonts w:ascii="Times New Roman" w:cs="Times New Roman" w:eastAsia="Times New Roman" w:hAnsi="Times New Roman"/>
                <w:sz w:val="20"/>
                <w:szCs w:val="20"/>
                <w:color w:val="050505"/>
              </w:rPr>
              <w:t>¹ Included within cash and cash equivalents on the Company’s consolidated balance sheets</w:t>
            </w: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51"/>
        </w:trPr>
        <w:tc>
          <w:tcPr>
            <w:tcW w:w="5160" w:type="dxa"/>
            <w:vAlign w:val="bottom"/>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spacing w:after="0"/>
              <w:rPr>
                <w:sz w:val="24"/>
                <w:szCs w:val="24"/>
                <w:color w:val="auto"/>
              </w:rPr>
            </w:pPr>
          </w:p>
        </w:tc>
        <w:tc>
          <w:tcPr>
            <w:tcW w:w="60" w:type="dxa"/>
            <w:vAlign w:val="bottom"/>
            <w:tcBorders>
              <w:bottom w:val="single" w:sz="8" w:color="050505"/>
            </w:tcBorders>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1940" w:type="dxa"/>
            <w:vAlign w:val="bottom"/>
            <w:tcBorders>
              <w:bottom w:val="single" w:sz="8" w:color="050505"/>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050505"/>
              </w:rPr>
              <w:t>December 31, 2024</w:t>
            </w:r>
          </w:p>
        </w:tc>
        <w:tc>
          <w:tcPr>
            <w:tcW w:w="300" w:type="dxa"/>
            <w:vAlign w:val="bottom"/>
            <w:tcBorders>
              <w:bottom w:val="single" w:sz="8" w:color="050505"/>
            </w:tcBorders>
          </w:tcPr>
          <w:p>
            <w:pPr>
              <w:spacing w:after="0"/>
              <w:rPr>
                <w:sz w:val="24"/>
                <w:szCs w:val="24"/>
                <w:color w:val="auto"/>
              </w:rPr>
            </w:pPr>
          </w:p>
        </w:tc>
        <w:tc>
          <w:tcPr>
            <w:tcW w:w="60" w:type="dxa"/>
            <w:vAlign w:val="bottom"/>
            <w:tcBorders>
              <w:bottom w:val="single" w:sz="8" w:color="050505"/>
            </w:tcBorders>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900" w:type="dxa"/>
            <w:vAlign w:val="bottom"/>
            <w:tcBorders>
              <w:bottom w:val="single" w:sz="8" w:color="050505"/>
            </w:tcBorders>
          </w:tcPr>
          <w:p>
            <w:pPr>
              <w:spacing w:after="0"/>
              <w:rPr>
                <w:sz w:val="24"/>
                <w:szCs w:val="24"/>
                <w:color w:val="auto"/>
              </w:rPr>
            </w:pPr>
          </w:p>
        </w:tc>
      </w:tr>
      <w:tr>
        <w:trPr>
          <w:trHeight w:val="280"/>
        </w:trPr>
        <w:tc>
          <w:tcPr>
            <w:tcW w:w="5160" w:type="dxa"/>
            <w:vAlign w:val="bottom"/>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050505"/>
              </w:rPr>
              <w:t>Level 1</w:t>
            </w:r>
          </w:p>
        </w:tc>
        <w:tc>
          <w:tcPr>
            <w:tcW w:w="60" w:type="dxa"/>
            <w:vAlign w:val="bottom"/>
            <w:tcBorders>
              <w:bottom w:val="single" w:sz="8" w:color="050505"/>
            </w:tcBorders>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050505"/>
              </w:rPr>
              <w:t>Level 2</w:t>
            </w:r>
          </w:p>
        </w:tc>
        <w:tc>
          <w:tcPr>
            <w:tcW w:w="60" w:type="dxa"/>
            <w:vAlign w:val="bottom"/>
            <w:tcBorders>
              <w:bottom w:val="single" w:sz="8" w:color="050505"/>
            </w:tcBorders>
          </w:tcPr>
          <w:p>
            <w:pPr>
              <w:spacing w:after="0"/>
              <w:rPr>
                <w:sz w:val="24"/>
                <w:szCs w:val="24"/>
                <w:color w:val="auto"/>
              </w:rPr>
            </w:pPr>
          </w:p>
        </w:tc>
        <w:tc>
          <w:tcPr>
            <w:tcW w:w="9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b w:val="1"/>
                <w:bCs w:val="1"/>
                <w:color w:val="050505"/>
              </w:rPr>
              <w:t>Level 3</w:t>
            </w:r>
          </w:p>
        </w:tc>
        <w:tc>
          <w:tcPr>
            <w:tcW w:w="300" w:type="dxa"/>
            <w:vAlign w:val="bottom"/>
            <w:tcBorders>
              <w:bottom w:val="single" w:sz="8" w:color="050505"/>
            </w:tcBorders>
          </w:tcPr>
          <w:p>
            <w:pPr>
              <w:spacing w:after="0"/>
              <w:rPr>
                <w:sz w:val="24"/>
                <w:szCs w:val="24"/>
                <w:color w:val="auto"/>
              </w:rPr>
            </w:pPr>
          </w:p>
        </w:tc>
        <w:tc>
          <w:tcPr>
            <w:tcW w:w="60" w:type="dxa"/>
            <w:vAlign w:val="bottom"/>
            <w:tcBorders>
              <w:bottom w:val="single" w:sz="8" w:color="050505"/>
            </w:tcBorders>
          </w:tcPr>
          <w:p>
            <w:pPr>
              <w:spacing w:after="0"/>
              <w:rPr>
                <w:sz w:val="24"/>
                <w:szCs w:val="24"/>
                <w:color w:val="auto"/>
              </w:rPr>
            </w:pPr>
          </w:p>
        </w:tc>
        <w:tc>
          <w:tcPr>
            <w:tcW w:w="1200" w:type="dxa"/>
            <w:vAlign w:val="bottom"/>
            <w:tcBorders>
              <w:bottom w:val="single" w:sz="8" w:color="050505"/>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Fair Value</w:t>
            </w:r>
          </w:p>
        </w:tc>
      </w:tr>
      <w:tr>
        <w:trPr>
          <w:trHeight w:val="269"/>
        </w:trPr>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2"/>
        </w:trPr>
        <w:tc>
          <w:tcPr>
            <w:tcW w:w="516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Financial Assets: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7"/>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Money market funds ¹</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65,780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050505"/>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65,780</w:t>
            </w:r>
          </w:p>
        </w:tc>
      </w:tr>
      <w:tr>
        <w:trPr>
          <w:trHeight w:val="293"/>
        </w:trPr>
        <w:tc>
          <w:tcPr>
            <w:tcW w:w="51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Commercial paper</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66,255</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66,255</w:t>
            </w:r>
          </w:p>
        </w:tc>
      </w:tr>
      <w:tr>
        <w:trPr>
          <w:trHeight w:val="300"/>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Corporate bonds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82,725</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82,725</w:t>
            </w:r>
          </w:p>
        </w:tc>
      </w:tr>
      <w:tr>
        <w:trPr>
          <w:trHeight w:val="300"/>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U.S. treasury securities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85,728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85,728</w:t>
            </w:r>
          </w:p>
        </w:tc>
      </w:tr>
      <w:tr>
        <w:trPr>
          <w:trHeight w:val="300"/>
        </w:trPr>
        <w:tc>
          <w:tcPr>
            <w:tcW w:w="5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U.S. agency securities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58,514</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58,514</w:t>
            </w:r>
          </w:p>
        </w:tc>
      </w:tr>
      <w:tr>
        <w:trPr>
          <w:trHeight w:val="310"/>
        </w:trPr>
        <w:tc>
          <w:tcPr>
            <w:tcW w:w="5160" w:type="dxa"/>
            <w:vAlign w:val="bottom"/>
          </w:tcPr>
          <w:p>
            <w:pPr>
              <w:ind w:left="240"/>
              <w:spacing w:after="0"/>
              <w:rPr>
                <w:sz w:val="20"/>
                <w:szCs w:val="20"/>
                <w:color w:val="auto"/>
              </w:rPr>
            </w:pPr>
            <w:r>
              <w:rPr>
                <w:rFonts w:ascii="Times New Roman" w:cs="Times New Roman" w:eastAsia="Times New Roman" w:hAnsi="Times New Roman"/>
                <w:sz w:val="20"/>
                <w:szCs w:val="20"/>
                <w:color w:val="050505"/>
              </w:rPr>
              <w:t>Asset-backed securities</w:t>
            </w: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220" w:type="dxa"/>
            <w:vAlign w:val="bottom"/>
            <w:tcBorders>
              <w:bottom w:val="single" w:sz="8" w:color="050505"/>
            </w:tcBorders>
          </w:tcPr>
          <w:p>
            <w:pPr>
              <w:spacing w:after="0"/>
              <w:rPr>
                <w:sz w:val="24"/>
                <w:szCs w:val="24"/>
                <w:color w:val="auto"/>
              </w:rPr>
            </w:pPr>
          </w:p>
        </w:tc>
        <w:tc>
          <w:tcPr>
            <w:tcW w:w="9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9,700</w:t>
            </w:r>
          </w:p>
        </w:tc>
        <w:tc>
          <w:tcPr>
            <w:tcW w:w="60" w:type="dxa"/>
            <w:vAlign w:val="bottom"/>
          </w:tcPr>
          <w:p>
            <w:pPr>
              <w:spacing w:after="0"/>
              <w:rPr>
                <w:sz w:val="24"/>
                <w:szCs w:val="24"/>
                <w:color w:val="auto"/>
              </w:rPr>
            </w:pPr>
          </w:p>
        </w:tc>
        <w:tc>
          <w:tcPr>
            <w:tcW w:w="900" w:type="dxa"/>
            <w:vAlign w:val="bottom"/>
            <w:tcBorders>
              <w:bottom w:val="single" w:sz="8" w:color="050505"/>
            </w:tcBorders>
          </w:tcPr>
          <w:p>
            <w:pPr>
              <w:spacing w:after="0"/>
              <w:rPr>
                <w:sz w:val="24"/>
                <w:szCs w:val="24"/>
                <w:color w:val="auto"/>
              </w:rPr>
            </w:pPr>
          </w:p>
        </w:tc>
        <w:tc>
          <w:tcPr>
            <w:tcW w:w="300" w:type="dxa"/>
            <w:vAlign w:val="bottom"/>
            <w:tcBorders>
              <w:bottom w:val="single" w:sz="8" w:color="050505"/>
            </w:tcBorders>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9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9,700</w:t>
            </w:r>
          </w:p>
        </w:tc>
      </w:tr>
      <w:tr>
        <w:trPr>
          <w:trHeight w:val="260"/>
        </w:trPr>
        <w:tc>
          <w:tcPr>
            <w:tcW w:w="5160" w:type="dxa"/>
            <w:vAlign w:val="bottom"/>
          </w:tcPr>
          <w:p>
            <w:pPr>
              <w:spacing w:after="0"/>
              <w:rPr>
                <w:sz w:val="20"/>
                <w:szCs w:val="20"/>
                <w:color w:val="auto"/>
              </w:rPr>
            </w:pPr>
            <w:r>
              <w:rPr>
                <w:rFonts w:ascii="Times New Roman" w:cs="Times New Roman" w:eastAsia="Times New Roman" w:hAnsi="Times New Roman"/>
                <w:sz w:val="20"/>
                <w:szCs w:val="20"/>
                <w:color w:val="050505"/>
              </w:rPr>
              <w:t>Total financial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151,508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05050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217,194</w:t>
            </w:r>
          </w:p>
        </w:tc>
        <w:tc>
          <w:tcPr>
            <w:tcW w:w="96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050505"/>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368,702</w:t>
            </w: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050505"/>
              <w:bottom w:val="single" w:sz="8" w:color="050505"/>
            </w:tcBorders>
          </w:tcPr>
          <w:p>
            <w:pPr>
              <w:spacing w:after="0" w:line="20" w:lineRule="exact"/>
              <w:rPr>
                <w:sz w:val="1"/>
                <w:szCs w:val="1"/>
                <w:color w:val="auto"/>
              </w:rPr>
            </w:pPr>
          </w:p>
        </w:tc>
        <w:tc>
          <w:tcPr>
            <w:tcW w:w="9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050505"/>
              <w:bottom w:val="single" w:sz="8" w:color="050505"/>
            </w:tcBorders>
          </w:tcPr>
          <w:p>
            <w:pPr>
              <w:spacing w:after="0" w:line="20" w:lineRule="exact"/>
              <w:rPr>
                <w:sz w:val="1"/>
                <w:szCs w:val="1"/>
                <w:color w:val="auto"/>
              </w:rPr>
            </w:pPr>
          </w:p>
        </w:tc>
        <w:tc>
          <w:tcPr>
            <w:tcW w:w="9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050505"/>
              <w:bottom w:val="single" w:sz="8" w:color="050505"/>
            </w:tcBorders>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90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492875" cy="215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3">
                      <a:extLst>
                        <a:ext uri="{28A0092B-C50C-407E-A947-70E740481C1C}"/>
                      </a:extLst>
                    </a:blip>
                    <a:srcRect/>
                    <a:stretch>
                      <a:fillRect/>
                    </a:stretch>
                  </pic:blipFill>
                  <pic:spPr bwMode="auto">
                    <a:xfrm>
                      <a:off x="0" y="0"/>
                      <a:ext cx="6492875" cy="215900"/>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-43815</wp:posOffset>
            </wp:positionV>
            <wp:extent cx="318770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4">
                      <a:extLst>
                        <a:ext uri="{28A0092B-C50C-407E-A947-70E740481C1C}"/>
                      </a:extLst>
                    </a:blip>
                    <a:srcRect/>
                    <a:stretch>
                      <a:fillRect/>
                    </a:stretch>
                  </pic:blipFill>
                  <pic:spPr bwMode="auto">
                    <a:xfrm>
                      <a:off x="0" y="0"/>
                      <a:ext cx="3187700" cy="50800"/>
                    </a:xfrm>
                    <a:prstGeom prst="rect">
                      <a:avLst/>
                    </a:prstGeom>
                    <a:noFill/>
                  </pic:spPr>
                </pic:pic>
              </a:graphicData>
            </a:graphic>
          </wp:anchor>
        </w:drawing>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050505"/>
        </w:rPr>
        <w:t>¹ Included within cash and cash equivalents on the Company’s consolidated balance sheets</w:t>
      </w:r>
    </w:p>
    <w:p>
      <w:pPr>
        <w:spacing w:after="0" w:line="130" w:lineRule="exact"/>
        <w:rPr>
          <w:sz w:val="20"/>
          <w:szCs w:val="20"/>
          <w:color w:val="auto"/>
        </w:rPr>
      </w:pPr>
    </w:p>
    <w:p>
      <w:pPr>
        <w:jc w:val="both"/>
        <w:ind w:right="40" w:firstLine="720"/>
        <w:spacing w:after="0" w:line="260" w:lineRule="auto"/>
        <w:rPr>
          <w:sz w:val="20"/>
          <w:szCs w:val="20"/>
          <w:color w:val="auto"/>
        </w:rPr>
      </w:pPr>
      <w:r>
        <w:rPr>
          <w:rFonts w:ascii="Times New Roman" w:cs="Times New Roman" w:eastAsia="Times New Roman" w:hAnsi="Times New Roman"/>
          <w:sz w:val="20"/>
          <w:szCs w:val="20"/>
          <w:color w:val="050505"/>
        </w:rPr>
        <w:t>The carrying amounts of accounts payable and accrued liabilities approximate their fair values due to their short-term maturities. The Company’s Level 2 securities are valued using third-party pricing sources. The pricing services utilize industry standard valuation models, including both income and market-based approaches, for which all significant inputs are observable, either directly or indirectly.</w:t>
      </w:r>
    </w:p>
    <w:p>
      <w:pPr>
        <w:spacing w:after="0" w:line="83" w:lineRule="exact"/>
        <w:rPr>
          <w:sz w:val="20"/>
          <w:szCs w:val="20"/>
          <w:color w:val="auto"/>
        </w:rPr>
      </w:pPr>
    </w:p>
    <w:p>
      <w:pPr>
        <w:ind w:right="440" w:firstLine="720"/>
        <w:spacing w:after="0" w:line="281" w:lineRule="auto"/>
        <w:rPr>
          <w:sz w:val="20"/>
          <w:szCs w:val="20"/>
          <w:color w:val="auto"/>
        </w:rPr>
      </w:pPr>
      <w:r>
        <w:rPr>
          <w:rFonts w:ascii="Times New Roman" w:cs="Times New Roman" w:eastAsia="Times New Roman" w:hAnsi="Times New Roman"/>
          <w:sz w:val="20"/>
          <w:szCs w:val="20"/>
          <w:color w:val="050505"/>
        </w:rPr>
        <w:t>There were no transfers of assets between the fair value measurement levels during the years ended December 31, 2025 or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4. Investments</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fair value and amortized cost of cash equivalents and available-for-sale securities by major security type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December 31, 2025 are presented in the following tables:</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116</w:t>
      </w:r>
    </w:p>
    <w:p>
      <w:pPr>
        <w:sectPr>
          <w:pgSz w:w="12240" w:h="15840" w:orient="portrait"/>
          <w:cols w:equalWidth="0" w:num="1">
            <w:col w:w="10260"/>
          </w:cols>
          <w:pgMar w:left="1000" w:top="786" w:right="980" w:bottom="0" w:gutter="0" w:footer="0" w:header="0"/>
          <w:type w:val="continuous"/>
        </w:sectPr>
      </w:pPr>
    </w:p>
    <w:bookmarkStart w:id="120" w:name="page121"/>
    <w:bookmarkEnd w:id="120"/>
    <w:tbl>
      <w:tblPr>
        <w:tblLayout w:type="fixed"/>
        <w:tblInd w:w="40" w:type="dxa"/>
        <w:tblCellMar>
          <w:top w:w="0" w:type="dxa"/>
          <w:left w:w="0" w:type="dxa"/>
          <w:bottom w:w="0" w:type="dxa"/>
          <w:right w:w="0" w:type="dxa"/>
        </w:tblCellMar>
      </w:tblPr>
      <w:tr>
        <w:trPr>
          <w:trHeight w:val="267"/>
        </w:trPr>
        <w:tc>
          <w:tcPr>
            <w:tcW w:w="518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920" w:type="dxa"/>
            <w:vAlign w:val="bottom"/>
            <w:tcBorders>
              <w:bottom w:val="single" w:sz="8" w:color="050505"/>
            </w:tcBorders>
          </w:tcPr>
          <w:p>
            <w:pPr>
              <w:spacing w:after="0"/>
              <w:rPr>
                <w:sz w:val="23"/>
                <w:szCs w:val="23"/>
                <w:color w:val="auto"/>
              </w:rPr>
            </w:pPr>
          </w:p>
        </w:tc>
        <w:tc>
          <w:tcPr>
            <w:tcW w:w="80" w:type="dxa"/>
            <w:vAlign w:val="bottom"/>
            <w:tcBorders>
              <w:bottom w:val="single" w:sz="8" w:color="050505"/>
            </w:tcBorders>
          </w:tcPr>
          <w:p>
            <w:pPr>
              <w:spacing w:after="0"/>
              <w:rPr>
                <w:sz w:val="23"/>
                <w:szCs w:val="23"/>
                <w:color w:val="auto"/>
              </w:rPr>
            </w:pPr>
          </w:p>
        </w:tc>
        <w:tc>
          <w:tcPr>
            <w:tcW w:w="260" w:type="dxa"/>
            <w:vAlign w:val="bottom"/>
            <w:tcBorders>
              <w:bottom w:val="single" w:sz="8" w:color="050505"/>
            </w:tcBorders>
          </w:tcPr>
          <w:p>
            <w:pPr>
              <w:spacing w:after="0"/>
              <w:rPr>
                <w:sz w:val="23"/>
                <w:szCs w:val="23"/>
                <w:color w:val="auto"/>
              </w:rPr>
            </w:pPr>
          </w:p>
        </w:tc>
        <w:tc>
          <w:tcPr>
            <w:tcW w:w="1820" w:type="dxa"/>
            <w:vAlign w:val="bottom"/>
            <w:tcBorders>
              <w:bottom w:val="single" w:sz="8" w:color="050505"/>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050505"/>
              </w:rPr>
              <w:t>December 31, 2025</w:t>
            </w:r>
          </w:p>
        </w:tc>
        <w:tc>
          <w:tcPr>
            <w:tcW w:w="400" w:type="dxa"/>
            <w:vAlign w:val="bottom"/>
            <w:tcBorders>
              <w:bottom w:val="single" w:sz="8" w:color="050505"/>
            </w:tcBorders>
          </w:tcPr>
          <w:p>
            <w:pPr>
              <w:spacing w:after="0"/>
              <w:rPr>
                <w:sz w:val="23"/>
                <w:szCs w:val="23"/>
                <w:color w:val="auto"/>
              </w:rPr>
            </w:pPr>
          </w:p>
        </w:tc>
        <w:tc>
          <w:tcPr>
            <w:tcW w:w="80" w:type="dxa"/>
            <w:vAlign w:val="bottom"/>
            <w:tcBorders>
              <w:bottom w:val="single" w:sz="8" w:color="050505"/>
            </w:tcBorders>
          </w:tcPr>
          <w:p>
            <w:pPr>
              <w:spacing w:after="0"/>
              <w:rPr>
                <w:sz w:val="23"/>
                <w:szCs w:val="23"/>
                <w:color w:val="auto"/>
              </w:rPr>
            </w:pPr>
          </w:p>
        </w:tc>
        <w:tc>
          <w:tcPr>
            <w:tcW w:w="300" w:type="dxa"/>
            <w:vAlign w:val="bottom"/>
            <w:tcBorders>
              <w:bottom w:val="single" w:sz="8" w:color="050505"/>
            </w:tcBorders>
          </w:tcPr>
          <w:p>
            <w:pPr>
              <w:spacing w:after="0"/>
              <w:rPr>
                <w:sz w:val="23"/>
                <w:szCs w:val="23"/>
                <w:color w:val="auto"/>
              </w:rPr>
            </w:pPr>
          </w:p>
        </w:tc>
        <w:tc>
          <w:tcPr>
            <w:tcW w:w="900" w:type="dxa"/>
            <w:vAlign w:val="bottom"/>
            <w:tcBorders>
              <w:bottom w:val="single" w:sz="8" w:color="050505"/>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Amortized</w:t>
            </w: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Unrealized</w:t>
            </w:r>
          </w:p>
        </w:tc>
        <w:tc>
          <w:tcPr>
            <w:tcW w:w="8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Unrealized</w:t>
            </w:r>
          </w:p>
        </w:tc>
        <w:tc>
          <w:tcPr>
            <w:tcW w:w="80" w:type="dxa"/>
            <w:vAlign w:val="bottom"/>
          </w:tcPr>
          <w:p>
            <w:pPr>
              <w:spacing w:after="0"/>
              <w:rPr>
                <w:sz w:val="21"/>
                <w:szCs w:val="21"/>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050505"/>
              </w:rPr>
              <w:t>Fair Value</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280" w:type="dxa"/>
            <w:vAlign w:val="bottom"/>
            <w:tcBorders>
              <w:bottom w:val="single" w:sz="8" w:color="050505"/>
            </w:tcBorders>
          </w:tcPr>
          <w:p>
            <w:pPr>
              <w:spacing w:after="0"/>
              <w:rPr>
                <w:sz w:val="22"/>
                <w:szCs w:val="22"/>
                <w:color w:val="auto"/>
              </w:rPr>
            </w:pPr>
          </w:p>
        </w:tc>
        <w:tc>
          <w:tcPr>
            <w:tcW w:w="920" w:type="dxa"/>
            <w:vAlign w:val="bottom"/>
            <w:tcBorders>
              <w:bottom w:val="single" w:sz="8" w:color="050505"/>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050505"/>
              </w:rPr>
              <w:t>Cost</w:t>
            </w:r>
          </w:p>
        </w:tc>
        <w:tc>
          <w:tcPr>
            <w:tcW w:w="80" w:type="dxa"/>
            <w:vAlign w:val="bottom"/>
            <w:tcBorders>
              <w:bottom w:val="single" w:sz="8" w:color="050505"/>
            </w:tcBorders>
          </w:tcPr>
          <w:p>
            <w:pPr>
              <w:spacing w:after="0"/>
              <w:rPr>
                <w:sz w:val="22"/>
                <w:szCs w:val="22"/>
                <w:color w:val="auto"/>
              </w:rPr>
            </w:pPr>
          </w:p>
        </w:tc>
        <w:tc>
          <w:tcPr>
            <w:tcW w:w="260" w:type="dxa"/>
            <w:vAlign w:val="bottom"/>
            <w:tcBorders>
              <w:bottom w:val="single" w:sz="8" w:color="050505"/>
            </w:tcBorders>
          </w:tcPr>
          <w:p>
            <w:pPr>
              <w:spacing w:after="0"/>
              <w:rPr>
                <w:sz w:val="22"/>
                <w:szCs w:val="22"/>
                <w:color w:val="auto"/>
              </w:rPr>
            </w:pPr>
          </w:p>
        </w:tc>
        <w:tc>
          <w:tcPr>
            <w:tcW w:w="940" w:type="dxa"/>
            <w:vAlign w:val="bottom"/>
            <w:tcBorders>
              <w:bottom w:val="single" w:sz="8" w:color="050505"/>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050505"/>
              </w:rPr>
              <w:t>Gains</w:t>
            </w:r>
          </w:p>
        </w:tc>
        <w:tc>
          <w:tcPr>
            <w:tcW w:w="80" w:type="dxa"/>
            <w:vAlign w:val="bottom"/>
            <w:tcBorders>
              <w:bottom w:val="single" w:sz="8" w:color="050505"/>
            </w:tcBorders>
          </w:tcPr>
          <w:p>
            <w:pPr>
              <w:spacing w:after="0"/>
              <w:rPr>
                <w:sz w:val="22"/>
                <w:szCs w:val="22"/>
                <w:color w:val="auto"/>
              </w:rPr>
            </w:pPr>
          </w:p>
        </w:tc>
        <w:tc>
          <w:tcPr>
            <w:tcW w:w="1200" w:type="dxa"/>
            <w:vAlign w:val="bottom"/>
            <w:tcBorders>
              <w:bottom w:val="single" w:sz="8" w:color="050505"/>
            </w:tcBorders>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050505"/>
              </w:rPr>
              <w:t>Losses</w:t>
            </w:r>
          </w:p>
        </w:tc>
        <w:tc>
          <w:tcPr>
            <w:tcW w:w="80" w:type="dxa"/>
            <w:vAlign w:val="bottom"/>
            <w:tcBorders>
              <w:bottom w:val="single" w:sz="8" w:color="050505"/>
            </w:tcBorders>
          </w:tcPr>
          <w:p>
            <w:pPr>
              <w:spacing w:after="0"/>
              <w:rPr>
                <w:sz w:val="22"/>
                <w:szCs w:val="22"/>
                <w:color w:val="auto"/>
              </w:rPr>
            </w:pPr>
          </w:p>
        </w:tc>
        <w:tc>
          <w:tcPr>
            <w:tcW w:w="1200" w:type="dxa"/>
            <w:vAlign w:val="bottom"/>
            <w:tcBorders>
              <w:bottom w:val="single" w:sz="8" w:color="050505"/>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Money market funds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48,576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05050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48,576</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Commercial paper</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42,696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42,704</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Corporate bonds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53,636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53,705</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U.S. treasury securities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75,990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167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76,157</w:t>
            </w:r>
          </w:p>
        </w:tc>
        <w:tc>
          <w:tcPr>
            <w:tcW w:w="0" w:type="dxa"/>
            <w:vAlign w:val="bottom"/>
          </w:tcPr>
          <w:p>
            <w:pPr>
              <w:spacing w:after="0"/>
              <w:rPr>
                <w:sz w:val="1"/>
                <w:szCs w:val="1"/>
                <w:color w:val="auto"/>
              </w:rPr>
            </w:pPr>
          </w:p>
        </w:tc>
      </w:tr>
      <w:tr>
        <w:trPr>
          <w:trHeight w:val="303"/>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U.S. agency securities</w:t>
            </w:r>
          </w:p>
        </w:tc>
        <w:tc>
          <w:tcPr>
            <w:tcW w:w="280" w:type="dxa"/>
            <w:vAlign w:val="bottom"/>
            <w:tcBorders>
              <w:bottom w:val="single" w:sz="8" w:color="050505"/>
            </w:tcBorders>
          </w:tcPr>
          <w:p>
            <w:pPr>
              <w:spacing w:after="0"/>
              <w:rPr>
                <w:sz w:val="24"/>
                <w:szCs w:val="24"/>
                <w:color w:val="auto"/>
              </w:rPr>
            </w:pPr>
          </w:p>
        </w:tc>
        <w:tc>
          <w:tcPr>
            <w:tcW w:w="9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33,974</w:t>
            </w:r>
          </w:p>
        </w:tc>
        <w:tc>
          <w:tcPr>
            <w:tcW w:w="8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9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25</w:t>
            </w:r>
          </w:p>
        </w:tc>
        <w:tc>
          <w:tcPr>
            <w:tcW w:w="80" w:type="dxa"/>
            <w:vAlign w:val="bottom"/>
          </w:tcPr>
          <w:p>
            <w:pPr>
              <w:spacing w:after="0"/>
              <w:rPr>
                <w:sz w:val="24"/>
                <w:szCs w:val="24"/>
                <w:color w:val="auto"/>
              </w:rPr>
            </w:pPr>
          </w:p>
        </w:tc>
        <w:tc>
          <w:tcPr>
            <w:tcW w:w="800" w:type="dxa"/>
            <w:vAlign w:val="bottom"/>
            <w:tcBorders>
              <w:bottom w:val="single" w:sz="8" w:color="050505"/>
            </w:tcBorders>
          </w:tcPr>
          <w:p>
            <w:pPr>
              <w:spacing w:after="0"/>
              <w:rPr>
                <w:sz w:val="24"/>
                <w:szCs w:val="24"/>
                <w:color w:val="auto"/>
              </w:rPr>
            </w:pPr>
          </w:p>
        </w:tc>
        <w:tc>
          <w:tcPr>
            <w:tcW w:w="4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9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33,999</w:t>
            </w:r>
          </w:p>
        </w:tc>
        <w:tc>
          <w:tcPr>
            <w:tcW w:w="0" w:type="dxa"/>
            <w:vAlign w:val="bottom"/>
          </w:tcPr>
          <w:p>
            <w:pPr>
              <w:spacing w:after="0"/>
              <w:rPr>
                <w:sz w:val="1"/>
                <w:szCs w:val="1"/>
                <w:color w:val="auto"/>
              </w:rPr>
            </w:pPr>
          </w:p>
        </w:tc>
      </w:tr>
      <w:tr>
        <w:trPr>
          <w:trHeight w:val="260"/>
        </w:trPr>
        <w:tc>
          <w:tcPr>
            <w:tcW w:w="518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Total cash equivalents and investments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254,872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279</w:t>
            </w: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05050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255,141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20"/>
                <w:szCs w:val="20"/>
                <w:color w:val="050505"/>
              </w:rPr>
              <w:t>Classified as:</w:t>
            </w:r>
          </w:p>
        </w:tc>
        <w:tc>
          <w:tcPr>
            <w:tcW w:w="280" w:type="dxa"/>
            <w:vAlign w:val="bottom"/>
            <w:tcBorders>
              <w:top w:val="single" w:sz="8" w:color="050505"/>
              <w:bottom w:val="single" w:sz="8" w:color="050505"/>
            </w:tcBorders>
          </w:tcPr>
          <w:p>
            <w:pPr>
              <w:spacing w:after="0" w:line="20" w:lineRule="exact"/>
              <w:rPr>
                <w:sz w:val="1"/>
                <w:szCs w:val="1"/>
                <w:color w:val="auto"/>
              </w:rPr>
            </w:pPr>
          </w:p>
        </w:tc>
        <w:tc>
          <w:tcPr>
            <w:tcW w:w="92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94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050505"/>
              <w:bottom w:val="single" w:sz="8" w:color="050505"/>
            </w:tcBorders>
          </w:tcPr>
          <w:p>
            <w:pPr>
              <w:spacing w:after="0" w:line="20" w:lineRule="exact"/>
              <w:rPr>
                <w:sz w:val="1"/>
                <w:szCs w:val="1"/>
                <w:color w:val="auto"/>
              </w:rPr>
            </w:pPr>
          </w:p>
        </w:tc>
        <w:tc>
          <w:tcPr>
            <w:tcW w:w="40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90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Cash equivalents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48,576</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Short-term investments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198,522</w:t>
            </w:r>
          </w:p>
        </w:tc>
        <w:tc>
          <w:tcPr>
            <w:tcW w:w="0" w:type="dxa"/>
            <w:vAlign w:val="bottom"/>
          </w:tcPr>
          <w:p>
            <w:pPr>
              <w:spacing w:after="0"/>
              <w:rPr>
                <w:sz w:val="1"/>
                <w:szCs w:val="1"/>
                <w:color w:val="auto"/>
              </w:rPr>
            </w:pPr>
          </w:p>
        </w:tc>
      </w:tr>
      <w:tr>
        <w:trPr>
          <w:trHeight w:val="303"/>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Long-term investments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9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8,043</w:t>
            </w:r>
          </w:p>
        </w:tc>
        <w:tc>
          <w:tcPr>
            <w:tcW w:w="0" w:type="dxa"/>
            <w:vAlign w:val="bottom"/>
          </w:tcPr>
          <w:p>
            <w:pPr>
              <w:spacing w:after="0"/>
              <w:rPr>
                <w:sz w:val="1"/>
                <w:szCs w:val="1"/>
                <w:color w:val="auto"/>
              </w:rPr>
            </w:pPr>
          </w:p>
        </w:tc>
      </w:tr>
      <w:tr>
        <w:trPr>
          <w:trHeight w:val="26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Total cash equivalents, and investments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255,141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90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3317875</wp:posOffset>
                </wp:positionH>
                <wp:positionV relativeFrom="paragraph">
                  <wp:posOffset>-2819400</wp:posOffset>
                </wp:positionV>
                <wp:extent cx="319087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0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25pt,-222pt" to="512.5pt,-2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3317875</wp:posOffset>
                </wp:positionH>
                <wp:positionV relativeFrom="paragraph">
                  <wp:posOffset>-2486025</wp:posOffset>
                </wp:positionV>
                <wp:extent cx="31908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08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25pt,-195.7499pt" to="512.5pt,-19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3317875</wp:posOffset>
                </wp:positionH>
                <wp:positionV relativeFrom="paragraph">
                  <wp:posOffset>-1352550</wp:posOffset>
                </wp:positionV>
                <wp:extent cx="7620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25pt,-106.4999pt" to="321.25pt,-10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4127500</wp:posOffset>
                </wp:positionH>
                <wp:positionV relativeFrom="paragraph">
                  <wp:posOffset>-1352550</wp:posOffset>
                </wp:positionV>
                <wp:extent cx="7620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pt,-106.4999pt" to="385pt,-10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4937125</wp:posOffset>
                </wp:positionH>
                <wp:positionV relativeFrom="paragraph">
                  <wp:posOffset>-1352550</wp:posOffset>
                </wp:positionV>
                <wp:extent cx="7620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75pt,-106.4999pt" to="448.75pt,-10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-1352550</wp:posOffset>
                </wp:positionV>
                <wp:extent cx="7620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06.4999pt" to="512.5pt,-106.4999pt" o:allowincell="f" strokecolor="#000000" strokeweight="0pt"/>
            </w:pict>
          </mc:Fallback>
        </mc:AlternateContent>
        <w:drawing>
          <wp:anchor simplePos="0" relativeHeight="251657728" behindDoc="1" locked="0" layoutInCell="0" allowOverlap="1">
            <wp:simplePos x="0" y="0"/>
            <wp:positionH relativeFrom="column">
              <wp:posOffset>3305175</wp:posOffset>
            </wp:positionH>
            <wp:positionV relativeFrom="paragraph">
              <wp:posOffset>-1186815</wp:posOffset>
            </wp:positionV>
            <wp:extent cx="321627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5">
                      <a:extLst>
                        <a:ext uri="{28A0092B-C50C-407E-A947-70E740481C1C}"/>
                      </a:extLst>
                    </a:blip>
                    <a:srcRect/>
                    <a:stretch>
                      <a:fillRect/>
                    </a:stretch>
                  </pic:blipFill>
                  <pic:spPr bwMode="auto">
                    <a:xfrm>
                      <a:off x="0" y="0"/>
                      <a:ext cx="3216275"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5746750</wp:posOffset>
                </wp:positionH>
                <wp:positionV relativeFrom="paragraph">
                  <wp:posOffset>-209550</wp:posOffset>
                </wp:positionV>
                <wp:extent cx="7620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16.4999pt" to="512.5pt,-16.4999pt" o:allowincell="f" strokecolor="#000000" strokeweight="0pt"/>
            </w:pict>
          </mc:Fallback>
        </mc:AlternateContent>
        <w:drawing>
          <wp:anchor simplePos="0" relativeHeight="251657728" behindDoc="1" locked="0" layoutInCell="0" allowOverlap="1">
            <wp:simplePos x="0" y="0"/>
            <wp:positionH relativeFrom="column">
              <wp:posOffset>5734050</wp:posOffset>
            </wp:positionH>
            <wp:positionV relativeFrom="paragraph">
              <wp:posOffset>-43815</wp:posOffset>
            </wp:positionV>
            <wp:extent cx="78740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6">
                      <a:extLst>
                        <a:ext uri="{28A0092B-C50C-407E-A947-70E740481C1C}"/>
                      </a:extLst>
                    </a:blip>
                    <a:srcRect/>
                    <a:stretch>
                      <a:fillRect/>
                    </a:stretch>
                  </pic:blipFill>
                  <pic:spPr bwMode="auto">
                    <a:xfrm>
                      <a:off x="0" y="0"/>
                      <a:ext cx="787400" cy="50800"/>
                    </a:xfrm>
                    <a:prstGeom prst="rect">
                      <a:avLst/>
                    </a:prstGeom>
                    <a:noFill/>
                  </pic:spPr>
                </pic:pic>
              </a:graphicData>
            </a:graphic>
          </wp:anchor>
        </w:drawing>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fair value and amortized cost of cash equivalents and available-for-sale securities by major security type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December 31, 2024 are presented in the following tables: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18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920" w:type="dxa"/>
            <w:vAlign w:val="bottom"/>
            <w:tcBorders>
              <w:bottom w:val="single" w:sz="8" w:color="050505"/>
            </w:tcBorders>
          </w:tcPr>
          <w:p>
            <w:pPr>
              <w:spacing w:after="0"/>
              <w:rPr>
                <w:sz w:val="23"/>
                <w:szCs w:val="23"/>
                <w:color w:val="auto"/>
              </w:rPr>
            </w:pPr>
          </w:p>
        </w:tc>
        <w:tc>
          <w:tcPr>
            <w:tcW w:w="60" w:type="dxa"/>
            <w:vAlign w:val="bottom"/>
            <w:tcBorders>
              <w:bottom w:val="single" w:sz="8" w:color="050505"/>
            </w:tcBorders>
          </w:tcPr>
          <w:p>
            <w:pPr>
              <w:spacing w:after="0"/>
              <w:rPr>
                <w:sz w:val="23"/>
                <w:szCs w:val="23"/>
                <w:color w:val="auto"/>
              </w:rPr>
            </w:pPr>
          </w:p>
        </w:tc>
        <w:tc>
          <w:tcPr>
            <w:tcW w:w="260" w:type="dxa"/>
            <w:vAlign w:val="bottom"/>
            <w:tcBorders>
              <w:bottom w:val="single" w:sz="8" w:color="050505"/>
            </w:tcBorders>
          </w:tcPr>
          <w:p>
            <w:pPr>
              <w:spacing w:after="0"/>
              <w:rPr>
                <w:sz w:val="23"/>
                <w:szCs w:val="23"/>
                <w:color w:val="auto"/>
              </w:rPr>
            </w:pPr>
          </w:p>
        </w:tc>
        <w:tc>
          <w:tcPr>
            <w:tcW w:w="2200" w:type="dxa"/>
            <w:vAlign w:val="bottom"/>
            <w:tcBorders>
              <w:bottom w:val="single" w:sz="8" w:color="050505"/>
            </w:tcBorders>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December 31, 2024</w:t>
            </w:r>
          </w:p>
        </w:tc>
        <w:tc>
          <w:tcPr>
            <w:tcW w:w="60" w:type="dxa"/>
            <w:vAlign w:val="bottom"/>
            <w:tcBorders>
              <w:bottom w:val="single" w:sz="8" w:color="050505"/>
            </w:tcBorders>
          </w:tcPr>
          <w:p>
            <w:pPr>
              <w:spacing w:after="0"/>
              <w:rPr>
                <w:sz w:val="23"/>
                <w:szCs w:val="23"/>
                <w:color w:val="auto"/>
              </w:rPr>
            </w:pPr>
          </w:p>
        </w:tc>
        <w:tc>
          <w:tcPr>
            <w:tcW w:w="320" w:type="dxa"/>
            <w:vAlign w:val="bottom"/>
            <w:tcBorders>
              <w:bottom w:val="single" w:sz="8" w:color="050505"/>
            </w:tcBorders>
          </w:tcPr>
          <w:p>
            <w:pPr>
              <w:spacing w:after="0"/>
              <w:rPr>
                <w:sz w:val="23"/>
                <w:szCs w:val="23"/>
                <w:color w:val="auto"/>
              </w:rPr>
            </w:pPr>
          </w:p>
        </w:tc>
        <w:tc>
          <w:tcPr>
            <w:tcW w:w="880" w:type="dxa"/>
            <w:vAlign w:val="bottom"/>
            <w:tcBorders>
              <w:bottom w:val="single" w:sz="8" w:color="050505"/>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120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b w:val="1"/>
                <w:bCs w:val="1"/>
                <w:color w:val="050505"/>
              </w:rPr>
              <w:t>Amortized</w:t>
            </w:r>
          </w:p>
        </w:tc>
        <w:tc>
          <w:tcPr>
            <w:tcW w:w="60" w:type="dxa"/>
            <w:vAlign w:val="bottom"/>
          </w:tcPr>
          <w:p>
            <w:pPr>
              <w:spacing w:after="0"/>
              <w:rPr>
                <w:sz w:val="18"/>
                <w:szCs w:val="18"/>
                <w:color w:val="auto"/>
              </w:rPr>
            </w:pPr>
          </w:p>
        </w:tc>
        <w:tc>
          <w:tcPr>
            <w:tcW w:w="120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b w:val="1"/>
                <w:bCs w:val="1"/>
                <w:color w:val="050505"/>
              </w:rPr>
              <w:t>Unrealized</w:t>
            </w:r>
          </w:p>
        </w:tc>
        <w:tc>
          <w:tcPr>
            <w:tcW w:w="60" w:type="dxa"/>
            <w:vAlign w:val="bottom"/>
          </w:tcPr>
          <w:p>
            <w:pPr>
              <w:spacing w:after="0"/>
              <w:rPr>
                <w:sz w:val="18"/>
                <w:szCs w:val="18"/>
                <w:color w:val="auto"/>
              </w:rPr>
            </w:pPr>
          </w:p>
        </w:tc>
        <w:tc>
          <w:tcPr>
            <w:tcW w:w="120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b w:val="1"/>
                <w:bCs w:val="1"/>
                <w:color w:val="050505"/>
              </w:rPr>
              <w:t>Unrealized</w:t>
            </w:r>
          </w:p>
        </w:tc>
        <w:tc>
          <w:tcPr>
            <w:tcW w:w="60" w:type="dxa"/>
            <w:vAlign w:val="bottom"/>
          </w:tcPr>
          <w:p>
            <w:pPr>
              <w:spacing w:after="0"/>
              <w:rPr>
                <w:sz w:val="18"/>
                <w:szCs w:val="18"/>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Fair Value</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280" w:type="dxa"/>
            <w:vAlign w:val="bottom"/>
            <w:tcBorders>
              <w:bottom w:val="single" w:sz="8" w:color="050505"/>
            </w:tcBorders>
          </w:tcPr>
          <w:p>
            <w:pPr>
              <w:spacing w:after="0"/>
              <w:rPr>
                <w:sz w:val="22"/>
                <w:szCs w:val="22"/>
                <w:color w:val="auto"/>
              </w:rPr>
            </w:pPr>
          </w:p>
        </w:tc>
        <w:tc>
          <w:tcPr>
            <w:tcW w:w="920" w:type="dxa"/>
            <w:vAlign w:val="bottom"/>
            <w:tcBorders>
              <w:bottom w:val="single" w:sz="8" w:color="050505"/>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050505"/>
              </w:rPr>
              <w:t>Cost</w:t>
            </w:r>
          </w:p>
        </w:tc>
        <w:tc>
          <w:tcPr>
            <w:tcW w:w="60" w:type="dxa"/>
            <w:vAlign w:val="bottom"/>
            <w:tcBorders>
              <w:bottom w:val="single" w:sz="8" w:color="050505"/>
            </w:tcBorders>
          </w:tcPr>
          <w:p>
            <w:pPr>
              <w:spacing w:after="0"/>
              <w:rPr>
                <w:sz w:val="22"/>
                <w:szCs w:val="22"/>
                <w:color w:val="auto"/>
              </w:rPr>
            </w:pPr>
          </w:p>
        </w:tc>
        <w:tc>
          <w:tcPr>
            <w:tcW w:w="260" w:type="dxa"/>
            <w:vAlign w:val="bottom"/>
            <w:tcBorders>
              <w:bottom w:val="single" w:sz="8" w:color="050505"/>
            </w:tcBorders>
          </w:tcPr>
          <w:p>
            <w:pPr>
              <w:spacing w:after="0"/>
              <w:rPr>
                <w:sz w:val="22"/>
                <w:szCs w:val="22"/>
                <w:color w:val="auto"/>
              </w:rPr>
            </w:pPr>
          </w:p>
        </w:tc>
        <w:tc>
          <w:tcPr>
            <w:tcW w:w="940" w:type="dxa"/>
            <w:vAlign w:val="bottom"/>
            <w:tcBorders>
              <w:bottom w:val="single" w:sz="8" w:color="050505"/>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050505"/>
              </w:rPr>
              <w:t>Gains</w:t>
            </w:r>
          </w:p>
        </w:tc>
        <w:tc>
          <w:tcPr>
            <w:tcW w:w="60" w:type="dxa"/>
            <w:vAlign w:val="bottom"/>
            <w:tcBorders>
              <w:bottom w:val="single" w:sz="8" w:color="050505"/>
            </w:tcBorders>
          </w:tcPr>
          <w:p>
            <w:pPr>
              <w:spacing w:after="0"/>
              <w:rPr>
                <w:sz w:val="22"/>
                <w:szCs w:val="22"/>
                <w:color w:val="auto"/>
              </w:rPr>
            </w:pPr>
          </w:p>
        </w:tc>
        <w:tc>
          <w:tcPr>
            <w:tcW w:w="240" w:type="dxa"/>
            <w:vAlign w:val="bottom"/>
            <w:tcBorders>
              <w:bottom w:val="single" w:sz="8" w:color="050505"/>
            </w:tcBorders>
          </w:tcPr>
          <w:p>
            <w:pPr>
              <w:spacing w:after="0"/>
              <w:rPr>
                <w:sz w:val="22"/>
                <w:szCs w:val="22"/>
                <w:color w:val="auto"/>
              </w:rPr>
            </w:pPr>
          </w:p>
        </w:tc>
        <w:tc>
          <w:tcPr>
            <w:tcW w:w="960" w:type="dxa"/>
            <w:vAlign w:val="bottom"/>
            <w:tcBorders>
              <w:bottom w:val="single" w:sz="8" w:color="050505"/>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050505"/>
              </w:rPr>
              <w:t>Losses</w:t>
            </w:r>
          </w:p>
        </w:tc>
        <w:tc>
          <w:tcPr>
            <w:tcW w:w="60" w:type="dxa"/>
            <w:vAlign w:val="bottom"/>
            <w:tcBorders>
              <w:bottom w:val="single" w:sz="8" w:color="050505"/>
            </w:tcBorders>
          </w:tcPr>
          <w:p>
            <w:pPr>
              <w:spacing w:after="0"/>
              <w:rPr>
                <w:sz w:val="22"/>
                <w:szCs w:val="22"/>
                <w:color w:val="auto"/>
              </w:rPr>
            </w:pPr>
          </w:p>
        </w:tc>
        <w:tc>
          <w:tcPr>
            <w:tcW w:w="1200" w:type="dxa"/>
            <w:vAlign w:val="bottom"/>
            <w:tcBorders>
              <w:bottom w:val="single" w:sz="8" w:color="050505"/>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Money market funds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65,780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65,780</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Commercial paper</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66,269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66,254</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Corporate bonds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82,716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82,724</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U.S. treasury securities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85,765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85,728</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U.S. agency securities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58,566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58,516</w:t>
            </w:r>
          </w:p>
        </w:tc>
        <w:tc>
          <w:tcPr>
            <w:tcW w:w="0" w:type="dxa"/>
            <w:vAlign w:val="bottom"/>
          </w:tcPr>
          <w:p>
            <w:pPr>
              <w:spacing w:after="0"/>
              <w:rPr>
                <w:sz w:val="1"/>
                <w:szCs w:val="1"/>
                <w:color w:val="auto"/>
              </w:rPr>
            </w:pPr>
          </w:p>
        </w:tc>
      </w:tr>
      <w:tr>
        <w:trPr>
          <w:trHeight w:val="303"/>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Asset-backed securities</w:t>
            </w:r>
          </w:p>
        </w:tc>
        <w:tc>
          <w:tcPr>
            <w:tcW w:w="280" w:type="dxa"/>
            <w:vAlign w:val="bottom"/>
            <w:tcBorders>
              <w:bottom w:val="single" w:sz="8" w:color="050505"/>
            </w:tcBorders>
          </w:tcPr>
          <w:p>
            <w:pPr>
              <w:spacing w:after="0"/>
              <w:rPr>
                <w:sz w:val="24"/>
                <w:szCs w:val="24"/>
                <w:color w:val="auto"/>
              </w:rPr>
            </w:pPr>
          </w:p>
        </w:tc>
        <w:tc>
          <w:tcPr>
            <w:tcW w:w="9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9,695</w:t>
            </w:r>
          </w:p>
        </w:tc>
        <w:tc>
          <w:tcPr>
            <w:tcW w:w="60" w:type="dxa"/>
            <w:vAlign w:val="bottom"/>
          </w:tcPr>
          <w:p>
            <w:pPr>
              <w:spacing w:after="0"/>
              <w:rPr>
                <w:sz w:val="24"/>
                <w:szCs w:val="24"/>
                <w:color w:val="auto"/>
              </w:rPr>
            </w:pPr>
          </w:p>
        </w:tc>
        <w:tc>
          <w:tcPr>
            <w:tcW w:w="260" w:type="dxa"/>
            <w:vAlign w:val="bottom"/>
            <w:tcBorders>
              <w:bottom w:val="single" w:sz="8" w:color="050505"/>
            </w:tcBorders>
          </w:tcPr>
          <w:p>
            <w:pPr>
              <w:spacing w:after="0"/>
              <w:rPr>
                <w:sz w:val="24"/>
                <w:szCs w:val="24"/>
                <w:color w:val="auto"/>
              </w:rPr>
            </w:pPr>
          </w:p>
        </w:tc>
        <w:tc>
          <w:tcPr>
            <w:tcW w:w="9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5</w:t>
            </w:r>
          </w:p>
        </w:tc>
        <w:tc>
          <w:tcPr>
            <w:tcW w:w="60" w:type="dxa"/>
            <w:vAlign w:val="bottom"/>
          </w:tcPr>
          <w:p>
            <w:pPr>
              <w:spacing w:after="0"/>
              <w:rPr>
                <w:sz w:val="24"/>
                <w:szCs w:val="24"/>
                <w:color w:val="auto"/>
              </w:rPr>
            </w:pPr>
          </w:p>
        </w:tc>
        <w:tc>
          <w:tcPr>
            <w:tcW w:w="240" w:type="dxa"/>
            <w:vAlign w:val="bottom"/>
            <w:tcBorders>
              <w:bottom w:val="single" w:sz="8" w:color="050505"/>
            </w:tcBorders>
          </w:tcPr>
          <w:p>
            <w:pPr>
              <w:spacing w:after="0"/>
              <w:rPr>
                <w:sz w:val="24"/>
                <w:szCs w:val="24"/>
                <w:color w:val="auto"/>
              </w:rPr>
            </w:pPr>
          </w:p>
        </w:tc>
        <w:tc>
          <w:tcPr>
            <w:tcW w:w="9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8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9,700</w:t>
            </w:r>
          </w:p>
        </w:tc>
        <w:tc>
          <w:tcPr>
            <w:tcW w:w="0" w:type="dxa"/>
            <w:vAlign w:val="bottom"/>
          </w:tcPr>
          <w:p>
            <w:pPr>
              <w:spacing w:after="0"/>
              <w:rPr>
                <w:sz w:val="1"/>
                <w:szCs w:val="1"/>
                <w:color w:val="auto"/>
              </w:rPr>
            </w:pPr>
          </w:p>
        </w:tc>
      </w:tr>
      <w:tr>
        <w:trPr>
          <w:trHeight w:val="26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Total cash equivalents and investments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368,791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368,702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20"/>
                <w:szCs w:val="20"/>
                <w:color w:val="050505"/>
              </w:rPr>
              <w:t>Classified as:</w:t>
            </w:r>
          </w:p>
        </w:tc>
        <w:tc>
          <w:tcPr>
            <w:tcW w:w="280" w:type="dxa"/>
            <w:vAlign w:val="bottom"/>
            <w:tcBorders>
              <w:top w:val="single" w:sz="8" w:color="050505"/>
              <w:bottom w:val="single" w:sz="8" w:color="050505"/>
            </w:tcBorders>
          </w:tcPr>
          <w:p>
            <w:pPr>
              <w:spacing w:after="0" w:line="20" w:lineRule="exact"/>
              <w:rPr>
                <w:sz w:val="1"/>
                <w:szCs w:val="1"/>
                <w:color w:val="auto"/>
              </w:rPr>
            </w:pPr>
          </w:p>
        </w:tc>
        <w:tc>
          <w:tcPr>
            <w:tcW w:w="9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50505"/>
              <w:bottom w:val="single" w:sz="8" w:color="050505"/>
            </w:tcBorders>
          </w:tcPr>
          <w:p>
            <w:pPr>
              <w:spacing w:after="0" w:line="20" w:lineRule="exact"/>
              <w:rPr>
                <w:sz w:val="1"/>
                <w:szCs w:val="1"/>
                <w:color w:val="auto"/>
              </w:rPr>
            </w:pPr>
          </w:p>
        </w:tc>
        <w:tc>
          <w:tcPr>
            <w:tcW w:w="94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050505"/>
              <w:bottom w:val="single" w:sz="8" w:color="050505"/>
            </w:tcBorders>
          </w:tcPr>
          <w:p>
            <w:pPr>
              <w:spacing w:after="0" w:line="20" w:lineRule="exact"/>
              <w:rPr>
                <w:sz w:val="1"/>
                <w:szCs w:val="1"/>
                <w:color w:val="auto"/>
              </w:rPr>
            </w:pPr>
          </w:p>
        </w:tc>
        <w:tc>
          <w:tcPr>
            <w:tcW w:w="96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50505"/>
              <w:bottom w:val="single" w:sz="8" w:color="050505"/>
            </w:tcBorders>
          </w:tcPr>
          <w:p>
            <w:pPr>
              <w:spacing w:after="0" w:line="20" w:lineRule="exact"/>
              <w:rPr>
                <w:sz w:val="1"/>
                <w:szCs w:val="1"/>
                <w:color w:val="auto"/>
              </w:rPr>
            </w:pPr>
          </w:p>
        </w:tc>
        <w:tc>
          <w:tcPr>
            <w:tcW w:w="88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Cash equivalents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70,771</w:t>
            </w:r>
          </w:p>
        </w:tc>
        <w:tc>
          <w:tcPr>
            <w:tcW w:w="0" w:type="dxa"/>
            <w:vAlign w:val="bottom"/>
          </w:tcPr>
          <w:p>
            <w:pPr>
              <w:spacing w:after="0"/>
              <w:rPr>
                <w:sz w:val="1"/>
                <w:szCs w:val="1"/>
                <w:color w:val="auto"/>
              </w:rPr>
            </w:pPr>
          </w:p>
        </w:tc>
      </w:tr>
      <w:tr>
        <w:trPr>
          <w:trHeight w:val="30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Short-term investments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217,258</w:t>
            </w:r>
          </w:p>
        </w:tc>
        <w:tc>
          <w:tcPr>
            <w:tcW w:w="0" w:type="dxa"/>
            <w:vAlign w:val="bottom"/>
          </w:tcPr>
          <w:p>
            <w:pPr>
              <w:spacing w:after="0"/>
              <w:rPr>
                <w:sz w:val="1"/>
                <w:szCs w:val="1"/>
                <w:color w:val="auto"/>
              </w:rPr>
            </w:pPr>
          </w:p>
        </w:tc>
      </w:tr>
      <w:tr>
        <w:trPr>
          <w:trHeight w:val="303"/>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Long-term investments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8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80,673</w:t>
            </w:r>
          </w:p>
        </w:tc>
        <w:tc>
          <w:tcPr>
            <w:tcW w:w="0" w:type="dxa"/>
            <w:vAlign w:val="bottom"/>
          </w:tcPr>
          <w:p>
            <w:pPr>
              <w:spacing w:after="0"/>
              <w:rPr>
                <w:sz w:val="1"/>
                <w:szCs w:val="1"/>
                <w:color w:val="auto"/>
              </w:rPr>
            </w:pPr>
          </w:p>
        </w:tc>
      </w:tr>
      <w:tr>
        <w:trPr>
          <w:trHeight w:val="26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050505"/>
              </w:rPr>
              <w:t>Total cash equivalents, and investments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368,702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50505"/>
              <w:bottom w:val="single" w:sz="8" w:color="050505"/>
            </w:tcBorders>
          </w:tcPr>
          <w:p>
            <w:pPr>
              <w:spacing w:after="0" w:line="20" w:lineRule="exact"/>
              <w:rPr>
                <w:sz w:val="1"/>
                <w:szCs w:val="1"/>
                <w:color w:val="auto"/>
              </w:rPr>
            </w:pPr>
          </w:p>
        </w:tc>
        <w:tc>
          <w:tcPr>
            <w:tcW w:w="88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-1186815</wp:posOffset>
            </wp:positionV>
            <wp:extent cx="318770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7">
                      <a:extLst>
                        <a:ext uri="{28A0092B-C50C-407E-A947-70E740481C1C}"/>
                      </a:extLst>
                    </a:blip>
                    <a:srcRect/>
                    <a:stretch>
                      <a:fillRect/>
                    </a:stretch>
                  </pic:blipFill>
                  <pic:spPr bwMode="auto">
                    <a:xfrm>
                      <a:off x="0" y="0"/>
                      <a:ext cx="3187700" cy="5080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-43815</wp:posOffset>
            </wp:positionV>
            <wp:extent cx="787400"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8">
                      <a:extLst>
                        <a:ext uri="{28A0092B-C50C-407E-A947-70E740481C1C}"/>
                      </a:extLst>
                    </a:blip>
                    <a:srcRect/>
                    <a:stretch>
                      <a:fillRect/>
                    </a:stretch>
                  </pic:blipFill>
                  <pic:spPr bwMode="auto">
                    <a:xfrm>
                      <a:off x="0" y="0"/>
                      <a:ext cx="787400" cy="50800"/>
                    </a:xfrm>
                    <a:prstGeom prst="rect">
                      <a:avLst/>
                    </a:prstGeom>
                    <a:noFill/>
                  </pic:spPr>
                </pic:pic>
              </a:graphicData>
            </a:graphic>
          </wp:anchor>
        </w:drawing>
      </w:r>
    </w:p>
    <w:p>
      <w:pPr>
        <w:spacing w:after="0" w:line="108" w:lineRule="exact"/>
        <w:rPr>
          <w:sz w:val="20"/>
          <w:szCs w:val="20"/>
          <w:color w:val="auto"/>
        </w:rPr>
      </w:pPr>
    </w:p>
    <w:p>
      <w:pPr>
        <w:ind w:right="100" w:firstLine="720"/>
        <w:spacing w:after="0" w:line="281" w:lineRule="auto"/>
        <w:rPr>
          <w:sz w:val="20"/>
          <w:szCs w:val="20"/>
          <w:color w:val="auto"/>
        </w:rPr>
      </w:pPr>
      <w:r>
        <w:rPr>
          <w:rFonts w:ascii="Times New Roman" w:cs="Times New Roman" w:eastAsia="Times New Roman" w:hAnsi="Times New Roman"/>
          <w:sz w:val="20"/>
          <w:szCs w:val="20"/>
          <w:color w:val="050505"/>
        </w:rPr>
        <w:t>The fair values of available-for-sale debt investments by contractual maturity as of December 31, 2025 and 2024 were as follows:</w:t>
      </w:r>
    </w:p>
    <w:p>
      <w:pPr>
        <w:sectPr>
          <w:pgSz w:w="12240" w:h="15840" w:orient="portrait"/>
          <w:cols w:equalWidth="0" w:num="1">
            <w:col w:w="10260"/>
          </w:cols>
          <w:pgMar w:left="1000" w:top="87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50505"/>
        </w:rPr>
        <w:t>Due in 1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-166370</wp:posOffset>
            </wp:positionV>
            <wp:extent cx="6540500" cy="215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50505"/>
        </w:rPr>
        <w:t>Due in 1 - 2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6540500" cy="215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0">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050505"/>
        </w:rPr>
        <w:t>Due in 3 years</w:t>
      </w:r>
    </w:p>
    <w:p>
      <w:pPr>
        <w:spacing w:after="0" w:line="70"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9"/>
          <w:szCs w:val="19"/>
          <w:color w:val="050505"/>
        </w:rPr>
        <w:t>Instruments not due at a single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30480</wp:posOffset>
            </wp:positionV>
            <wp:extent cx="6540500" cy="228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1">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62" w:lineRule="exact"/>
        <w:rPr>
          <w:sz w:val="20"/>
          <w:szCs w:val="20"/>
          <w:color w:val="auto"/>
        </w:rPr>
      </w:pPr>
    </w:p>
    <w:p>
      <w:pPr>
        <w:jc w:val="center"/>
        <w:ind w:right="2360"/>
        <w:spacing w:after="0"/>
        <w:rPr>
          <w:sz w:val="20"/>
          <w:szCs w:val="20"/>
          <w:color w:val="auto"/>
        </w:rPr>
      </w:pPr>
      <w:r>
        <w:rPr>
          <w:rFonts w:ascii="Times New Roman" w:cs="Times New Roman" w:eastAsia="Times New Roman" w:hAnsi="Times New Roman"/>
          <w:sz w:val="20"/>
          <w:szCs w:val="20"/>
          <w:color w:val="050505"/>
        </w:rPr>
        <w:t>Total cash equivalents and investments</w:t>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Times New Roman" w:cs="Times New Roman" w:eastAsia="Times New Roman" w:hAnsi="Times New Roman"/>
          <w:sz w:val="20"/>
          <w:szCs w:val="20"/>
          <w:b w:val="1"/>
          <w:bCs w:val="1"/>
          <w:color w:val="050505"/>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222885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175.5pt,2.4pt" o:allowincell="f" strokecolor="#050505"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0" w:type="dxa"/>
            <w:vAlign w:val="bottom"/>
            <w:tcBorders>
              <w:bottom w:val="single" w:sz="8" w:color="050505"/>
            </w:tcBorders>
          </w:tcPr>
          <w:p>
            <w:pPr>
              <w:spacing w:after="0"/>
              <w:rPr>
                <w:sz w:val="23"/>
                <w:szCs w:val="23"/>
                <w:color w:val="auto"/>
              </w:rPr>
            </w:pPr>
          </w:p>
        </w:tc>
        <w:tc>
          <w:tcPr>
            <w:tcW w:w="1320" w:type="dxa"/>
            <w:vAlign w:val="bottom"/>
            <w:tcBorders>
              <w:bottom w:val="single" w:sz="8" w:color="050505"/>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Borders>
              <w:bottom w:val="single" w:sz="8" w:color="050505"/>
            </w:tcBorders>
          </w:tcPr>
          <w:p>
            <w:pPr>
              <w:spacing w:after="0"/>
              <w:rPr>
                <w:sz w:val="23"/>
                <w:szCs w:val="23"/>
                <w:color w:val="auto"/>
              </w:rPr>
            </w:pPr>
          </w:p>
        </w:tc>
        <w:tc>
          <w:tcPr>
            <w:tcW w:w="620" w:type="dxa"/>
            <w:vAlign w:val="bottom"/>
            <w:tcBorders>
              <w:bottom w:val="single" w:sz="8" w:color="050505"/>
            </w:tcBorders>
          </w:tcPr>
          <w:p>
            <w:pPr>
              <w:spacing w:after="0"/>
              <w:rPr>
                <w:sz w:val="23"/>
                <w:szCs w:val="23"/>
                <w:color w:val="auto"/>
              </w:rPr>
            </w:pPr>
          </w:p>
        </w:tc>
        <w:tc>
          <w:tcPr>
            <w:tcW w:w="1120" w:type="dxa"/>
            <w:vAlign w:val="bottom"/>
            <w:tcBorders>
              <w:bottom w:val="single" w:sz="8" w:color="050505"/>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64"/>
        </w:trPr>
        <w:tc>
          <w:tcPr>
            <w:tcW w:w="400" w:type="dxa"/>
            <w:vAlign w:val="bottom"/>
          </w:tcPr>
          <w:p>
            <w:pPr>
              <w:spacing w:after="0"/>
              <w:rPr>
                <w:sz w:val="22"/>
                <w:szCs w:val="22"/>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1120" w:type="dxa"/>
            <w:vAlign w:val="bottom"/>
          </w:tcPr>
          <w:p>
            <w:pPr>
              <w:spacing w:after="0"/>
              <w:rPr>
                <w:sz w:val="22"/>
                <w:szCs w:val="22"/>
                <w:color w:val="auto"/>
              </w:rPr>
            </w:pPr>
          </w:p>
        </w:tc>
      </w:tr>
      <w:tr>
        <w:trPr>
          <w:trHeight w:val="291"/>
        </w:trPr>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198,522</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222,250</w:t>
            </w:r>
          </w:p>
        </w:tc>
      </w:tr>
      <w:tr>
        <w:trPr>
          <w:trHeight w:val="300"/>
        </w:trPr>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8,043</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70,972</w:t>
            </w:r>
          </w:p>
        </w:tc>
      </w:tr>
      <w:tr>
        <w:trPr>
          <w:trHeight w:val="300"/>
        </w:trPr>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9,700</w:t>
            </w:r>
          </w:p>
        </w:tc>
      </w:tr>
      <w:tr>
        <w:trPr>
          <w:trHeight w:val="310"/>
        </w:trPr>
        <w:tc>
          <w:tcPr>
            <w:tcW w:w="400" w:type="dxa"/>
            <w:vAlign w:val="bottom"/>
            <w:tcBorders>
              <w:bottom w:val="single" w:sz="8" w:color="050505"/>
            </w:tcBorders>
          </w:tcPr>
          <w:p>
            <w:pPr>
              <w:spacing w:after="0"/>
              <w:rPr>
                <w:sz w:val="24"/>
                <w:szCs w:val="24"/>
                <w:color w:val="auto"/>
              </w:rPr>
            </w:pPr>
          </w:p>
        </w:tc>
        <w:tc>
          <w:tcPr>
            <w:tcW w:w="13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48,576</w:t>
            </w:r>
          </w:p>
        </w:tc>
        <w:tc>
          <w:tcPr>
            <w:tcW w:w="60" w:type="dxa"/>
            <w:vAlign w:val="bottom"/>
          </w:tcPr>
          <w:p>
            <w:pPr>
              <w:spacing w:after="0"/>
              <w:rPr>
                <w:sz w:val="24"/>
                <w:szCs w:val="24"/>
                <w:color w:val="auto"/>
              </w:rPr>
            </w:pPr>
          </w:p>
        </w:tc>
        <w:tc>
          <w:tcPr>
            <w:tcW w:w="62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65,780</w:t>
            </w:r>
          </w:p>
        </w:tc>
      </w:tr>
      <w:tr>
        <w:trPr>
          <w:trHeight w:val="260"/>
        </w:trPr>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255,141</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368,702</w:t>
            </w:r>
          </w:p>
        </w:tc>
      </w:tr>
      <w:tr>
        <w:trPr>
          <w:trHeight w:val="20"/>
        </w:trPr>
        <w:tc>
          <w:tcPr>
            <w:tcW w:w="400" w:type="dxa"/>
            <w:vAlign w:val="bottom"/>
            <w:tcBorders>
              <w:top w:val="single" w:sz="8" w:color="050505"/>
              <w:bottom w:val="single" w:sz="8" w:color="050505"/>
            </w:tcBorders>
          </w:tcPr>
          <w:p>
            <w:pPr>
              <w:spacing w:after="0" w:line="20" w:lineRule="exact"/>
              <w:rPr>
                <w:sz w:val="1"/>
                <w:szCs w:val="1"/>
                <w:color w:val="auto"/>
              </w:rPr>
            </w:pPr>
          </w:p>
        </w:tc>
        <w:tc>
          <w:tcPr>
            <w:tcW w:w="13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050505"/>
              <w:bottom w:val="single" w:sz="8" w:color="050505"/>
            </w:tcBorders>
          </w:tcPr>
          <w:p>
            <w:pPr>
              <w:spacing w:after="0" w:line="20" w:lineRule="exact"/>
              <w:rPr>
                <w:sz w:val="1"/>
                <w:szCs w:val="1"/>
                <w:color w:val="auto"/>
              </w:rPr>
            </w:pPr>
          </w:p>
        </w:tc>
        <w:tc>
          <w:tcPr>
            <w:tcW w:w="1120" w:type="dxa"/>
            <w:vAlign w:val="bottom"/>
            <w:tcBorders>
              <w:top w:val="single" w:sz="8" w:color="050505"/>
              <w:bottom w:val="single" w:sz="8" w:color="050505"/>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020" w:space="720"/>
            <w:col w:w="3520"/>
          </w:cols>
          <w:pgMar w:left="1000" w:top="877"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117</w:t>
      </w:r>
    </w:p>
    <w:p>
      <w:pPr>
        <w:sectPr>
          <w:pgSz w:w="12240" w:h="15840" w:orient="portrait"/>
          <w:cols w:equalWidth="0" w:num="1">
            <w:col w:w="10260"/>
          </w:cols>
          <w:pgMar w:left="1000" w:top="877" w:right="980" w:bottom="0" w:gutter="0" w:footer="0" w:header="0"/>
          <w:type w:val="continuous"/>
        </w:sectPr>
      </w:pPr>
    </w:p>
    <w:bookmarkStart w:id="121" w:name="page122"/>
    <w:bookmarkEnd w:id="121"/>
    <w:p>
      <w:pPr>
        <w:ind w:right="60" w:firstLine="720"/>
        <w:spacing w:after="0" w:line="254" w:lineRule="auto"/>
        <w:rPr>
          <w:sz w:val="20"/>
          <w:szCs w:val="20"/>
          <w:color w:val="auto"/>
        </w:rPr>
      </w:pPr>
      <w:r>
        <w:rPr>
          <w:rFonts w:ascii="Times New Roman" w:cs="Times New Roman" w:eastAsia="Times New Roman" w:hAnsi="Times New Roman"/>
          <w:sz w:val="20"/>
          <w:szCs w:val="20"/>
          <w:color w:val="050505"/>
        </w:rPr>
        <w:t>There were no significant realized losses on available-for-sale securities for the years ended December 31, 2025 and 2024. As of December 31, 2025 and 2024, unrealized losses on available-for-sale securities are not attributed to credit risk. The Company believes that it is more likely than not that investments in an unrealized loss position will be held until maturity and all interest and principal will be received. The Company does not intend to sell these investments and it is more likely than not that the Company will not be required to sell the investment before recovery of its amortized cost basis. The Company believes that an allowance for credit losses is unnecessary because the unrealized losses on certain of the Company’s available-for-sale securities are due to market factors. As of December 31, 2025 and 2024, there were no securities were in a continuous net unrealized loss position for more than 12 months. To date, the Company has not recorded any impairment charges on available-for-sale securities.</w:t>
      </w:r>
    </w:p>
    <w:p>
      <w:pPr>
        <w:spacing w:after="0" w:line="89" w:lineRule="exact"/>
        <w:rPr>
          <w:sz w:val="20"/>
          <w:szCs w:val="20"/>
          <w:color w:val="auto"/>
        </w:rPr>
      </w:pPr>
    </w:p>
    <w:p>
      <w:pPr>
        <w:ind w:right="240" w:firstLine="720"/>
        <w:spacing w:after="0" w:line="260" w:lineRule="auto"/>
        <w:rPr>
          <w:sz w:val="20"/>
          <w:szCs w:val="20"/>
          <w:color w:val="auto"/>
        </w:rPr>
      </w:pPr>
      <w:r>
        <w:rPr>
          <w:rFonts w:ascii="Times New Roman" w:cs="Times New Roman" w:eastAsia="Times New Roman" w:hAnsi="Times New Roman"/>
          <w:sz w:val="20"/>
          <w:szCs w:val="20"/>
          <w:color w:val="050505"/>
        </w:rPr>
        <w:t>The Company has made an accounting policy election not to recognize an allowance for credit losses for accrued interest receivable on available-for-sale securities. As of December 31, 2025 and 2024, the Company recognized $1.5 million and $1.9 million, respectively, of accrued interest receivable from available-for-sale securities within prepaid expenses and other current assets on the consolidated balance sheets.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050505"/>
              </w:rPr>
              <w:t>Note 5. Balance Sheet Components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60"/>
        </w:trPr>
        <w:tc>
          <w:tcPr>
            <w:tcW w:w="740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050505"/>
              </w:rPr>
              <w:t>Property and Equipment, Net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0"/>
        </w:trPr>
        <w:tc>
          <w:tcPr>
            <w:tcW w:w="740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2540" w:type="dxa"/>
            <w:vAlign w:val="bottom"/>
            <w:tcBorders>
              <w:bottom w:val="single" w:sz="8" w:color="050505"/>
            </w:tcBorders>
            <w:gridSpan w:val="4"/>
          </w:tcPr>
          <w:p>
            <w:pPr>
              <w:jc w:val="right"/>
              <w:ind w:right="760"/>
              <w:spacing w:after="0"/>
              <w:rPr>
                <w:sz w:val="20"/>
                <w:szCs w:val="20"/>
                <w:color w:val="auto"/>
              </w:rPr>
            </w:pPr>
            <w:r>
              <w:rPr>
                <w:rFonts w:ascii="Times New Roman" w:cs="Times New Roman" w:eastAsia="Times New Roman" w:hAnsi="Times New Roman"/>
                <w:sz w:val="20"/>
                <w:szCs w:val="20"/>
                <w:b w:val="1"/>
                <w:bCs w:val="1"/>
                <w:color w:val="050505"/>
              </w:rPr>
              <w:t>December 31,</w:t>
            </w:r>
          </w:p>
        </w:tc>
      </w:tr>
      <w:tr>
        <w:trPr>
          <w:trHeight w:val="265"/>
        </w:trPr>
        <w:tc>
          <w:tcPr>
            <w:tcW w:w="7400" w:type="dxa"/>
            <w:vAlign w:val="bottom"/>
          </w:tcPr>
          <w:p>
            <w:pPr>
              <w:spacing w:after="0"/>
              <w:rPr>
                <w:sz w:val="23"/>
                <w:szCs w:val="23"/>
                <w:color w:val="auto"/>
              </w:rPr>
            </w:pPr>
          </w:p>
        </w:tc>
        <w:tc>
          <w:tcPr>
            <w:tcW w:w="320" w:type="dxa"/>
            <w:vAlign w:val="bottom"/>
            <w:tcBorders>
              <w:bottom w:val="single" w:sz="8" w:color="050505"/>
            </w:tcBorders>
          </w:tcPr>
          <w:p>
            <w:pPr>
              <w:spacing w:after="0"/>
              <w:rPr>
                <w:sz w:val="23"/>
                <w:szCs w:val="23"/>
                <w:color w:val="auto"/>
              </w:rPr>
            </w:pPr>
          </w:p>
        </w:tc>
        <w:tc>
          <w:tcPr>
            <w:tcW w:w="1080" w:type="dxa"/>
            <w:vAlign w:val="bottom"/>
            <w:tcBorders>
              <w:bottom w:val="single" w:sz="8" w:color="050505"/>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Borders>
              <w:bottom w:val="single" w:sz="8" w:color="050505"/>
            </w:tcBorders>
          </w:tcPr>
          <w:p>
            <w:pPr>
              <w:spacing w:after="0"/>
              <w:rPr>
                <w:sz w:val="23"/>
                <w:szCs w:val="23"/>
                <w:color w:val="auto"/>
              </w:rPr>
            </w:pPr>
          </w:p>
        </w:tc>
        <w:tc>
          <w:tcPr>
            <w:tcW w:w="320" w:type="dxa"/>
            <w:vAlign w:val="bottom"/>
            <w:tcBorders>
              <w:bottom w:val="single" w:sz="8" w:color="050505"/>
            </w:tcBorders>
          </w:tcPr>
          <w:p>
            <w:pPr>
              <w:spacing w:after="0"/>
              <w:rPr>
                <w:sz w:val="23"/>
                <w:szCs w:val="23"/>
                <w:color w:val="auto"/>
              </w:rPr>
            </w:pPr>
          </w:p>
        </w:tc>
        <w:tc>
          <w:tcPr>
            <w:tcW w:w="1080" w:type="dxa"/>
            <w:vAlign w:val="bottom"/>
            <w:tcBorders>
              <w:bottom w:val="single" w:sz="8" w:color="050505"/>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64"/>
        </w:trPr>
        <w:tc>
          <w:tcPr>
            <w:tcW w:w="7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40" w:type="dxa"/>
            <w:vAlign w:val="bottom"/>
            <w:gridSpan w:val="4"/>
          </w:tcPr>
          <w:p>
            <w:pPr>
              <w:jc w:val="right"/>
              <w:ind w:right="72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298"/>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Leasehold improvements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107,537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108,127</w:t>
            </w:r>
          </w:p>
        </w:tc>
      </w:tr>
      <w:tr>
        <w:trPr>
          <w:trHeight w:val="30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Laboratory equipment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28,748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31,595</w:t>
            </w:r>
          </w:p>
        </w:tc>
      </w:tr>
      <w:tr>
        <w:trPr>
          <w:trHeight w:val="300"/>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Computer equipment and purchased software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4,658</w:t>
            </w:r>
          </w:p>
        </w:tc>
      </w:tr>
      <w:tr>
        <w:trPr>
          <w:trHeight w:val="303"/>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Furniture and fixtures</w:t>
            </w:r>
          </w:p>
        </w:tc>
        <w:tc>
          <w:tcPr>
            <w:tcW w:w="320" w:type="dxa"/>
            <w:vAlign w:val="bottom"/>
            <w:tcBorders>
              <w:bottom w:val="single" w:sz="8" w:color="050505"/>
            </w:tcBorders>
          </w:tcPr>
          <w:p>
            <w:pPr>
              <w:spacing w:after="0"/>
              <w:rPr>
                <w:sz w:val="24"/>
                <w:szCs w:val="24"/>
                <w:color w:val="auto"/>
              </w:rPr>
            </w:pPr>
          </w:p>
        </w:tc>
        <w:tc>
          <w:tcPr>
            <w:tcW w:w="10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4,214</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0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4,214</w:t>
            </w:r>
          </w:p>
        </w:tc>
      </w:tr>
      <w:tr>
        <w:trPr>
          <w:trHeight w:val="277"/>
        </w:trPr>
        <w:tc>
          <w:tcPr>
            <w:tcW w:w="740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Total</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145,372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148,594</w:t>
            </w:r>
          </w:p>
        </w:tc>
      </w:tr>
      <w:tr>
        <w:trPr>
          <w:trHeight w:val="303"/>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Less: accumulated depreciation</w:t>
            </w:r>
          </w:p>
        </w:tc>
        <w:tc>
          <w:tcPr>
            <w:tcW w:w="320" w:type="dxa"/>
            <w:vAlign w:val="bottom"/>
            <w:tcBorders>
              <w:bottom w:val="single" w:sz="8" w:color="050505"/>
            </w:tcBorders>
          </w:tcPr>
          <w:p>
            <w:pPr>
              <w:spacing w:after="0"/>
              <w:rPr>
                <w:sz w:val="24"/>
                <w:szCs w:val="24"/>
                <w:color w:val="auto"/>
              </w:rPr>
            </w:pPr>
          </w:p>
        </w:tc>
        <w:tc>
          <w:tcPr>
            <w:tcW w:w="10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(72,533)</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0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(62,538)</w:t>
            </w:r>
          </w:p>
        </w:tc>
      </w:tr>
      <w:tr>
        <w:trPr>
          <w:trHeight w:val="260"/>
        </w:trPr>
        <w:tc>
          <w:tcPr>
            <w:tcW w:w="740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Total property and equipment, net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72,839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86,056</w:t>
            </w:r>
          </w:p>
        </w:tc>
      </w:tr>
      <w:tr>
        <w:trPr>
          <w:trHeight w:val="20"/>
        </w:trPr>
        <w:tc>
          <w:tcPr>
            <w:tcW w:w="7400" w:type="dxa"/>
            <w:vAlign w:val="bottom"/>
          </w:tcPr>
          <w:p>
            <w:pPr>
              <w:spacing w:after="0" w:line="20" w:lineRule="exact"/>
              <w:rPr>
                <w:sz w:val="1"/>
                <w:szCs w:val="1"/>
                <w:color w:val="auto"/>
              </w:rPr>
            </w:pPr>
          </w:p>
        </w:tc>
        <w:tc>
          <w:tcPr>
            <w:tcW w:w="320" w:type="dxa"/>
            <w:vAlign w:val="bottom"/>
            <w:tcBorders>
              <w:top w:val="single" w:sz="8" w:color="050505"/>
              <w:bottom w:val="single" w:sz="8" w:color="050505"/>
            </w:tcBorders>
          </w:tcPr>
          <w:p>
            <w:pPr>
              <w:spacing w:after="0" w:line="20" w:lineRule="exact"/>
              <w:rPr>
                <w:sz w:val="1"/>
                <w:szCs w:val="1"/>
                <w:color w:val="auto"/>
              </w:rPr>
            </w:pPr>
          </w:p>
        </w:tc>
        <w:tc>
          <w:tcPr>
            <w:tcW w:w="10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50505"/>
              <w:bottom w:val="single" w:sz="8" w:color="050505"/>
            </w:tcBorders>
          </w:tcPr>
          <w:p>
            <w:pPr>
              <w:spacing w:after="0" w:line="20" w:lineRule="exact"/>
              <w:rPr>
                <w:sz w:val="1"/>
                <w:szCs w:val="1"/>
                <w:color w:val="auto"/>
              </w:rPr>
            </w:pPr>
          </w:p>
        </w:tc>
        <w:tc>
          <w:tcPr>
            <w:tcW w:w="108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-43815</wp:posOffset>
            </wp:positionV>
            <wp:extent cx="183515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2">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08" w:lineRule="exact"/>
        <w:rPr>
          <w:sz w:val="20"/>
          <w:szCs w:val="20"/>
          <w:color w:val="auto"/>
        </w:rPr>
      </w:pPr>
    </w:p>
    <w:p>
      <w:pPr>
        <w:ind w:right="740" w:firstLine="720"/>
        <w:spacing w:after="0" w:line="266" w:lineRule="auto"/>
        <w:rPr>
          <w:sz w:val="20"/>
          <w:szCs w:val="20"/>
          <w:color w:val="auto"/>
        </w:rPr>
      </w:pPr>
      <w:r>
        <w:rPr>
          <w:rFonts w:ascii="Times New Roman" w:cs="Times New Roman" w:eastAsia="Times New Roman" w:hAnsi="Times New Roman"/>
          <w:sz w:val="20"/>
          <w:szCs w:val="20"/>
          <w:color w:val="050505"/>
        </w:rPr>
        <w:t>Depreciation expense for the years ended December 31, 2025, and 2024 was $12.4 million, and $13.6 million, respectively. Disposals of property and equipment were less than $0.1 million and $0.3 million for the years ended December 31, 2025 and 2024, respectively.</w:t>
      </w:r>
    </w:p>
    <w:p>
      <w:pPr>
        <w:spacing w:after="0" w:line="75"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050505"/>
        </w:rPr>
        <w:t>The Company reviews for indicators of impairment on a quarterly basis which includes the change in how its property is being used. During the year ended December 31, 2024, the Company made a decision to sublease one of its leased buildings in South San Francisco. The Company vacated and ceased occupancy of this building and began actively marketing the leased building for sublease in 2024. The Company determined that the change in how this building is being used was an indicator of impairment. The Company identified this to-be-sublet property as a separate asset group. The Company concluded that the carrying value of this to-be-sublet property asset group was not recoverable and the estimated fair value of this asset group was below its carrying value. The decrease in the fair value of this asset group was mainly due to the lower estimated sublease income based on current commercial rental market conditions compared to the lease payments in accordance with the initial operating lease agreement. The Company performed discounted cash flow analysis to estimate the fair value of its right-of-use asset and leasehold improvements. The key inputs to this valuation were expected sublease rental income of $1.9 million through March 2032 and the risk-adjusted annual discount rate of 9.5%. Based on this analysis, the Company concluded the fair value of the right-of-use asset and leasehold improvements of $1.2 million was lower than its net book value of $7.5 million. The Company recognized an aggregate long-lived asset impairment charge of $6.2 million on the right-of-use asset and leasehold improvements for the year ended December 31, 2024.</w:t>
      </w:r>
    </w:p>
    <w:p>
      <w:pPr>
        <w:spacing w:after="0" w:line="99"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During the year ended December 31, 2025, the Company identified an additional indicator that the carrying value of this to-be-sublet property asset group was not recoverable. The expected sublease rental income of $1.9 million as of December 31, 2024 had decreased to $0.7 million based on the sublease agreement executed in July 2025. The risk-adjusted annual discount was 9.25%. The Company updated its discounted cash flow analysis to estimate fair value of its right-of-use asset and leasehold improvements. Based on this analysis, the resulting fair value was immaterial resulting in the write off of the $0.9 million right-of-use asset and $0.1 million leasehold improvements as long-lived asset impairment charges for the year ended December 31, 2025.</w:t>
      </w:r>
    </w:p>
    <w:p>
      <w:pPr>
        <w:spacing w:after="0" w:line="90" w:lineRule="exact"/>
        <w:rPr>
          <w:sz w:val="20"/>
          <w:szCs w:val="20"/>
          <w:color w:val="auto"/>
        </w:rPr>
      </w:pPr>
    </w:p>
    <w:p>
      <w:pPr>
        <w:ind w:right="220" w:firstLine="720"/>
        <w:spacing w:after="0" w:line="309" w:lineRule="auto"/>
        <w:rPr>
          <w:sz w:val="20"/>
          <w:szCs w:val="20"/>
          <w:color w:val="auto"/>
        </w:rPr>
      </w:pPr>
      <w:r>
        <w:rPr>
          <w:rFonts w:ascii="Times New Roman" w:cs="Times New Roman" w:eastAsia="Times New Roman" w:hAnsi="Times New Roman"/>
          <w:sz w:val="19"/>
          <w:szCs w:val="19"/>
          <w:color w:val="050505"/>
        </w:rPr>
        <w:t>Previously, in December 2023, the Company made a decision to sublease one of its other leased buildings in South San Francisco. The Company had vacated and ceased occupancy of this building in December 2023, and in January 2025, the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118</w:t>
      </w:r>
    </w:p>
    <w:p>
      <w:pPr>
        <w:sectPr>
          <w:pgSz w:w="12240" w:h="15840" w:orient="portrait"/>
          <w:cols w:equalWidth="0" w:num="1">
            <w:col w:w="10260"/>
          </w:cols>
          <w:pgMar w:left="1000" w:top="793" w:right="980" w:bottom="0" w:gutter="0" w:footer="0" w:header="0"/>
          <w:type w:val="continuous"/>
        </w:sectPr>
      </w:pPr>
    </w:p>
    <w:bookmarkStart w:id="122" w:name="page123"/>
    <w:bookmarkEnd w:id="122"/>
    <w:p>
      <w:pPr>
        <w:ind w:right="20"/>
        <w:spacing w:after="0" w:line="256" w:lineRule="auto"/>
        <w:rPr>
          <w:sz w:val="20"/>
          <w:szCs w:val="20"/>
          <w:color w:val="auto"/>
        </w:rPr>
      </w:pPr>
      <w:r>
        <w:rPr>
          <w:rFonts w:ascii="Times New Roman" w:cs="Times New Roman" w:eastAsia="Times New Roman" w:hAnsi="Times New Roman"/>
          <w:sz w:val="20"/>
          <w:szCs w:val="20"/>
          <w:color w:val="050505"/>
        </w:rPr>
        <w:t>Company executed two subleases for the majority of the leased building. During the year ended December 31, 2024, the Company recognized long-lived asset impairment charge of $9.5 million on the right-of-use asset by applying a discounted cash flow method to estimate fair value of its right-of-use asset. The key inputs to this valuation were expected sublease rental income of $4.7 million through March 31, 2032 and an annual discount rate of 9.0%. The Company concluded the fair value of the right-of-use asset of $3.1 million was lower than its book value of $12.6 million. Total long-lived asset impairment charges recognized on the Company's right-of-use assets were $15.7 million for the year ended December 31, 2024.</w:t>
      </w:r>
    </w:p>
    <w:p>
      <w:pPr>
        <w:spacing w:after="0" w:line="88" w:lineRule="exact"/>
        <w:rPr>
          <w:sz w:val="20"/>
          <w:szCs w:val="20"/>
          <w:color w:val="auto"/>
        </w:rPr>
      </w:pPr>
    </w:p>
    <w:p>
      <w:pPr>
        <w:jc w:val="both"/>
        <w:ind w:right="340" w:firstLine="720"/>
        <w:spacing w:after="0" w:line="266" w:lineRule="auto"/>
        <w:rPr>
          <w:sz w:val="20"/>
          <w:szCs w:val="20"/>
          <w:color w:val="auto"/>
        </w:rPr>
      </w:pPr>
      <w:r>
        <w:rPr>
          <w:rFonts w:ascii="Times New Roman" w:cs="Times New Roman" w:eastAsia="Times New Roman" w:hAnsi="Times New Roman"/>
          <w:sz w:val="20"/>
          <w:szCs w:val="20"/>
          <w:color w:val="050505"/>
        </w:rPr>
        <w:t>In addition, during the year ended December 31, 2025, the Company recognized a non-cash equipment impairment charge of $1.3 million as a result of the Workforce Reduction (refer to the Accrued and Other Current Liabilities section in Footnote 5 for further information).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3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050505"/>
              </w:rPr>
              <w:t>Accrued Liabilities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63"/>
        </w:trPr>
        <w:tc>
          <w:tcPr>
            <w:tcW w:w="7360" w:type="dxa"/>
            <w:vAlign w:val="bottom"/>
          </w:tcPr>
          <w:p>
            <w:pPr>
              <w:ind w:left="720"/>
              <w:spacing w:after="0"/>
              <w:rPr>
                <w:sz w:val="20"/>
                <w:szCs w:val="20"/>
                <w:color w:val="auto"/>
              </w:rPr>
            </w:pPr>
            <w:r>
              <w:rPr>
                <w:rFonts w:ascii="Times New Roman" w:cs="Times New Roman" w:eastAsia="Times New Roman" w:hAnsi="Times New Roman"/>
                <w:sz w:val="20"/>
                <w:szCs w:val="20"/>
                <w:color w:val="050505"/>
              </w:rPr>
              <w:t>Accrued liabilities consist of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6"/>
        </w:trPr>
        <w:tc>
          <w:tcPr>
            <w:tcW w:w="73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2540" w:type="dxa"/>
            <w:vAlign w:val="bottom"/>
            <w:tcBorders>
              <w:bottom w:val="single" w:sz="8" w:color="050505"/>
            </w:tcBorders>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050505"/>
              </w:rPr>
              <w:t>December 31,</w:t>
            </w:r>
          </w:p>
        </w:tc>
      </w:tr>
      <w:tr>
        <w:trPr>
          <w:trHeight w:val="265"/>
        </w:trPr>
        <w:tc>
          <w:tcPr>
            <w:tcW w:w="7360" w:type="dxa"/>
            <w:vAlign w:val="bottom"/>
          </w:tcPr>
          <w:p>
            <w:pPr>
              <w:spacing w:after="0"/>
              <w:rPr>
                <w:sz w:val="23"/>
                <w:szCs w:val="23"/>
                <w:color w:val="auto"/>
              </w:rPr>
            </w:pPr>
          </w:p>
        </w:tc>
        <w:tc>
          <w:tcPr>
            <w:tcW w:w="320" w:type="dxa"/>
            <w:vAlign w:val="bottom"/>
            <w:tcBorders>
              <w:bottom w:val="single" w:sz="8" w:color="050505"/>
            </w:tcBorders>
          </w:tcPr>
          <w:p>
            <w:pPr>
              <w:spacing w:after="0"/>
              <w:rPr>
                <w:sz w:val="23"/>
                <w:szCs w:val="23"/>
                <w:color w:val="auto"/>
              </w:rPr>
            </w:pPr>
          </w:p>
        </w:tc>
        <w:tc>
          <w:tcPr>
            <w:tcW w:w="1080" w:type="dxa"/>
            <w:vAlign w:val="bottom"/>
            <w:tcBorders>
              <w:bottom w:val="single" w:sz="8" w:color="050505"/>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Borders>
              <w:bottom w:val="single" w:sz="8" w:color="050505"/>
            </w:tcBorders>
          </w:tcPr>
          <w:p>
            <w:pPr>
              <w:spacing w:after="0"/>
              <w:rPr>
                <w:sz w:val="23"/>
                <w:szCs w:val="23"/>
                <w:color w:val="auto"/>
              </w:rPr>
            </w:pPr>
          </w:p>
        </w:tc>
        <w:tc>
          <w:tcPr>
            <w:tcW w:w="340" w:type="dxa"/>
            <w:vAlign w:val="bottom"/>
            <w:tcBorders>
              <w:bottom w:val="single" w:sz="8" w:color="050505"/>
            </w:tcBorders>
          </w:tcPr>
          <w:p>
            <w:pPr>
              <w:spacing w:after="0"/>
              <w:rPr>
                <w:sz w:val="23"/>
                <w:szCs w:val="23"/>
                <w:color w:val="auto"/>
              </w:rPr>
            </w:pPr>
          </w:p>
        </w:tc>
        <w:tc>
          <w:tcPr>
            <w:tcW w:w="1060" w:type="dxa"/>
            <w:vAlign w:val="bottom"/>
            <w:tcBorders>
              <w:bottom w:val="single" w:sz="8" w:color="050505"/>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64"/>
        </w:trPr>
        <w:tc>
          <w:tcPr>
            <w:tcW w:w="7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40" w:type="dxa"/>
            <w:vAlign w:val="bottom"/>
            <w:gridSpan w:val="4"/>
          </w:tcPr>
          <w:p>
            <w:pPr>
              <w:jc w:val="right"/>
              <w:ind w:right="72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291"/>
        </w:trPr>
        <w:tc>
          <w:tcPr>
            <w:tcW w:w="736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Accrued compensation and related benefits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10,241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12,146</w:t>
            </w:r>
          </w:p>
        </w:tc>
      </w:tr>
      <w:tr>
        <w:trPr>
          <w:trHeight w:val="307"/>
        </w:trPr>
        <w:tc>
          <w:tcPr>
            <w:tcW w:w="736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Accrued research and development expenses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7,398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9,402</w:t>
            </w:r>
          </w:p>
        </w:tc>
      </w:tr>
      <w:tr>
        <w:trPr>
          <w:trHeight w:val="293"/>
        </w:trPr>
        <w:tc>
          <w:tcPr>
            <w:tcW w:w="736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Lease liability, current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8,208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7,509</w:t>
            </w:r>
          </w:p>
        </w:tc>
      </w:tr>
      <w:tr>
        <w:trPr>
          <w:trHeight w:val="310"/>
        </w:trPr>
        <w:tc>
          <w:tcPr>
            <w:tcW w:w="736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Other</w:t>
            </w:r>
          </w:p>
        </w:tc>
        <w:tc>
          <w:tcPr>
            <w:tcW w:w="320" w:type="dxa"/>
            <w:vAlign w:val="bottom"/>
            <w:tcBorders>
              <w:bottom w:val="single" w:sz="8" w:color="050505"/>
            </w:tcBorders>
          </w:tcPr>
          <w:p>
            <w:pPr>
              <w:spacing w:after="0"/>
              <w:rPr>
                <w:sz w:val="24"/>
                <w:szCs w:val="24"/>
                <w:color w:val="auto"/>
              </w:rPr>
            </w:pPr>
          </w:p>
        </w:tc>
        <w:tc>
          <w:tcPr>
            <w:tcW w:w="10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2,397</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0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1,072</w:t>
            </w:r>
          </w:p>
        </w:tc>
      </w:tr>
      <w:tr>
        <w:trPr>
          <w:trHeight w:val="260"/>
        </w:trPr>
        <w:tc>
          <w:tcPr>
            <w:tcW w:w="736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Total accrued and other current liabilities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05050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28,244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30,129</w:t>
            </w:r>
          </w:p>
        </w:tc>
      </w:tr>
      <w:tr>
        <w:trPr>
          <w:trHeight w:val="20"/>
        </w:trPr>
        <w:tc>
          <w:tcPr>
            <w:tcW w:w="7360" w:type="dxa"/>
            <w:vAlign w:val="bottom"/>
          </w:tcPr>
          <w:p>
            <w:pPr>
              <w:spacing w:after="0" w:line="20" w:lineRule="exact"/>
              <w:rPr>
                <w:sz w:val="1"/>
                <w:szCs w:val="1"/>
                <w:color w:val="auto"/>
              </w:rPr>
            </w:pPr>
          </w:p>
        </w:tc>
        <w:tc>
          <w:tcPr>
            <w:tcW w:w="320" w:type="dxa"/>
            <w:vAlign w:val="bottom"/>
            <w:tcBorders>
              <w:top w:val="single" w:sz="8" w:color="050505"/>
              <w:bottom w:val="single" w:sz="8" w:color="050505"/>
            </w:tcBorders>
          </w:tcPr>
          <w:p>
            <w:pPr>
              <w:spacing w:after="0" w:line="20" w:lineRule="exact"/>
              <w:rPr>
                <w:sz w:val="1"/>
                <w:szCs w:val="1"/>
                <w:color w:val="auto"/>
              </w:rPr>
            </w:pPr>
          </w:p>
        </w:tc>
        <w:tc>
          <w:tcPr>
            <w:tcW w:w="10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06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-43815</wp:posOffset>
            </wp:positionV>
            <wp:extent cx="184467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3">
                      <a:extLst>
                        <a:ext uri="{28A0092B-C50C-407E-A947-70E740481C1C}"/>
                      </a:extLst>
                    </a:blip>
                    <a:srcRect/>
                    <a:stretch>
                      <a:fillRect/>
                    </a:stretch>
                  </pic:blipFill>
                  <pic:spPr bwMode="auto">
                    <a:xfrm>
                      <a:off x="0" y="0"/>
                      <a:ext cx="1844675" cy="508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Accrued and Other Current Liabilities</w:t>
      </w:r>
    </w:p>
    <w:p>
      <w:pPr>
        <w:spacing w:after="0" w:line="139"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On May 12, 2025, the Company’s Board of Directors approved an approximately 28% reduction in the Company’s employee workforce (Workforce Reduction) in connection with a reduction in manufacturing operations and a reprioritization of resources to focus on the Company’s clinical programs. The Workforce Reduction included one-time severance payments and other employee benefits and impairment of equipment of $4.7 million which comprised of $3.1 million in research and development expense, $1.3 million in equipment impairment expense, and $0.3 million in general and administrative expense in the consolidated statement of operations and comprehensive loss during the year ended December 31, 2025. As of December 31, 2025, less than $0.1 million of the severance and other employee benefits accrual was included in accrued and other current liabilities on the consolidated balance sheets.</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Costs associated with the Workforce Reduction consist of the following:</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050505"/>
                <w:w w:val="98"/>
              </w:rPr>
              <w:t>Severance and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050505"/>
                <w:w w:val="98"/>
              </w:rPr>
              <w:t>Impairment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050505"/>
              </w:rPr>
              <w:t>Employee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050505"/>
              </w:rPr>
              <w:t>Total</w:t>
            </w:r>
          </w:p>
        </w:tc>
        <w:tc>
          <w:tcPr>
            <w:tcW w:w="0" w:type="dxa"/>
            <w:vAlign w:val="bottom"/>
          </w:tcPr>
          <w:p>
            <w:pPr>
              <w:spacing w:after="0"/>
              <w:rPr>
                <w:sz w:val="1"/>
                <w:szCs w:val="1"/>
                <w:color w:val="auto"/>
              </w:rPr>
            </w:pPr>
          </w:p>
        </w:tc>
      </w:tr>
      <w:tr>
        <w:trPr>
          <w:trHeight w:val="263"/>
        </w:trPr>
        <w:tc>
          <w:tcPr>
            <w:tcW w:w="5780" w:type="dxa"/>
            <w:vAlign w:val="bottom"/>
          </w:tcPr>
          <w:p>
            <w:pPr>
              <w:spacing w:after="0"/>
              <w:rPr>
                <w:sz w:val="22"/>
                <w:szCs w:val="22"/>
                <w:color w:val="auto"/>
              </w:rPr>
            </w:pPr>
          </w:p>
        </w:tc>
        <w:tc>
          <w:tcPr>
            <w:tcW w:w="140" w:type="dxa"/>
            <w:vAlign w:val="bottom"/>
            <w:tcBorders>
              <w:bottom w:val="single" w:sz="8" w:color="050505"/>
            </w:tcBorders>
          </w:tcPr>
          <w:p>
            <w:pPr>
              <w:spacing w:after="0"/>
              <w:rPr>
                <w:sz w:val="22"/>
                <w:szCs w:val="22"/>
                <w:color w:val="auto"/>
              </w:rPr>
            </w:pPr>
          </w:p>
        </w:tc>
        <w:tc>
          <w:tcPr>
            <w:tcW w:w="1300" w:type="dxa"/>
            <w:vAlign w:val="bottom"/>
            <w:tcBorders>
              <w:bottom w:val="single" w:sz="8" w:color="050505"/>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050505"/>
              </w:rPr>
              <w:t>Benefit Costs</w:t>
            </w:r>
          </w:p>
        </w:tc>
        <w:tc>
          <w:tcPr>
            <w:tcW w:w="60" w:type="dxa"/>
            <w:vAlign w:val="bottom"/>
          </w:tcPr>
          <w:p>
            <w:pPr>
              <w:spacing w:after="0"/>
              <w:rPr>
                <w:sz w:val="22"/>
                <w:szCs w:val="22"/>
                <w:color w:val="auto"/>
              </w:rPr>
            </w:pPr>
          </w:p>
        </w:tc>
        <w:tc>
          <w:tcPr>
            <w:tcW w:w="160" w:type="dxa"/>
            <w:vAlign w:val="bottom"/>
            <w:tcBorders>
              <w:bottom w:val="single" w:sz="8" w:color="050505"/>
            </w:tcBorders>
          </w:tcPr>
          <w:p>
            <w:pPr>
              <w:spacing w:after="0"/>
              <w:rPr>
                <w:sz w:val="22"/>
                <w:szCs w:val="22"/>
                <w:color w:val="auto"/>
              </w:rPr>
            </w:pPr>
          </w:p>
        </w:tc>
        <w:tc>
          <w:tcPr>
            <w:tcW w:w="1280" w:type="dxa"/>
            <w:vAlign w:val="bottom"/>
            <w:tcBorders>
              <w:bottom w:val="single" w:sz="8" w:color="050505"/>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050505"/>
                <w:w w:val="98"/>
              </w:rPr>
              <w:t>Costs</w:t>
            </w:r>
          </w:p>
        </w:tc>
        <w:tc>
          <w:tcPr>
            <w:tcW w:w="60" w:type="dxa"/>
            <w:vAlign w:val="bottom"/>
          </w:tcPr>
          <w:p>
            <w:pPr>
              <w:spacing w:after="0"/>
              <w:rPr>
                <w:sz w:val="22"/>
                <w:szCs w:val="22"/>
                <w:color w:val="auto"/>
              </w:rPr>
            </w:pPr>
          </w:p>
        </w:tc>
        <w:tc>
          <w:tcPr>
            <w:tcW w:w="320" w:type="dxa"/>
            <w:vAlign w:val="bottom"/>
            <w:tcBorders>
              <w:bottom w:val="single" w:sz="8" w:color="050505"/>
            </w:tcBorders>
          </w:tcPr>
          <w:p>
            <w:pPr>
              <w:spacing w:after="0"/>
              <w:rPr>
                <w:sz w:val="22"/>
                <w:szCs w:val="22"/>
                <w:color w:val="auto"/>
              </w:rPr>
            </w:pPr>
          </w:p>
        </w:tc>
        <w:tc>
          <w:tcPr>
            <w:tcW w:w="1120" w:type="dxa"/>
            <w:vAlign w:val="bottom"/>
            <w:tcBorders>
              <w:bottom w:val="single" w:sz="8" w:color="050505"/>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050505"/>
              </w:rPr>
              <w:t>Balance at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0" w:type="dxa"/>
            <w:vAlign w:val="bottom"/>
          </w:tcPr>
          <w:p>
            <w:pPr>
              <w:spacing w:after="0"/>
              <w:rPr>
                <w:sz w:val="1"/>
                <w:szCs w:val="1"/>
                <w:color w:val="auto"/>
              </w:rPr>
            </w:pPr>
          </w:p>
        </w:tc>
      </w:tr>
      <w:tr>
        <w:trPr>
          <w:trHeight w:val="315"/>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050505"/>
              </w:rPr>
              <w:t>Charges</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3,406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4,746</w:t>
            </w:r>
          </w:p>
        </w:tc>
        <w:tc>
          <w:tcPr>
            <w:tcW w:w="0" w:type="dxa"/>
            <w:vAlign w:val="bottom"/>
          </w:tcPr>
          <w:p>
            <w:pPr>
              <w:spacing w:after="0"/>
              <w:rPr>
                <w:sz w:val="1"/>
                <w:szCs w:val="1"/>
                <w:color w:val="auto"/>
              </w:rPr>
            </w:pPr>
          </w:p>
        </w:tc>
      </w:tr>
      <w:tr>
        <w:trPr>
          <w:trHeight w:val="315"/>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050505"/>
              </w:rPr>
              <w:t>Cash payments made</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(3,227)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(3,227)</w:t>
            </w:r>
          </w:p>
        </w:tc>
        <w:tc>
          <w:tcPr>
            <w:tcW w:w="0" w:type="dxa"/>
            <w:vAlign w:val="bottom"/>
          </w:tcPr>
          <w:p>
            <w:pPr>
              <w:spacing w:after="0"/>
              <w:rPr>
                <w:sz w:val="1"/>
                <w:szCs w:val="1"/>
                <w:color w:val="auto"/>
              </w:rPr>
            </w:pPr>
          </w:p>
        </w:tc>
      </w:tr>
      <w:tr>
        <w:trPr>
          <w:trHeight w:val="318"/>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050505"/>
              </w:rPr>
              <w:t>Non-cash adjustments</w:t>
            </w:r>
          </w:p>
        </w:tc>
        <w:tc>
          <w:tcPr>
            <w:tcW w:w="140" w:type="dxa"/>
            <w:vAlign w:val="bottom"/>
            <w:tcBorders>
              <w:bottom w:val="single" w:sz="8" w:color="050505"/>
            </w:tcBorders>
          </w:tcPr>
          <w:p>
            <w:pPr>
              <w:spacing w:after="0"/>
              <w:rPr>
                <w:sz w:val="24"/>
                <w:szCs w:val="24"/>
                <w:color w:val="auto"/>
              </w:rPr>
            </w:pPr>
          </w:p>
        </w:tc>
        <w:tc>
          <w:tcPr>
            <w:tcW w:w="13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(165)</w:t>
            </w:r>
          </w:p>
        </w:tc>
        <w:tc>
          <w:tcPr>
            <w:tcW w:w="60" w:type="dxa"/>
            <w:vAlign w:val="bottom"/>
          </w:tcPr>
          <w:p>
            <w:pPr>
              <w:spacing w:after="0"/>
              <w:rPr>
                <w:sz w:val="24"/>
                <w:szCs w:val="24"/>
                <w:color w:val="auto"/>
              </w:rPr>
            </w:pPr>
          </w:p>
        </w:tc>
        <w:tc>
          <w:tcPr>
            <w:tcW w:w="160" w:type="dxa"/>
            <w:vAlign w:val="bottom"/>
            <w:tcBorders>
              <w:bottom w:val="single" w:sz="8" w:color="050505"/>
            </w:tcBorders>
          </w:tcPr>
          <w:p>
            <w:pPr>
              <w:spacing w:after="0"/>
              <w:rPr>
                <w:sz w:val="24"/>
                <w:szCs w:val="24"/>
                <w:color w:val="auto"/>
              </w:rPr>
            </w:pPr>
          </w:p>
        </w:tc>
        <w:tc>
          <w:tcPr>
            <w:tcW w:w="12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(1,340)</w:t>
            </w:r>
          </w:p>
        </w:tc>
        <w:tc>
          <w:tcPr>
            <w:tcW w:w="60" w:type="dxa"/>
            <w:vAlign w:val="bottom"/>
          </w:tcPr>
          <w:p>
            <w:pPr>
              <w:spacing w:after="0"/>
              <w:rPr>
                <w:sz w:val="24"/>
                <w:szCs w:val="24"/>
                <w:color w:val="auto"/>
              </w:rPr>
            </w:pPr>
          </w:p>
        </w:tc>
        <w:tc>
          <w:tcPr>
            <w:tcW w:w="320" w:type="dxa"/>
            <w:vAlign w:val="bottom"/>
            <w:tcBorders>
              <w:bottom w:val="single" w:sz="8" w:color="050505"/>
            </w:tcBorders>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(1,505)</w:t>
            </w:r>
          </w:p>
        </w:tc>
        <w:tc>
          <w:tcPr>
            <w:tcW w:w="0" w:type="dxa"/>
            <w:vAlign w:val="bottom"/>
          </w:tcPr>
          <w:p>
            <w:pPr>
              <w:spacing w:after="0"/>
              <w:rPr>
                <w:sz w:val="1"/>
                <w:szCs w:val="1"/>
                <w:color w:val="auto"/>
              </w:rPr>
            </w:pPr>
          </w:p>
        </w:tc>
      </w:tr>
      <w:tr>
        <w:trPr>
          <w:trHeight w:val="275"/>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050505"/>
              </w:rPr>
              <w:t>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05050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050505"/>
              <w:bottom w:val="single" w:sz="8" w:color="050505"/>
            </w:tcBorders>
          </w:tcPr>
          <w:p>
            <w:pPr>
              <w:spacing w:after="0" w:line="20" w:lineRule="exact"/>
              <w:rPr>
                <w:sz w:val="1"/>
                <w:szCs w:val="1"/>
                <w:color w:val="auto"/>
              </w:rPr>
            </w:pPr>
          </w:p>
        </w:tc>
        <w:tc>
          <w:tcPr>
            <w:tcW w:w="130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Borders>
              <w:top w:val="single" w:sz="8" w:color="050505"/>
              <w:bottom w:val="single" w:sz="8" w:color="050505"/>
            </w:tcBorders>
          </w:tcPr>
          <w:p>
            <w:pPr>
              <w:spacing w:after="0" w:line="20" w:lineRule="exact"/>
              <w:rPr>
                <w:sz w:val="1"/>
                <w:szCs w:val="1"/>
                <w:color w:val="auto"/>
              </w:rPr>
            </w:pPr>
          </w:p>
        </w:tc>
        <w:tc>
          <w:tcPr>
            <w:tcW w:w="160" w:type="dxa"/>
            <w:vAlign w:val="bottom"/>
            <w:tcBorders>
              <w:top w:val="single" w:sz="8" w:color="050505"/>
              <w:bottom w:val="single" w:sz="8" w:color="050505"/>
            </w:tcBorders>
          </w:tcPr>
          <w:p>
            <w:pPr>
              <w:spacing w:after="0" w:line="20" w:lineRule="exact"/>
              <w:rPr>
                <w:sz w:val="1"/>
                <w:szCs w:val="1"/>
                <w:color w:val="auto"/>
              </w:rPr>
            </w:pPr>
          </w:p>
        </w:tc>
        <w:tc>
          <w:tcPr>
            <w:tcW w:w="12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50505"/>
              <w:bottom w:val="single" w:sz="8" w:color="050505"/>
            </w:tcBorders>
          </w:tcPr>
          <w:p>
            <w:pPr>
              <w:spacing w:after="0" w:line="20" w:lineRule="exact"/>
              <w:rPr>
                <w:sz w:val="1"/>
                <w:szCs w:val="1"/>
                <w:color w:val="auto"/>
              </w:rPr>
            </w:pPr>
          </w:p>
        </w:tc>
        <w:tc>
          <w:tcPr>
            <w:tcW w:w="112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-43815</wp:posOffset>
            </wp:positionV>
            <wp:extent cx="284480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4">
                      <a:extLst>
                        <a:ext uri="{28A0092B-C50C-407E-A947-70E740481C1C}"/>
                      </a:extLst>
                    </a:blip>
                    <a:srcRect/>
                    <a:stretch>
                      <a:fillRect/>
                    </a:stretch>
                  </pic:blipFill>
                  <pic:spPr bwMode="auto">
                    <a:xfrm>
                      <a:off x="0" y="0"/>
                      <a:ext cx="2844800" cy="508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California Institute for Regenerative Medicine (CIRM) Award</w:t>
      </w:r>
    </w:p>
    <w:p>
      <w:pPr>
        <w:spacing w:after="0" w:line="139"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050505"/>
        </w:rPr>
        <w:t>On April 26, 2024, the Company was awarded up to $15.0 million from CIRM to support the clinical development of ALLO-316, an AlloCAR T investigational product targeting CD70 in development for the treatment of advanced or metastatic renal cell carcinoma (RCC). Upon treatment of 20 patients, the Company met the primary study objectives of the ALLO-316 Phase 1b study plan supported by CIRM and was able to successfully complete the study plan on time and under budget without further enrollment. As a result, the Company updated the study plan and requested a reduction in its co-funding responsibility and adjustments to the remaining milestone payments to align with the updated research plan. On April 28, 2025, the terms of the award were amended and the total award amount was adjusted to up to $9.2 million.</w:t>
      </w:r>
    </w:p>
    <w:p>
      <w:pPr>
        <w:spacing w:after="0" w:line="90"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050505"/>
        </w:rPr>
        <w:t>Pursuant to terms of the award, the disbursements are tied to the achievement of specified operational milestones. In addition, the terms of the award and amended award include a co-funding requirement pursuant to which the Company is</w:t>
      </w:r>
    </w:p>
    <w:p>
      <w:pPr>
        <w:sectPr>
          <w:pgSz w:w="12240" w:h="15840" w:orient="portrait"/>
          <w:cols w:equalWidth="0" w:num="1">
            <w:col w:w="10260"/>
          </w:cols>
          <w:pgMar w:left="1000" w:top="793" w:right="980" w:bottom="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119</w:t>
      </w:r>
    </w:p>
    <w:p>
      <w:pPr>
        <w:sectPr>
          <w:pgSz w:w="12240" w:h="15840" w:orient="portrait"/>
          <w:cols w:equalWidth="0" w:num="1">
            <w:col w:w="10260"/>
          </w:cols>
          <w:pgMar w:left="1000" w:top="793" w:right="980" w:bottom="0" w:gutter="0" w:footer="0" w:header="0"/>
          <w:type w:val="continuous"/>
        </w:sectPr>
      </w:pPr>
    </w:p>
    <w:bookmarkStart w:id="123" w:name="page124"/>
    <w:bookmarkEnd w:id="123"/>
    <w:p>
      <w:pPr>
        <w:ind w:right="100"/>
        <w:spacing w:after="0" w:line="258" w:lineRule="auto"/>
        <w:rPr>
          <w:sz w:val="20"/>
          <w:szCs w:val="20"/>
          <w:color w:val="auto"/>
        </w:rPr>
      </w:pPr>
      <w:r>
        <w:rPr>
          <w:rFonts w:ascii="Times New Roman" w:cs="Times New Roman" w:eastAsia="Times New Roman" w:hAnsi="Times New Roman"/>
          <w:sz w:val="20"/>
          <w:szCs w:val="20"/>
          <w:color w:val="050505"/>
        </w:rPr>
        <w:t>required to spend up to approximately $15.7 million of its own capital to fund the CIRM funded research project. The award was made in accordance with the CIRM Grants Administration Policy for Clinical Stage Projects which may require the award to be repaid by the Company. Under the terms of the CIRM award, the Company is obligated to pay royalties based on a low single digit royalty percentage on net sales of CIRM-funded product candidate. The maximum royalty that the Company may be required to pay to CIRM is equal to nine times the total amount awarded and paid to the Company.</w:t>
      </w:r>
    </w:p>
    <w:p>
      <w:pPr>
        <w:spacing w:after="0" w:line="8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After completing the CIRM funded research project and at any time after the award period end date (but no later than the ten-year anniversary of the date of the award), the Company has the right, upon its election, to convert the award into a loan. The terms of conversion into a loan will be determined based on various factors and could result in 80% to 100% plus interest at 10% per annum plus the Secured Overnight Financing Rate of the total award dependent upon the phase of clinical development of the product candidate at the time of the Company’s election to be repaid to CIRM.</w:t>
      </w:r>
    </w:p>
    <w:p>
      <w:pPr>
        <w:spacing w:after="0" w:line="8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No income associated with the CIRM award will be recognized until it is confirmed with CIRM that the award does not require repayment. Upon cash receipt, the CIRM award and accrued interest will be recognized as other long-term liabilities on the consolidated balance sheets. The Company will not recognize a receivable of future awards until it is approved by CIRM.</w:t>
      </w:r>
    </w:p>
    <w:p>
      <w:pPr>
        <w:spacing w:after="0" w:line="83"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19"/>
          <w:szCs w:val="19"/>
          <w:color w:val="050505"/>
        </w:rPr>
        <w:t>The Company received $6.9 million and $2.3 million from CIRM through December 31, 2025 and 2024, respectively, and accounted for the total $9.2 million proceeds as a liability within other long-term liabilities on the consolidated balance sheets. The Company recorded interest expense of $1.1 million and $0.2 million for the year ended December 31, 2025 and 2024, respectively. As of December 31, 2025, $1.3 million of accrued interest was included in other long-term liabilities.</w:t>
      </w:r>
    </w:p>
    <w:p>
      <w:pPr>
        <w:spacing w:after="0" w:line="3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050505"/>
        </w:rPr>
        <w:t>Note 6. License and Collaboration Agreements</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Asset Contribution Agreement with Pfizer</w:t>
      </w:r>
    </w:p>
    <w:p>
      <w:pPr>
        <w:spacing w:after="0" w:line="139"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050505"/>
        </w:rPr>
        <w:t>In April 2018, the Company entered into an Asset Contribution Agreement (the Pfizer Agreement) with Pfizer pursuant to which the Company acquired certain assets, including certain contracts and intellectual property for the development and administration of chimeric antigen receptor (CAR) T cells for the treatment of cancer. The Company is required to make milestone payments upon successful completion of regulatory and sales milestones on a target-by-target basis for the targets including CD19 and B-cell maturation antigen (BCMA), covered by the Pfizer Agreement. The aggregate potential milestone payments upon successful completion of various regulatory milestones in the United States and the European Union are $30.0 million or $60.0 million, depending on the target, with aggregate potential regulatory and development milestones of up to $840.0 million. The aggregate potential milestone payments upon reaching certain annual net sales thresholds in North America, Europe, Asia, Australia and Oceania (the Territory) for a certain number of targets covered by the Pfizer Agreement are $325.0 million per target. The sales milestones in the foregoing sentence are payable on a country-by-country basis until the last to expire of any Pfizer Royalty Term, as described below, for any product in such country in the Territory. In October 2019, the Territory was expanded to all countries in the world. No milestones were achieved and no royalty payments were made for the years ended December 31, 2025 and 2024, respectively.</w:t>
      </w:r>
    </w:p>
    <w:p>
      <w:pPr>
        <w:spacing w:after="0" w:line="88" w:lineRule="exact"/>
        <w:rPr>
          <w:sz w:val="20"/>
          <w:szCs w:val="20"/>
          <w:color w:val="auto"/>
        </w:rPr>
      </w:pPr>
    </w:p>
    <w:p>
      <w:pPr>
        <w:ind w:right="160" w:firstLine="720"/>
        <w:spacing w:after="0" w:line="260" w:lineRule="auto"/>
        <w:rPr>
          <w:sz w:val="20"/>
          <w:szCs w:val="20"/>
          <w:color w:val="auto"/>
        </w:rPr>
      </w:pPr>
      <w:r>
        <w:rPr>
          <w:rFonts w:ascii="Times New Roman" w:cs="Times New Roman" w:eastAsia="Times New Roman" w:hAnsi="Times New Roman"/>
          <w:sz w:val="20"/>
          <w:szCs w:val="20"/>
          <w:color w:val="050505"/>
        </w:rPr>
        <w:t>Pfizer is also eligible to receive, on a product-by-product and country-by-country basis, royalties in single-digit percentages on annual net sales for products covered by the Pfizer Agreement. The Company’s royalty obligation with respect to a given product in a given country begins upon the first sale of such product in such country and ends on the later of (i) expiration of the last claim of any applicable patent or (ii) 12 years from the first sale of such product in such country.</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50505"/>
        </w:rPr>
        <w:t>Research Collaboration and License Agreement with Cellectis</w:t>
      </w:r>
    </w:p>
    <w:p>
      <w:pPr>
        <w:spacing w:after="0" w:line="139"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050505"/>
        </w:rPr>
        <w:t>As part of the Pfizer Agreement, Pfizer assigned to the Company a Research Collaboration and License Agreement (the Original Cellectis Agreement) with Cellectis S.A. (Cellectis). On March 8, 2019, the Company entered into a License Agreement (the Cellectis Agreement) with Cellectis. In connection with the execution of the Cellectis Agreement, on March 8, 2019, the Company and Cellectis also entered into a letter agreement (the Letter Agreement), pursuant to which the Company and Cellectis agreed to terminate the Original Cellectis Agreement. The Original Cellectis Agreement included a research collaboration to conduct discovery and pre-clinical development activities to generate CAR T cells directed at targets selected by each party, which was completed in June 2018.</w:t>
      </w:r>
    </w:p>
    <w:p>
      <w:pPr>
        <w:spacing w:after="0" w:line="90" w:lineRule="exact"/>
        <w:rPr>
          <w:sz w:val="20"/>
          <w:szCs w:val="20"/>
          <w:color w:val="auto"/>
        </w:rPr>
      </w:pPr>
    </w:p>
    <w:p>
      <w:pPr>
        <w:ind w:right="160" w:firstLine="720"/>
        <w:spacing w:after="0" w:line="272" w:lineRule="auto"/>
        <w:rPr>
          <w:sz w:val="20"/>
          <w:szCs w:val="20"/>
          <w:color w:val="auto"/>
        </w:rPr>
      </w:pPr>
      <w:r>
        <w:rPr>
          <w:rFonts w:ascii="Times New Roman" w:cs="Times New Roman" w:eastAsia="Times New Roman" w:hAnsi="Times New Roman"/>
          <w:sz w:val="19"/>
          <w:szCs w:val="19"/>
          <w:color w:val="050505"/>
        </w:rPr>
        <w:t>Pursuant to the Cellectis Agreement, Cellectis granted to the Company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CD70, Claudin 18.2, DLL3 and FLT3 (the Allogene Targets), for human oncologic therapeutic, diagnostic, prophylactic and prognostic purposes. In addition, certain Cellectis intellectual property rights granted by Cellectis to the Company and to Servier pursuant to the Exclusive License and</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120</w:t>
      </w:r>
    </w:p>
    <w:p>
      <w:pPr>
        <w:sectPr>
          <w:pgSz w:w="12240" w:h="15840" w:orient="portrait"/>
          <w:cols w:equalWidth="0" w:num="1">
            <w:col w:w="10240"/>
          </w:cols>
          <w:pgMar w:left="1000" w:top="793" w:right="1000" w:bottom="0" w:gutter="0" w:footer="0" w:header="0"/>
          <w:type w:val="continuous"/>
        </w:sectPr>
      </w:pPr>
    </w:p>
    <w:bookmarkStart w:id="124" w:name="page125"/>
    <w:bookmarkEnd w:id="124"/>
    <w:p>
      <w:pPr>
        <w:ind w:right="60"/>
        <w:spacing w:after="0" w:line="281" w:lineRule="auto"/>
        <w:rPr>
          <w:sz w:val="20"/>
          <w:szCs w:val="20"/>
          <w:color w:val="auto"/>
        </w:rPr>
      </w:pPr>
      <w:r>
        <w:rPr>
          <w:rFonts w:ascii="Times New Roman" w:cs="Times New Roman" w:eastAsia="Times New Roman" w:hAnsi="Times New Roman"/>
          <w:sz w:val="20"/>
          <w:szCs w:val="20"/>
          <w:color w:val="050505"/>
        </w:rPr>
        <w:t>Collaboration Agreement by and between Servier and Pfizer, dated October 30, 2016, which Pfizer assigned to the Company in April 2018, will survive the termination of the Original Cellectis Agreement.</w:t>
      </w:r>
    </w:p>
    <w:p>
      <w:pPr>
        <w:spacing w:after="0" w:line="61" w:lineRule="exact"/>
        <w:rPr>
          <w:sz w:val="20"/>
          <w:szCs w:val="20"/>
          <w:color w:val="auto"/>
        </w:rPr>
      </w:pPr>
    </w:p>
    <w:p>
      <w:pPr>
        <w:ind w:right="80" w:firstLine="720"/>
        <w:spacing w:after="0" w:line="260" w:lineRule="auto"/>
        <w:rPr>
          <w:sz w:val="20"/>
          <w:szCs w:val="20"/>
          <w:color w:val="auto"/>
        </w:rPr>
      </w:pPr>
      <w:r>
        <w:rPr>
          <w:rFonts w:ascii="Times New Roman" w:cs="Times New Roman" w:eastAsia="Times New Roman" w:hAnsi="Times New Roman"/>
          <w:sz w:val="20"/>
          <w:szCs w:val="20"/>
          <w:color w:val="050505"/>
        </w:rPr>
        <w:t>Pursuant to the Cellectis Agreement, the Company granted Cellectis a non-exclusive, worldwide, royalty-free, perpetual and irrevocable license, with sublicensing rights under certain conditions, under certain of the Company's intellectual property, to make, use, sell, import and otherwise commercialize CAR T products directed at certain targets (the Cellectis Targets).</w:t>
      </w:r>
    </w:p>
    <w:p>
      <w:pPr>
        <w:spacing w:after="0" w:line="8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050505"/>
        </w:rPr>
        <w:t>The Cellectis Agreement provides for development and sales milestone payments by the Company of up to $185.0 million per product that is directed against an Allogene Target, with aggregate potential development and sales milestone payments totaling up to $2.8 billion. Cellectis is also eligible to receive tiered royalties on annual worldwide net sales of any products that are commercialized by the Company that contain or incorporate, are made using or are claimed or covered by, Cellectis intellectual property licensed to the Company under the Cellectis Agreement (the Allogene Products), at rates in the high single-digit percentages. Such royalties may be reduced, on a licensed product-by-licensed product and country-by-country basis, for generic entry and for payments due under licenses of third-party patents. Pursuant to the Cellectis Agreement, and subject to certain exceptions, the Company is required to indemnify Cellectis against all third-party claims related to the development, manufacturing, commercialization or use of any Allogene Product or arising out of the Company’s material breach of the representations, warranties or covenants set forth in the Cellectis Agreement, and Cellectis is required, subject to certain exceptions, to indemnify the Company against all third party claims related to the development, manufacturing, commercialization or use of CAR T products directed at Cellectis Targets or arising out of Cellectis’ material breach of the representations, warranties or covenants set forth in the Cellectis Agreement.</w:t>
      </w:r>
    </w:p>
    <w:p>
      <w:pPr>
        <w:spacing w:after="0" w:line="8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The royalties are payable, on a licensed product-by-licensed product and country-by-country basis, until the later of (i) the expiration of the last to expire of the licensed patents covering such product; (ii) the loss of regulatory exclusivity afforded such product in such country, and (iii) the tenth anniversary of the date of the first commercial sale of such product in such country; however, in no event shall such royalties be payable, with respect to a particular licensed product, past the twentieth anniversary of the first commercial sale for such product.</w:t>
      </w:r>
    </w:p>
    <w:p>
      <w:pPr>
        <w:spacing w:after="0" w:line="84" w:lineRule="exact"/>
        <w:rPr>
          <w:sz w:val="20"/>
          <w:szCs w:val="20"/>
          <w:color w:val="auto"/>
        </w:rPr>
      </w:pPr>
    </w:p>
    <w:p>
      <w:pPr>
        <w:ind w:right="200" w:firstLine="720"/>
        <w:spacing w:after="0" w:line="281" w:lineRule="auto"/>
        <w:rPr>
          <w:sz w:val="20"/>
          <w:szCs w:val="20"/>
          <w:color w:val="auto"/>
        </w:rPr>
      </w:pPr>
      <w:r>
        <w:rPr>
          <w:rFonts w:ascii="Times New Roman" w:cs="Times New Roman" w:eastAsia="Times New Roman" w:hAnsi="Times New Roman"/>
          <w:sz w:val="20"/>
          <w:szCs w:val="20"/>
          <w:color w:val="050505"/>
        </w:rPr>
        <w:t>Depending on the Cellectis Target, the Company has a right of first refusal or right of first negotiation to purchase or license from Cellectis rights to develop and commercialize products against such Cellectis Targets.</w:t>
      </w:r>
    </w:p>
    <w:p>
      <w:pPr>
        <w:spacing w:after="0" w:line="61"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Under the Cellectis Agreement, the Company has certain diligence obligations to progress the development of CAR T product candidates and to commercialize one CAR T product per Allogene Target in one major market country where the Company has received regulatory approval. If the Company materially breaches any of its diligence obligations and fails to cure within 90 days, then with respect to certain targets, such target will cease to be an Allogene Target and instead will become a Cellectis Target.</w:t>
      </w:r>
    </w:p>
    <w:p>
      <w:pPr>
        <w:spacing w:after="0" w:line="8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Unless earlier terminated in accordance with its terms, the Cellectis Agreement will expire on a product-by-product and country-by-country basis, upon expiration of all royalty payment obligations with respect to such licensed product in such country. The Company has the right to terminate the Cellectis Agreement at will upon 60 days’ prior written notice, either in its entirety or on a target-by-target basis. Either party may terminate the Cellectis Agreement, in its entirety or on a target-by-target basis, upon 90 days’ prior written notice in the event of the other party’s uncured material breach. The Cellectis Agreement may also be terminated by the Company upon written notice at any time in the event that Cellectis becomes bankrupt or insolvent or upon written notice within 60 days of a consummation of a change of control of Cellectis.</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No milestones were achieved for the years ended December 31, 2025 and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Exclusive License Agreement with Servier</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As part of the Pfizer Agreement, Pfizer assigned to the Company an Exclusive License Agreement (the Original Servier Agreement), with Les Laboratoires Servier SAS and Institut de Recherches Internationales Servier SAS (collectively, Servier) to develop, manufacture and commercialize certain allogeneic anti-CD19 CAR T cell product candidates, including UCART19, in the United States with the option to obtain the rights over additional anti-CD19 product candidates and for allogeneic CAR T cell product candidates directed against one additional target. In October 2019, the Company agreed to waive its rights to the one additional target.</w:t>
      </w:r>
    </w:p>
    <w:p>
      <w:pPr>
        <w:spacing w:after="0" w:line="88" w:lineRule="exact"/>
        <w:rPr>
          <w:sz w:val="20"/>
          <w:szCs w:val="20"/>
          <w:color w:val="auto"/>
        </w:rPr>
      </w:pPr>
    </w:p>
    <w:p>
      <w:pPr>
        <w:ind w:right="260" w:firstLine="720"/>
        <w:spacing w:after="0" w:line="271" w:lineRule="auto"/>
        <w:rPr>
          <w:sz w:val="20"/>
          <w:szCs w:val="20"/>
          <w:color w:val="auto"/>
        </w:rPr>
      </w:pPr>
      <w:r>
        <w:rPr>
          <w:rFonts w:ascii="Times New Roman" w:cs="Times New Roman" w:eastAsia="Times New Roman" w:hAnsi="Times New Roman"/>
          <w:sz w:val="19"/>
          <w:szCs w:val="19"/>
          <w:color w:val="050505"/>
        </w:rPr>
        <w:t>On May 10, 2024, the Company and Servier entered into an Amendment and Settlement Agreement (the Servier Amendment) which restructured the parties’ relationship under the Original Servier Agreement (as amended, the Servier Agreement). The Company’s licensed territory was expanded to include the European Union and the United Kingdom. The Company was also granted an option to further extend its licensed territory to include China and Japan upon the objective showing of sufficient resources to develop licensed products in those countries, which could be met through the Company entering into a strategic partnership covering those countries. Additionally, the Company agreed to waive certain of its rights under the Original Servier Agreement to elect a conversion of its license to the products directed against CD19, including</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121</w:t>
      </w:r>
    </w:p>
    <w:p>
      <w:pPr>
        <w:sectPr>
          <w:pgSz w:w="12240" w:h="15840" w:orient="portrait"/>
          <w:cols w:equalWidth="0" w:num="1">
            <w:col w:w="10240"/>
          </w:cols>
          <w:pgMar w:left="1000" w:top="793" w:right="1000" w:bottom="0" w:gutter="0" w:footer="0" w:header="0"/>
          <w:type w:val="continuous"/>
        </w:sectPr>
      </w:pPr>
    </w:p>
    <w:bookmarkStart w:id="125" w:name="page126"/>
    <w:bookmarkEnd w:id="125"/>
    <w:p>
      <w:pPr>
        <w:jc w:val="both"/>
        <w:spacing w:after="0" w:line="266" w:lineRule="auto"/>
        <w:rPr>
          <w:sz w:val="20"/>
          <w:szCs w:val="20"/>
          <w:color w:val="auto"/>
        </w:rPr>
      </w:pPr>
      <w:r>
        <w:rPr>
          <w:rFonts w:ascii="Times New Roman" w:cs="Times New Roman" w:eastAsia="Times New Roman" w:hAnsi="Times New Roman"/>
          <w:sz w:val="20"/>
          <w:szCs w:val="20"/>
          <w:color w:val="050505"/>
        </w:rPr>
        <w:t>UCART19, ALLO-501 and cemacabtagene ansegedleucel (cema-cel, previously ALLO-501A) (collectively, CD19 Products) to a worldwide license. Under the Servier Agreement, the Company is required to use commercially reasonable efforts to develop, manufacture and commercialize a CD19 Product.</w:t>
      </w:r>
    </w:p>
    <w:p>
      <w:pPr>
        <w:spacing w:after="0" w:line="7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19"/>
          <w:szCs w:val="19"/>
          <w:color w:val="050505"/>
        </w:rPr>
        <w:t>Under the Servier Agreement, Servier sublicenses to the Company certain rights which Servier licenses from Cellectis pursuant to a License, Development and Commercialization Agreement by and between Cellectis and Servier, dated February 7, 2014, as amended by Amendment No. 1 to the License, Development and Commercialization Agreement, dated March 4, 2020 (as amended, the Servier-Cellectis Agreement). As amended by the Servier Amendment, all of the Company’s future milestone payments (regulatory and sales) under the Original Servier Agreement were modified to be the same as, and to coincide with, Servier’s milestone payments to Cellectis that are required under the Servier-Cellectis Agreement. The Servier Agreement provides for aggregate potential milestone payments by the Company to Servier of up to €75.0 million upon successful completion of various regulatory milestones and first commercial sale milestones in the United States, European Union and the United Kingdom for the initial indication of each licensed product, of which €60.0 million remains for the initial indication for cema-cel, with additional payments of €55.0 million, due for each subsequent indication, of which €50.0 million remains for the first subsequent indication for cema-cel, and aggregate potential payments by the Company to Servier of up to €80.0 million upon achievement of certain net sales milestones for each licensed product. Should Servier’s rights and obligations under the Servier-Cellectis Agreement be assigned to the Company, these milestone payments would terminate, and the Company would assume Servier’s milestone payment obligations to Cellectis. In the absence of any such assignment, Servier will remain responsible for making milestone payments that may be due to Cellectis under the Servier-Cellectis Agreement.</w:t>
      </w:r>
    </w:p>
    <w:p>
      <w:pPr>
        <w:spacing w:after="0" w:line="88" w:lineRule="exact"/>
        <w:rPr>
          <w:sz w:val="20"/>
          <w:szCs w:val="20"/>
          <w:color w:val="auto"/>
        </w:rPr>
      </w:pPr>
    </w:p>
    <w:p>
      <w:pPr>
        <w:ind w:right="20" w:firstLine="770"/>
        <w:spacing w:after="0" w:line="252" w:lineRule="auto"/>
        <w:rPr>
          <w:sz w:val="20"/>
          <w:szCs w:val="20"/>
          <w:color w:val="auto"/>
        </w:rPr>
      </w:pPr>
      <w:r>
        <w:rPr>
          <w:rFonts w:ascii="Times New Roman" w:cs="Times New Roman" w:eastAsia="Times New Roman" w:hAnsi="Times New Roman"/>
          <w:sz w:val="20"/>
          <w:szCs w:val="20"/>
          <w:color w:val="050505"/>
        </w:rPr>
        <w:t>The Company transferred €20.0 million into an escrow account in connection with a potential future milestone payment, which is included in the remaining €60.0 million in milestone payments referenced above for the initial indication for cema-cel. Such milestone payment will be triggered, if at all, upon the occurrence of one of these events: (1) the Company doses the first subject in its first phase 3 clinical study for a CD19 CAR T product that is a licensed product under the Servier Agreement, (2) the Company submits a phase 2 clinical study for a licensed product to the U.S. Food and Drug Administration or the European Medicines Agency, and such phase 2 clinical study is accepted for regulatory approval as a pivotal study, or (3) a final and definitive decision of a tribunal or court finding that under the Servier-Cellectis Agreement the milestone has occurred and the €20.0 million payment is due to Cellectis. As of December 31, 2025, the Company recorded €20.0 million as deposit placed in escrow in the consolidated balance sheets. On December 15, 2025, Cellectis publicly reported that an arbitral tribunal issued a decision providing for a partial termination of the Servier-Cellectis Agreement with respect to UCART19V1, which is the same as ALLO-501, a product candidate which the Company previously abandoned in favor of cema-cel (formerly known as ALLO-501A). As a result of that decision, the Company's Servier license covering UCART19V1/ALLO-501 was automatically terminated. The arbitration decision requires Cellectis, at the Company's request, to engage in good-faith discussions regarding the granting of a direct license to UCART19V1/ALLO-501 resulting in the €20.0 million in escrow to be remitted to the Company pursuant to the terms of the Servier Amendment. As of December 31, 2025, the Company maintained the €20.0 million as deposit placed in escrow in the consolidated balance sheets and recognized $2.7 million gain on foreign currency in interest and other income, net for the year ended December 31, 2025. On February 13, 2026, the €20.0 million balance in escrow was remitted to the Company.</w:t>
      </w:r>
    </w:p>
    <w:p>
      <w:pPr>
        <w:spacing w:after="0" w:line="9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The Company is obligated to pay to Servier royalties on annual net sales of any licensed products that are commercialized by the Company that are directed at CD19. Such royalties include tiered royalties on annual net sales in the United States and a flat royalty on annual net sales in territories outside the United States. The United States royalty rates are in a range from the low tens to the mid teen percentages, and the ex-U.S. royalty rate is 10%. Such royalties may be reduced for interchangeable drug entry, expiration of patent rights and amounts paid pursuant to licenses of third-party patents. This royalty obligation begins upon the first commercial sale of such product in a given country and ends after the later of a defined number of years or the expiration of the last to expire licensed patent covering the product in such country. The net effect of the Servier Amendment is that the Company’s royalty rate in the United States for the first half of the first tier of net sales was increased by a low single digit percentage as compared to the Original Servier Agreement. Should Servier’s rights and obligations under the Servier-Cellectis Agreement be assigned to the Company, each tier of royalty rates in the United States to Servier would be reduced by 10%, the ex-U.S. royalties to Servier would terminate, and the Company would assume Servier’s royalty obligations to Cellectis. In the absence of any such assignment, Servier will remain responsible for making royalty payments that may be due to Cellectis under the Servier-Cellectis Agreement.</w:t>
      </w:r>
    </w:p>
    <w:p>
      <w:pPr>
        <w:spacing w:after="0" w:line="8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The parties agreed that co-development performed by the Company and Servier under the Servier Agreement, including all development performed by Servier and for product candidates that the Company was co-developing with Servier (for which specified development costs were split under the Original Servier Agreement with the Company responsible for 60% and Servier responsible for 40%), including the CD19 Products, ceased as of December 15, 2022, and that all development costs incurred by either party after that date shall be borne solely by such party.</w:t>
      </w:r>
    </w:p>
    <w:p>
      <w:pPr>
        <w:spacing w:after="0" w:line="84" w:lineRule="exact"/>
        <w:rPr>
          <w:sz w:val="20"/>
          <w:szCs w:val="20"/>
          <w:color w:val="auto"/>
        </w:rPr>
      </w:pPr>
    </w:p>
    <w:p>
      <w:pPr>
        <w:ind w:right="380" w:firstLine="720"/>
        <w:spacing w:after="0" w:line="309" w:lineRule="auto"/>
        <w:rPr>
          <w:sz w:val="20"/>
          <w:szCs w:val="20"/>
          <w:color w:val="auto"/>
        </w:rPr>
      </w:pPr>
      <w:r>
        <w:rPr>
          <w:rFonts w:ascii="Times New Roman" w:cs="Times New Roman" w:eastAsia="Times New Roman" w:hAnsi="Times New Roman"/>
          <w:sz w:val="19"/>
          <w:szCs w:val="19"/>
          <w:color w:val="050505"/>
        </w:rPr>
        <w:t>The parties agreed to waive any and all outstanding claims that were asserted relating to alleged violations of the Original Servier Agreement, including all claims that such party was entitled to various payments or refunds from the other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122</w:t>
      </w:r>
    </w:p>
    <w:p>
      <w:pPr>
        <w:sectPr>
          <w:pgSz w:w="12240" w:h="15840" w:orient="portrait"/>
          <w:cols w:equalWidth="0" w:num="1">
            <w:col w:w="10240"/>
          </w:cols>
          <w:pgMar w:left="1000" w:top="793" w:right="1000" w:bottom="0" w:gutter="0" w:footer="0" w:header="0"/>
          <w:type w:val="continuous"/>
        </w:sectPr>
      </w:pPr>
    </w:p>
    <w:bookmarkStart w:id="126" w:name="page127"/>
    <w:bookmarkEnd w:id="126"/>
    <w:p>
      <w:pPr>
        <w:ind w:right="180"/>
        <w:spacing w:after="0" w:line="281" w:lineRule="auto"/>
        <w:rPr>
          <w:sz w:val="20"/>
          <w:szCs w:val="20"/>
          <w:color w:val="auto"/>
        </w:rPr>
      </w:pPr>
      <w:r>
        <w:rPr>
          <w:rFonts w:ascii="Times New Roman" w:cs="Times New Roman" w:eastAsia="Times New Roman" w:hAnsi="Times New Roman"/>
          <w:sz w:val="20"/>
          <w:szCs w:val="20"/>
          <w:color w:val="050505"/>
        </w:rPr>
        <w:t>party under the Original Servier Agreement, and any and all claims that either party now has or may have in the future related to such outstanding claims, and mutual releases with respect to such claims were granted.</w:t>
      </w:r>
    </w:p>
    <w:p>
      <w:pPr>
        <w:spacing w:after="0" w:line="61" w:lineRule="exact"/>
        <w:rPr>
          <w:sz w:val="20"/>
          <w:szCs w:val="20"/>
          <w:color w:val="auto"/>
        </w:rPr>
      </w:pPr>
    </w:p>
    <w:p>
      <w:pPr>
        <w:ind w:right="20" w:firstLine="720"/>
        <w:spacing w:after="0" w:line="281" w:lineRule="auto"/>
        <w:rPr>
          <w:sz w:val="20"/>
          <w:szCs w:val="20"/>
          <w:color w:val="auto"/>
        </w:rPr>
      </w:pPr>
      <w:r>
        <w:rPr>
          <w:rFonts w:ascii="Times New Roman" w:cs="Times New Roman" w:eastAsia="Times New Roman" w:hAnsi="Times New Roman"/>
          <w:sz w:val="20"/>
          <w:szCs w:val="20"/>
          <w:color w:val="050505"/>
        </w:rPr>
        <w:t>The Company recorded zero and $5.4 million in research and development expenses upon achievement of a regulatory milestone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Research Collaboration and License Agreement with Roche (formerly Notch Therapeutics)</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On November 1, 2019, the Company entered into a Collaboration and License Agreement (the Notch Agreement) with Notch Therapeutics Inc. (Notch), pursuant to which Notch granted to Allogene an exclusive, worldwide, royalty-bearing, sublicensable license under certain of Notch’s intellectual property to develop, make, use, sell, import, and otherwise commercialize therapeutic gene-edited T cell and/or natural killer (NK) cell products from induced pluripotent stem cells directed at certain CAR targets for initial application in non-Hodgkin lymphoma, acute lymphoblastic leukemia and multiple myeloma.</w:t>
      </w:r>
    </w:p>
    <w:p>
      <w:pPr>
        <w:spacing w:after="0" w:line="88" w:lineRule="exact"/>
        <w:rPr>
          <w:sz w:val="20"/>
          <w:szCs w:val="20"/>
          <w:color w:val="auto"/>
        </w:rPr>
      </w:pPr>
    </w:p>
    <w:p>
      <w:pPr>
        <w:ind w:right="200" w:firstLine="720"/>
        <w:spacing w:after="0" w:line="286" w:lineRule="auto"/>
        <w:rPr>
          <w:sz w:val="20"/>
          <w:szCs w:val="20"/>
          <w:color w:val="auto"/>
        </w:rPr>
      </w:pPr>
      <w:r>
        <w:rPr>
          <w:rFonts w:ascii="Times New Roman" w:cs="Times New Roman" w:eastAsia="Times New Roman" w:hAnsi="Times New Roman"/>
          <w:sz w:val="19"/>
          <w:szCs w:val="19"/>
          <w:color w:val="050505"/>
        </w:rPr>
        <w:t>In connection with the Notch Agreement, the Company made a $10.0 million upfront payment and made equity investments in Notch, including a $5.0 million seed investment. The Company made additional investments in Notch totaling $17.7 million in 2021. Following these transactions, the Company's share in Notch was 23% on a voting interest basis.</w:t>
      </w:r>
    </w:p>
    <w:p>
      <w:pPr>
        <w:spacing w:after="0" w:line="59"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On January 25, 2024, the Company entered into an Amended and Restated Collaboration and License Agreement under which the Company has relinquished its exclusive rights to all original CAR targets except one, limited its option right to one additional CAR target and became entitled to a percentage of certain third party upfront and/or milestone payments (up oto a stated cap) and a low, single-digit royalty on net sales if Notch out-licenses any released targets.</w:t>
      </w:r>
    </w:p>
    <w:p>
      <w:pPr>
        <w:spacing w:after="0" w:line="83"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050505"/>
        </w:rPr>
        <w:t>On May 17, 2024, the Company entered into an Amendment No. 1 to Amended and Restated Collaboration and License Agreement in connection with Notch's Series B financing. As a result of that financing and amendment, the Company's ownership increased to 13%, the Company waived its right to appoint a member of the Notch's board of directors (retaining board observation rights), and the Company no longer has any significant influence over Notch. Accordingly, effective May 17, 2024, the Company accounted for its investment in Notch as an equity investment measured at cost less any impairment.</w:t>
      </w:r>
    </w:p>
    <w:p>
      <w:pPr>
        <w:spacing w:after="0" w:line="84"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050505"/>
        </w:rPr>
        <w:t>On March 31, 2025, the Company entered into a Second Amendment to Amended and Restated Collaboration and License Agreement in connection with F. Hoffmann-La Roche AG’s acquisition of Notch. The amendment clarified defined certain terms, extended certain technology time periods, and clarified the scope of Allogene’s exclusive rights. Notch dissolved on September 2, 2025 and final proceeds were distributed to the Company.</w:t>
      </w:r>
    </w:p>
    <w:p>
      <w:pPr>
        <w:spacing w:after="0" w:line="83"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050505"/>
        </w:rPr>
        <w:t>The only remaining elements of the Notch relationship is that the Company retains its rights for the one original CAR target that it did not relinquish, and may receive the above-mentioned contingent payments if any released target is further partnered or commercialized. With respect to those rights, each party has standard rights to terminate for breach or insolvency, and the Company can also terminate unilaterally for any with prior notice.</w:t>
      </w:r>
    </w:p>
    <w:p>
      <w:pPr>
        <w:spacing w:after="0" w:line="83"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For the period from January 1, 2024 through May 17, 2024, the Company recognized its share of Notch’s net loss of $1.7 million under the other income and expense, net caption within the consolidated statements of operations. During the year ended December 31, 2024, the Company recognized $2.0 million of impairment loss under the other income and expense, net caption. As of December 31, 2025 and 2024, the Company's equity investment in Notch was zero. For the year ended December 31, 2025, the Company recorded $0.3 million in other income and expenses, net representing the final dissolution distribution of its equity investment in Notch.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Strategic Alliance with The University of Texas MD Anderson Cancer Center</w:t>
      </w:r>
    </w:p>
    <w:p>
      <w:pPr>
        <w:spacing w:after="0" w:line="139"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050505"/>
        </w:rPr>
        <w:t>On October 6, 2020, the Company entered into a strategic five-year collaboration agreement with The University of Texas MD Anderson Cancer Center (MD Anderson) for the preclinical and clinical investigation of allogeneic CAR T cell product candidates. In August 2025, the Company extended the term on the agreement for an additional year. The Company and MD Anderson are collaborating on the design and conduct of preclinical and clinical studies with oversight from a joint steering committee.</w:t>
      </w:r>
    </w:p>
    <w:p>
      <w:pPr>
        <w:spacing w:after="0" w:line="84"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Under the terms of the agreement, the Company has committed up to $15.0 million of funding for the duration of the agreement, of which $6.0 million remains. Payment of this funding is contingent on mutual agreement to study orders in order for any study to be included under the alliance. The Company is committed to make further payments to MD Anderson each year upon the anniversary of the agreement effective date through the duration of the agreement term, however, if MD Anderson has sufficient funds to continue the agreed-upon research projects, the Company may defer the additional payment to a later date. These costs are expensed to research and development as MD Anderson renders the services under the strategic alliance.</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123</w:t>
      </w:r>
    </w:p>
    <w:p>
      <w:pPr>
        <w:sectPr>
          <w:pgSz w:w="12240" w:h="15840" w:orient="portrait"/>
          <w:cols w:equalWidth="0" w:num="1">
            <w:col w:w="10220"/>
          </w:cols>
          <w:pgMar w:left="1000" w:top="793" w:right="1020" w:bottom="0" w:gutter="0" w:footer="0" w:header="0"/>
          <w:type w:val="continuous"/>
        </w:sectPr>
      </w:pPr>
    </w:p>
    <w:bookmarkStart w:id="127" w:name="page128"/>
    <w:bookmarkEnd w:id="127"/>
    <w:p>
      <w:pPr>
        <w:ind w:right="400" w:firstLine="720"/>
        <w:spacing w:after="0" w:line="260" w:lineRule="auto"/>
        <w:rPr>
          <w:sz w:val="20"/>
          <w:szCs w:val="20"/>
          <w:color w:val="auto"/>
        </w:rPr>
      </w:pPr>
      <w:r>
        <w:rPr>
          <w:rFonts w:ascii="Times New Roman" w:cs="Times New Roman" w:eastAsia="Times New Roman" w:hAnsi="Times New Roman"/>
          <w:sz w:val="20"/>
          <w:szCs w:val="20"/>
          <w:color w:val="050505"/>
        </w:rPr>
        <w:t>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spacing w:after="0" w:line="83" w:lineRule="exact"/>
        <w:rPr>
          <w:sz w:val="20"/>
          <w:szCs w:val="20"/>
          <w:color w:val="auto"/>
        </w:rPr>
      </w:pPr>
    </w:p>
    <w:p>
      <w:pPr>
        <w:ind w:right="220" w:firstLine="720"/>
        <w:spacing w:after="0" w:line="281" w:lineRule="auto"/>
        <w:rPr>
          <w:sz w:val="20"/>
          <w:szCs w:val="20"/>
          <w:color w:val="auto"/>
        </w:rPr>
      </w:pPr>
      <w:r>
        <w:rPr>
          <w:rFonts w:ascii="Times New Roman" w:cs="Times New Roman" w:eastAsia="Times New Roman" w:hAnsi="Times New Roman"/>
          <w:sz w:val="20"/>
          <w:szCs w:val="20"/>
          <w:color w:val="050505"/>
        </w:rPr>
        <w:t>Collaboration costs recorded as research and development expenses were $0.9 million and $1.6 million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Investment in and License Agreement with Overland Therapeutics, Inc.</w:t>
      </w:r>
    </w:p>
    <w:p>
      <w:pPr>
        <w:spacing w:after="0" w:line="139"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050505"/>
        </w:rPr>
        <w:t>Allogene Overland Biopharm (CY) Limited (Allogene Overland), later renamed Overland Therapeutics Inc. (Overland Therapeutics), was initially established as a joint venture by the Company and Overland Pharmaceuticals (CY) Inc. (Overland) pursuant to a Share Purchase Agreement (Share Purchase Agreement), dated December 14, 2020. Concurrently, on December 14, 2020, the Company entered into a License Agreement (License Agreement) with Allogene Overland for the purpose of developing, manufacturing and commercializing certain allogeneic CAR T cell therapies for patients in greater China, Taiwan, South Korea and Singapore (the JV Territory).</w:t>
      </w:r>
    </w:p>
    <w:p>
      <w:pPr>
        <w:spacing w:after="0" w:line="88"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050505"/>
        </w:rPr>
        <w:t>Pursuant to the Share Purchase Agreement, the Company and Overland acquired Seed Preferred Shares of Allogene Overland representing 49% and 51%, respectively, of Allogene Overland’s outstanding stock for $117.0 million in upfront and certain quarterly cash payments to support operations of Allogene Overland. The Company received $40.0 million from Allogene Overland as partial consideration for the License Agreement. Until the Organizational Restructuring (as defined below), the Company and Overland were the sole equity holders in Allogene Overland.</w:t>
      </w:r>
    </w:p>
    <w:p>
      <w:pPr>
        <w:spacing w:after="0" w:line="84"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Pursuant to the License Agreement, the Company granted Allogene Overland an exclusive license to develop, manufacture and commercialize certain allogeneic CAR T cell candidates directed at four targets, BCMA, CD70, FLT3, and DLL3 (Overland Licensed Products), in the JV Territory. As consideration, the Company would also be entitled to additional regulatory milestone payments of up to $40.0 million and, subject to certain conditions, tiered low-to-mid single-digit sales royalties. Subsequent to entering into the License Agreement, Allogene Overland assigned the License Agreement to a wholly-owned subsidiary, Allogene Overland BioPharm (HK) Limited (Allogene Overland HK). On April 1, 2022, Allogene Overland HK assigned the License Agreement to Allogene Overland Biopharm (PRC) Co., Limited (Allogene Overland PRC).</w:t>
      </w:r>
    </w:p>
    <w:p>
      <w:pPr>
        <w:spacing w:after="0" w:line="90" w:lineRule="exact"/>
        <w:rPr>
          <w:sz w:val="20"/>
          <w:szCs w:val="20"/>
          <w:color w:val="auto"/>
        </w:rPr>
      </w:pPr>
    </w:p>
    <w:p>
      <w:pPr>
        <w:jc w:val="both"/>
        <w:ind w:right="140" w:firstLine="720"/>
        <w:spacing w:after="0" w:line="266" w:lineRule="auto"/>
        <w:rPr>
          <w:sz w:val="20"/>
          <w:szCs w:val="20"/>
          <w:color w:val="auto"/>
        </w:rPr>
      </w:pPr>
      <w:r>
        <w:rPr>
          <w:rFonts w:ascii="Times New Roman" w:cs="Times New Roman" w:eastAsia="Times New Roman" w:hAnsi="Times New Roman"/>
          <w:sz w:val="20"/>
          <w:szCs w:val="20"/>
          <w:color w:val="050505"/>
        </w:rPr>
        <w:t>On May 24, 2024, the Company, Overland, and Allogene Overland entered into a Share Exchange Agreement (Share Exchange Agreement) pursuant to which Overland’s cell therapy business merged into Allogene Overland (the Organizational Restructuring).</w:t>
      </w:r>
    </w:p>
    <w:p>
      <w:pPr>
        <w:spacing w:after="0" w:line="7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050505"/>
        </w:rPr>
        <w:t>Under the Share Exchange Agreement, Allogene Overland acquired from Overland a 100% equity interest in Overland Pharmaceuticals (U.S.) Inc. (Overland U.S.). Overland U.S. includes certain research and development, clinical, and general and administrative staff, as well as select cell therapy assets, including its lead program, OL-101, an autologous GPRC5D-BCMA bispecific dual targeting CAR T for refractory multiple myeloma. Upon completion of the closing of the share exchange, Overland U.S. became a wholly owned subsidiary of Allogene Overland, Overland’s ownership increased to 82% and the Company’s ownership decreased to 18%.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spacing w:after="0" w:line="8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050505"/>
        </w:rPr>
        <w:t>In connection with the Organizational Restructuring, on May 24, 2024, the Company and Allogene Overland PRC, entered into a First Amendment to the License Agreement (the License Amendment) to amend and supplement certain provisions of the License Agreement. Under the License Amendment, the Company continues to grant Allogene Overland PRC an exclusive license to develop, manufacture, and commercialize the Licensed Products in the JV Territory, with the Company retaining exclusive rights to the Licensed Products outside the JV Territory, and the royalty obligations to the Company were amended to a flat mid single-digit royalty on net sales in the JV Territory that are no longer subject to reductions. The License Amendment also provides the Company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provides that the License Agreement will terminate automatically if the Company’s ownership in Allogene Overland falls below 7.5% (other than due to the Company’s sale of the shares of Allogene Overland), unless at that time Allogene Overland PRC and the Company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 of up to $115.0 million in milestone payments for each Overland Licensed Product and tiered mid single-digit to low double-digit royalties on net sales in the JV Territory.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124</w:t>
      </w:r>
    </w:p>
    <w:p>
      <w:pPr>
        <w:sectPr>
          <w:pgSz w:w="12240" w:h="15840" w:orient="portrait"/>
          <w:cols w:equalWidth="0" w:num="1">
            <w:col w:w="10240"/>
          </w:cols>
          <w:pgMar w:left="1000" w:top="793" w:right="1000" w:bottom="0" w:gutter="0" w:footer="0" w:header="0"/>
          <w:type w:val="continuous"/>
        </w:sectPr>
      </w:pPr>
    </w:p>
    <w:bookmarkStart w:id="128" w:name="page129"/>
    <w:bookmarkEnd w:id="128"/>
    <w:p>
      <w:pPr>
        <w:ind w:right="200" w:firstLine="720"/>
        <w:spacing w:after="0" w:line="281" w:lineRule="auto"/>
        <w:rPr>
          <w:sz w:val="20"/>
          <w:szCs w:val="20"/>
          <w:color w:val="auto"/>
        </w:rPr>
      </w:pPr>
      <w:r>
        <w:rPr>
          <w:rFonts w:ascii="Times New Roman" w:cs="Times New Roman" w:eastAsia="Times New Roman" w:hAnsi="Times New Roman"/>
          <w:sz w:val="20"/>
          <w:szCs w:val="20"/>
          <w:color w:val="050505"/>
        </w:rPr>
        <w:t>As part of the Organizational Restructuring, Allogene Overland was renamed Overland Therapeutics Inc. (Overland Therapeutics).</w:t>
      </w:r>
    </w:p>
    <w:p>
      <w:pPr>
        <w:spacing w:after="0" w:line="61"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20"/>
          <w:szCs w:val="20"/>
          <w:color w:val="050505"/>
        </w:rPr>
        <w:t>Based on the License Agreement, promises that the Company concluded were distinct performance obligations included: (1) the license of intellectual property and delivery of know-how, (2) the manufacturing license, related know-how and support, (3) know-how developed in future periods, and (4) participation in the joint steering committee.</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050505"/>
        </w:rPr>
        <w:t>In order to determine the transaction price, the Company evaluated all the consideration to be received over the duration of the contract. Fixed consideration exists in the form of the upfront payment and Seed Preferred Shares in Overland Therapeutics. Regulatory milestones and royalties were considered variable consideration. The Company constrains the estimated variable consideration when it assesses it is probable that a significant reversal in the amount of cumulative revenue recognized may occur in future periods. Milestone fees were constrained and not included in the transaction price due to the uncertainties of research and development. The Company re-evaluates the transaction price, including the estimated variable consideration included in the transaction price and all constrained amounts, in each reporting period and as uncertain events are resolved or other changes in circumstances occur.</w:t>
      </w:r>
    </w:p>
    <w:p>
      <w:pPr>
        <w:spacing w:after="0" w:line="93" w:lineRule="exact"/>
        <w:rPr>
          <w:sz w:val="20"/>
          <w:szCs w:val="20"/>
          <w:color w:val="auto"/>
        </w:rPr>
      </w:pPr>
    </w:p>
    <w:p>
      <w:pPr>
        <w:ind w:right="340" w:firstLine="720"/>
        <w:spacing w:after="0" w:line="255" w:lineRule="auto"/>
        <w:rPr>
          <w:sz w:val="20"/>
          <w:szCs w:val="20"/>
          <w:color w:val="auto"/>
        </w:rPr>
      </w:pPr>
      <w:r>
        <w:rPr>
          <w:rFonts w:ascii="Times New Roman" w:cs="Times New Roman" w:eastAsia="Times New Roman" w:hAnsi="Times New Roman"/>
          <w:sz w:val="20"/>
          <w:szCs w:val="20"/>
          <w:color w:val="050505"/>
        </w:rPr>
        <w:t>The Company estimated the fair value of the shares of Seed Preferred Stock at $79.0 million, using probability adjusted future cash infusions based on the upfront and certain quarterly cash payments of $117.0 million committed by Overland. The probability for the future quarterly cash payments of 65% was developed based on consideration of the Company's expectations for future cash infusions from Overland and was applied on a cumulative basis for each quarterly payment. The present value of the future quarterly cash payments was estimated using 11.9% annual discount rate. The fair value measurement is based on significant inputs not observable in the market and, therefore, represents a Level 3 measurement.</w:t>
      </w:r>
    </w:p>
    <w:p>
      <w:pPr>
        <w:spacing w:after="0" w:line="90"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050505"/>
        </w:rPr>
        <w:t>The Company determined that the initial transaction price consists of the upfront payment of $40.0 million and noncash consideration of $79.0 million received in the form of the shares of Seed Preferred Stock. The allocation of the transaction price is performed based on standalone selling prices, which are based on estimated amounts that the Company would charge for a performance obligation if it were sold separately. The initial transaction price of $119.0 million was allocated as follows: (i) $114.0 million to the license of intellectual property and know-how, which was recognized upon grant of license and delivery of know-how in the consolidated financial statements for the year ended December 31, 2021 when the know-how was delivered; (ii) $2.3 million to the manufacturing license, related know-how and support, which will be recognized as services are delivered; (iii) $2.1 million to the know-how developed in future periods, which will be recognized as services are delivered, and (iv) $0.6 million to participation in the joint steering committee, which will be recognized over time as the services are delivered. Funds received in advance are recorded as deferred revenue and will be recognized as the performance obligations are satisfied.</w:t>
      </w:r>
    </w:p>
    <w:p>
      <w:pPr>
        <w:spacing w:after="0" w:line="93"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Based on the License Amendment, the Company determined that the remaining transaction price was $4.6 million and it was allocated as follows: (i) $1.9 million to the manufacturing license, related know-how and support, which will be recognized as services are delivered and (ii) $2.7 million to the know-how developed in future periods, which will be recognized as services are delivered.</w:t>
      </w:r>
    </w:p>
    <w:p>
      <w:pPr>
        <w:spacing w:after="0" w:line="8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The Company determined that Overland Therapeutics is a variable interest entity as of December 31, 2025 and 2024. The Company does not have the power to direct the activities which most significantly affect Overland Therapeutics’ economic performance. Accordingly, the Company did not consolidate Overland Therapeutics because the Company determined that it was not the primary beneficiary. After the Organizational Restructuring, the Company has 20% voting rights of Overland Therapeutics’ board of directors. The Company concluded that it has significant influence over Overland Therapeutics and continued to account for its investment in Overland Therapeutics as an equity method investment. In connection with the Organizational Restructuring, the Company recorded an increase in its equity method investment in Overland Therapeutics and corresponding gain of $1.1 million, which was offset by its share of Overland Therapeutics' net loss of $1.1 million under the other income and expense, net caption within the consolidated statement of operations. The Company’s total equity investment in Overland Therapeutics was zero as of December 31, 2025 and 2024. Collaboration revenue was zero and less than $0.1 million for the years ended December 31, 2025 and 2024, respectively. As of December 31, 2025, $4.6 million of deferred revenue was recorded in other long-term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Collaboration and License Agreement with Antion</w:t>
      </w:r>
    </w:p>
    <w:p>
      <w:pPr>
        <w:spacing w:after="0" w:line="139" w:lineRule="exact"/>
        <w:rPr>
          <w:sz w:val="20"/>
          <w:szCs w:val="20"/>
          <w:color w:val="auto"/>
        </w:rPr>
      </w:pPr>
    </w:p>
    <w:p>
      <w:pPr>
        <w:ind w:right="160" w:firstLine="720"/>
        <w:spacing w:after="0" w:line="256" w:lineRule="auto"/>
        <w:rPr>
          <w:sz w:val="20"/>
          <w:szCs w:val="20"/>
          <w:color w:val="auto"/>
        </w:rPr>
      </w:pPr>
      <w:r>
        <w:rPr>
          <w:rFonts w:ascii="Times New Roman" w:cs="Times New Roman" w:eastAsia="Times New Roman" w:hAnsi="Times New Roman"/>
          <w:sz w:val="20"/>
          <w:szCs w:val="20"/>
          <w:color w:val="050505"/>
        </w:rPr>
        <w:t>On January 5, 2022, the Company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Pursuant to the agreement, Antion will exclusively collaborate with the Company on oncology products for a defined period. The Company will also have exclusive worldwide rights to commercialize products incorporating Antion technology developed during the collaboration.</w:t>
      </w:r>
    </w:p>
    <w:p>
      <w:pPr>
        <w:sectPr>
          <w:pgSz w:w="12240" w:h="15840" w:orient="portrait"/>
          <w:cols w:equalWidth="0" w:num="1">
            <w:col w:w="10200"/>
          </w:cols>
          <w:pgMar w:left="1000" w:top="793" w:right="104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050505"/>
        </w:rPr>
        <w:t>125</w:t>
      </w:r>
    </w:p>
    <w:p>
      <w:pPr>
        <w:sectPr>
          <w:pgSz w:w="12240" w:h="15840" w:orient="portrait"/>
          <w:cols w:equalWidth="0" w:num="1">
            <w:col w:w="10200"/>
          </w:cols>
          <w:pgMar w:left="1000" w:top="793" w:right="1040" w:bottom="0" w:gutter="0" w:footer="0" w:header="0"/>
          <w:type w:val="continuous"/>
        </w:sectPr>
      </w:pPr>
    </w:p>
    <w:bookmarkStart w:id="129" w:name="page130"/>
    <w:bookmarkEnd w:id="129"/>
    <w:p>
      <w:pPr>
        <w:ind w:firstLine="720"/>
        <w:spacing w:after="0" w:line="260" w:lineRule="auto"/>
        <w:rPr>
          <w:sz w:val="20"/>
          <w:szCs w:val="20"/>
          <w:color w:val="auto"/>
        </w:rPr>
      </w:pPr>
      <w:r>
        <w:rPr>
          <w:rFonts w:ascii="Times New Roman" w:cs="Times New Roman" w:eastAsia="Times New Roman" w:hAnsi="Times New Roman"/>
          <w:sz w:val="20"/>
          <w:szCs w:val="20"/>
          <w:color w:val="050505"/>
        </w:rPr>
        <w:t>The Antion Collaboration and License Agreement includes an exclusive research collaboration to conduct research and development of the use of Antion’s proprietary technologies to produce certain products for a defined period, which will be conducted in accordance with an agreed research plan and budget under the oversight of a joint steering committee. The Company will reimburse Antion's costs incurred in accordance with such plan and budget.</w:t>
      </w:r>
    </w:p>
    <w:p>
      <w:pPr>
        <w:spacing w:after="0" w:line="83"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050505"/>
        </w:rPr>
        <w:t>In connection with the execution of the Antion Collaboration and License Agreement, the Company made an upfront payment to Antion of $3.5 million in return for a license to access Antion's technology in order to conduct research pursuant to the agreement. The upfront payment was fully recognized as research and development expense as the license had no foreseeable alternative future use. In addition, the Company made a $3.0 million investment in Antion's preferred stock. The Company accounts for its investment in Antion's preferred stock as an equity investment measured at cost less any impairment. In connection with this investment, a Company representative was appointed to Antion’s Board of Directors.</w:t>
      </w:r>
    </w:p>
    <w:p>
      <w:pPr>
        <w:spacing w:after="0" w:line="88"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050505"/>
        </w:rPr>
        <w:t>In July 2023, the Company and Antion entered into an amendment to the Antion Collaboration and License Agreement. Under the terms of this amendment, Antion's exclusivity obligation relating to the collaboration was terminated; however, Antion agreed to certain restrictions on its ability to pursue products directed against specific targets. Also, in lieu of the Company's prior obligation to make a $3.0 million investment in Antion following the completion of certain milestones, the Company agreed to make a $2.0 million investment in Antion's preferred stock and acquired warrants to purchase an additional $3.0 million of Antion's preferred stock.</w:t>
      </w:r>
    </w:p>
    <w:p>
      <w:pPr>
        <w:spacing w:after="0" w:line="88" w:lineRule="exact"/>
        <w:rPr>
          <w:sz w:val="20"/>
          <w:szCs w:val="20"/>
          <w:color w:val="auto"/>
        </w:rPr>
      </w:pPr>
    </w:p>
    <w:p>
      <w:pPr>
        <w:ind w:right="60" w:firstLine="720"/>
        <w:spacing w:after="0" w:line="260" w:lineRule="auto"/>
        <w:rPr>
          <w:sz w:val="20"/>
          <w:szCs w:val="20"/>
          <w:color w:val="auto"/>
        </w:rPr>
      </w:pPr>
      <w:r>
        <w:rPr>
          <w:rFonts w:ascii="Times New Roman" w:cs="Times New Roman" w:eastAsia="Times New Roman" w:hAnsi="Times New Roman"/>
          <w:sz w:val="20"/>
          <w:szCs w:val="20"/>
          <w:color w:val="050505"/>
        </w:rPr>
        <w:t>Under the Antion Collaboration and License Agreement, Antion will be eligible to receive up to $35.3 million for four products upon achievement of certain development and regulatory milestones. For each additional product, Antion will be eligible to receive $2.0 million upon achievement of a regulatory milestone. Antion is also entitled to receive a low single-digit royalty on the Company’s sales of licensed products, subject to certain reductions.</w:t>
      </w:r>
    </w:p>
    <w:p>
      <w:pPr>
        <w:spacing w:after="0" w:line="83"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050505"/>
        </w:rPr>
        <w:t>For the years ended December 31, 2025 and 2024, the Company recorded zero in research and development expenses related to the upfront payment and collaboration costs. For the years ended December 31, 2025 and 2024, no milestones were achieved under the Antion Collaboration and License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Strategic Collaboration Agreement with Foresight Diagnostics</w:t>
      </w:r>
    </w:p>
    <w:p>
      <w:pPr>
        <w:spacing w:after="0" w:line="13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050505"/>
        </w:rPr>
        <w:t>On January 3, 2024, the Company entered into a Strategic Collaboration Agreement with Foresight Diagnostics, Inc. (Foresight Diagnostics) (the Foresight Agreement). Foresight Diagnostics was acquired by Natera, Inc. (Natera) in December 2025 and continues to operate as a standalone subsidiary. Pursuant to the Foresight Agreement, the parties have agreed to collaborate on a non-exclusive basis in the development of Foresight Diagnostics’ minimal residual disease (MRD) assay based on their PhasED-Seq Circulating Tumor DNA Platform as an in vitro diagnostic to identify the MRD+ patient population to be enrolled in the Company’s planned ALPHA3 trial of cema-cel, for treatment of large B-cell lymphoma (LBCL). Under the Foresight Agreement, the Company has agreed to use its commercially reasonable efforts to obtain regulatory approval of cema-cel, and Foresight Diagnostics has agreed to use its commercially reasonable efforts to obtain regulatory approval of its CLARITY</w:t>
      </w:r>
      <w:r>
        <w:rPr>
          <w:rFonts w:ascii="Times New Roman" w:cs="Times New Roman" w:eastAsia="Times New Roman" w:hAnsi="Times New Roman"/>
          <w:sz w:val="26"/>
          <w:szCs w:val="26"/>
          <w:color w:val="050505"/>
          <w:vertAlign w:val="superscript"/>
        </w:rPr>
        <w:t>TM</w:t>
      </w:r>
      <w:r>
        <w:rPr>
          <w:rFonts w:ascii="Times New Roman" w:cs="Times New Roman" w:eastAsia="Times New Roman" w:hAnsi="Times New Roman"/>
          <w:sz w:val="20"/>
          <w:szCs w:val="20"/>
          <w:color w:val="050505"/>
        </w:rPr>
        <w:t xml:space="preserve"> MRD assay for use as an in vitro diagnostic with cema-cel. Under the Foresight Agreement, the Company has agreed to fund approximately $26.2 million in MRD assay development costs, milestone payments for regulatory submissions and assay utilization to process clinical samples.</w:t>
      </w:r>
    </w:p>
    <w:p>
      <w:pPr>
        <w:spacing w:after="0" w:line="9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On February 19, 2025, the Company entered into an Amended and Restated Strategic Collaboration Agreement with Foresight Diagnostics which expands its collaboration to include the development of Foresight Diagnostics’ MRD assay as a companion diagnostic for use with cema-cel as part of a possible EU and/or UK clinical development program, and as part of an expansion of ALPHA3 to Canadian and Australian clinical trial sites in support of the U.S. clinical development program. In total, the Company has agreed to fund approximately $37.3 million in MRD assay development costs, milestone payments for U.S., and certain international regulatory submissions and assay utilization costs to process clinical samples, all in addition to the financial commitments under the Foresight Agreement.</w:t>
      </w:r>
    </w:p>
    <w:p>
      <w:pPr>
        <w:spacing w:after="0" w:line="90" w:lineRule="exact"/>
        <w:rPr>
          <w:sz w:val="20"/>
          <w:szCs w:val="20"/>
          <w:color w:val="auto"/>
        </w:rPr>
      </w:pPr>
    </w:p>
    <w:p>
      <w:pPr>
        <w:jc w:val="both"/>
        <w:ind w:right="340" w:firstLine="720"/>
        <w:spacing w:after="0" w:line="266" w:lineRule="auto"/>
        <w:rPr>
          <w:sz w:val="20"/>
          <w:szCs w:val="20"/>
          <w:color w:val="auto"/>
        </w:rPr>
      </w:pPr>
      <w:r>
        <w:rPr>
          <w:rFonts w:ascii="Times New Roman" w:cs="Times New Roman" w:eastAsia="Times New Roman" w:hAnsi="Times New Roman"/>
          <w:sz w:val="20"/>
          <w:szCs w:val="20"/>
          <w:color w:val="050505"/>
        </w:rPr>
        <w:t>Clinical trial milestones recorded as research and development expenses were $5.8 million and $3.5 million for the years ended December 31, 2025 and 2024, respectively. As of December 31, 2025 and 2024, $1.4 million and $1.0 million, respectively, were recorded in accrued and other liabilities.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7.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Leases</w:t>
      </w:r>
    </w:p>
    <w:p>
      <w:pPr>
        <w:spacing w:after="0" w:line="139" w:lineRule="exact"/>
        <w:rPr>
          <w:sz w:val="20"/>
          <w:szCs w:val="20"/>
          <w:color w:val="auto"/>
        </w:rPr>
      </w:pPr>
    </w:p>
    <w:p>
      <w:pPr>
        <w:ind w:right="120" w:firstLine="720"/>
        <w:spacing w:after="0" w:line="278" w:lineRule="auto"/>
        <w:rPr>
          <w:sz w:val="20"/>
          <w:szCs w:val="20"/>
          <w:color w:val="auto"/>
        </w:rPr>
      </w:pPr>
      <w:r>
        <w:rPr>
          <w:rFonts w:ascii="Times New Roman" w:cs="Times New Roman" w:eastAsia="Times New Roman" w:hAnsi="Times New Roman"/>
          <w:sz w:val="19"/>
          <w:szCs w:val="19"/>
          <w:color w:val="050505"/>
        </w:rPr>
        <w:t>In August 2018, the Company entered into an operating lease agreement (HQ Lease) for office and laboratory space which consists of approximately 68,000 square feet located in South San Francisco, California. In December 2021, the Company amended its lease agreement to lease an additional 47,566 square feet of office and laboratory space in South San Francisco, California, as part of the same building as the Company’s current headquarters. The lease term commenced in April</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126</w:t>
      </w:r>
    </w:p>
    <w:p>
      <w:pPr>
        <w:sectPr>
          <w:pgSz w:w="12240" w:h="15840" w:orient="portrait"/>
          <w:cols w:equalWidth="0" w:num="1">
            <w:col w:w="10240"/>
          </w:cols>
          <w:pgMar w:left="1000" w:top="793" w:right="1000" w:bottom="0" w:gutter="0" w:footer="0" w:header="0"/>
          <w:type w:val="continuous"/>
        </w:sectPr>
      </w:pPr>
    </w:p>
    <w:bookmarkStart w:id="130" w:name="page131"/>
    <w:bookmarkEnd w:id="130"/>
    <w:p>
      <w:pPr>
        <w:ind w:right="140"/>
        <w:spacing w:after="0" w:line="266" w:lineRule="auto"/>
        <w:rPr>
          <w:sz w:val="20"/>
          <w:szCs w:val="20"/>
          <w:color w:val="auto"/>
        </w:rPr>
      </w:pPr>
      <w:r>
        <w:rPr>
          <w:rFonts w:ascii="Times New Roman" w:cs="Times New Roman" w:eastAsia="Times New Roman" w:hAnsi="Times New Roman"/>
          <w:sz w:val="20"/>
          <w:szCs w:val="20"/>
          <w:color w:val="050505"/>
        </w:rPr>
        <w:t>2022. The rent payments for the expansion premises began in August 2022. The lease term for both the existing and expansion premises will expire on March 31, 2032 with an option to extend the term for eight years which is not reasonably assured of exercise.</w:t>
      </w:r>
    </w:p>
    <w:p>
      <w:pPr>
        <w:spacing w:after="0" w:line="75" w:lineRule="exact"/>
        <w:rPr>
          <w:sz w:val="20"/>
          <w:szCs w:val="20"/>
          <w:color w:val="auto"/>
        </w:rPr>
      </w:pPr>
    </w:p>
    <w:p>
      <w:pPr>
        <w:ind w:right="320" w:firstLine="720"/>
        <w:spacing w:after="0" w:line="266" w:lineRule="auto"/>
        <w:rPr>
          <w:sz w:val="20"/>
          <w:szCs w:val="20"/>
          <w:color w:val="auto"/>
        </w:rPr>
      </w:pPr>
      <w:r>
        <w:rPr>
          <w:rFonts w:ascii="Times New Roman" w:cs="Times New Roman" w:eastAsia="Times New Roman" w:hAnsi="Times New Roman"/>
          <w:sz w:val="20"/>
          <w:szCs w:val="20"/>
          <w:color w:val="050505"/>
        </w:rPr>
        <w:t>In October 2018, the Company entered into an operating lease agreement for office and laboratory space which consists of 14,943 square feet located in South San Francisco, California. The lease term will expire March 31, 2032 with an option to extend the term for eight years which is not reasonably assured of exercise.</w:t>
      </w:r>
    </w:p>
    <w:p>
      <w:pPr>
        <w:spacing w:after="0" w:line="75"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050505"/>
        </w:rPr>
        <w:t>In February 2019, the Company entered into a lease agreement for approximately 118,000 square feet of space to develop a cell therapy manufacturing facility in Newark, California. The lease term will expire on July 31, 2036 with two ten-year options to extend the lease, both of which are not reasonably assured of exercise.</w:t>
      </w:r>
    </w:p>
    <w:p>
      <w:pPr>
        <w:spacing w:after="0" w:line="75"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050505"/>
        </w:rPr>
        <w:t>In February 2023, the Company entered into a sublease with Bellco Capital Advisors Inc. (Bellco) for 2,218 square feet of office space in Los Angeles, California. The sublease term is 115 months, subject to certain early termination rights. The sublease commenced on January 1, 2024.</w:t>
      </w:r>
    </w:p>
    <w:p>
      <w:pPr>
        <w:spacing w:after="0" w:line="75" w:lineRule="exact"/>
        <w:rPr>
          <w:sz w:val="20"/>
          <w:szCs w:val="20"/>
          <w:color w:val="auto"/>
        </w:rPr>
      </w:pPr>
    </w:p>
    <w:p>
      <w:pPr>
        <w:ind w:right="360" w:firstLine="720"/>
        <w:spacing w:after="0" w:line="266" w:lineRule="auto"/>
        <w:rPr>
          <w:sz w:val="20"/>
          <w:szCs w:val="20"/>
          <w:color w:val="auto"/>
        </w:rPr>
      </w:pPr>
      <w:r>
        <w:rPr>
          <w:rFonts w:ascii="Times New Roman" w:cs="Times New Roman" w:eastAsia="Times New Roman" w:hAnsi="Times New Roman"/>
          <w:sz w:val="20"/>
          <w:szCs w:val="20"/>
          <w:color w:val="050505"/>
        </w:rPr>
        <w:t>The Company maintains letters of credit for the benefit of landlords which is disclosed as restricted cash in the consolidated balance sheets. Restricted cash related to letters of credit due to landlords was $6.0 million as of December 31, 2025 and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The balance sheet classification of the Company's lease liabilities were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160" w:type="dxa"/>
            <w:vAlign w:val="bottom"/>
            <w:tcBorders>
              <w:bottom w:val="single" w:sz="8" w:color="050505"/>
            </w:tcBorders>
          </w:tcPr>
          <w:p>
            <w:pPr>
              <w:spacing w:after="0"/>
              <w:rPr>
                <w:sz w:val="23"/>
                <w:szCs w:val="23"/>
                <w:color w:val="auto"/>
              </w:rPr>
            </w:pPr>
          </w:p>
        </w:tc>
        <w:tc>
          <w:tcPr>
            <w:tcW w:w="1860" w:type="dxa"/>
            <w:vAlign w:val="bottom"/>
            <w:tcBorders>
              <w:bottom w:val="single" w:sz="8" w:color="050505"/>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050505"/>
              </w:rPr>
              <w:t>December 31, 2025</w:t>
            </w:r>
          </w:p>
        </w:tc>
        <w:tc>
          <w:tcPr>
            <w:tcW w:w="60" w:type="dxa"/>
            <w:vAlign w:val="bottom"/>
          </w:tcPr>
          <w:p>
            <w:pPr>
              <w:spacing w:after="0"/>
              <w:rPr>
                <w:sz w:val="23"/>
                <w:szCs w:val="23"/>
                <w:color w:val="auto"/>
              </w:rPr>
            </w:pPr>
          </w:p>
        </w:tc>
        <w:tc>
          <w:tcPr>
            <w:tcW w:w="160" w:type="dxa"/>
            <w:vAlign w:val="bottom"/>
            <w:tcBorders>
              <w:bottom w:val="single" w:sz="8" w:color="050505"/>
            </w:tcBorders>
          </w:tcPr>
          <w:p>
            <w:pPr>
              <w:spacing w:after="0"/>
              <w:rPr>
                <w:sz w:val="23"/>
                <w:szCs w:val="23"/>
                <w:color w:val="auto"/>
              </w:rPr>
            </w:pPr>
          </w:p>
        </w:tc>
        <w:tc>
          <w:tcPr>
            <w:tcW w:w="1840" w:type="dxa"/>
            <w:vAlign w:val="bottom"/>
            <w:tcBorders>
              <w:bottom w:val="single" w:sz="8" w:color="050505"/>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050505"/>
              </w:rPr>
              <w:t>December 31, 2024</w:t>
            </w:r>
          </w:p>
        </w:tc>
      </w:tr>
      <w:tr>
        <w:trPr>
          <w:trHeight w:val="277"/>
        </w:trPr>
        <w:tc>
          <w:tcPr>
            <w:tcW w:w="6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gridSpan w:val="4"/>
          </w:tcPr>
          <w:p>
            <w:pPr>
              <w:jc w:val="right"/>
              <w:ind w:right="134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287"/>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050505"/>
              </w:rPr>
              <w:t>Operating lease liabilities</w:t>
            </w: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1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050505"/>
              </w:rPr>
              <w:t>Current portion included in accrued and 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8,208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7,509</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050505"/>
              </w:rPr>
              <w:t>Long-term portion of lease liabilities</w:t>
            </w:r>
          </w:p>
        </w:tc>
        <w:tc>
          <w:tcPr>
            <w:tcW w:w="160" w:type="dxa"/>
            <w:vAlign w:val="bottom"/>
            <w:tcBorders>
              <w:bottom w:val="single" w:sz="8" w:color="050505"/>
            </w:tcBorders>
          </w:tcPr>
          <w:p>
            <w:pPr>
              <w:spacing w:after="0"/>
              <w:rPr>
                <w:sz w:val="24"/>
                <w:szCs w:val="24"/>
                <w:color w:val="auto"/>
              </w:rPr>
            </w:pPr>
          </w:p>
        </w:tc>
        <w:tc>
          <w:tcPr>
            <w:tcW w:w="18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75,045</w:t>
            </w:r>
          </w:p>
        </w:tc>
        <w:tc>
          <w:tcPr>
            <w:tcW w:w="60" w:type="dxa"/>
            <w:vAlign w:val="bottom"/>
          </w:tcPr>
          <w:p>
            <w:pPr>
              <w:spacing w:after="0"/>
              <w:rPr>
                <w:sz w:val="24"/>
                <w:szCs w:val="24"/>
                <w:color w:val="auto"/>
              </w:rPr>
            </w:pPr>
          </w:p>
        </w:tc>
        <w:tc>
          <w:tcPr>
            <w:tcW w:w="160" w:type="dxa"/>
            <w:vAlign w:val="bottom"/>
            <w:tcBorders>
              <w:bottom w:val="single" w:sz="8" w:color="050505"/>
            </w:tcBorders>
          </w:tcPr>
          <w:p>
            <w:pPr>
              <w:spacing w:after="0"/>
              <w:rPr>
                <w:sz w:val="24"/>
                <w:szCs w:val="24"/>
                <w:color w:val="auto"/>
              </w:rPr>
            </w:pPr>
          </w:p>
        </w:tc>
        <w:tc>
          <w:tcPr>
            <w:tcW w:w="18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83,247</w:t>
            </w:r>
          </w:p>
        </w:tc>
      </w:tr>
      <w:tr>
        <w:trPr>
          <w:trHeight w:val="260"/>
        </w:trPr>
        <w:tc>
          <w:tcPr>
            <w:tcW w:w="6140" w:type="dxa"/>
            <w:vAlign w:val="bottom"/>
          </w:tcPr>
          <w:p>
            <w:pPr>
              <w:ind w:left="460"/>
              <w:spacing w:after="0"/>
              <w:rPr>
                <w:sz w:val="20"/>
                <w:szCs w:val="20"/>
                <w:color w:val="auto"/>
              </w:rPr>
            </w:pPr>
            <w:r>
              <w:rPr>
                <w:rFonts w:ascii="Times New Roman" w:cs="Times New Roman" w:eastAsia="Times New Roman" w:hAnsi="Times New Roman"/>
                <w:sz w:val="20"/>
                <w:szCs w:val="20"/>
                <w:color w:val="050505"/>
              </w:rPr>
              <w:t>Total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83,253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90,756</w:t>
            </w:r>
          </w:p>
        </w:tc>
      </w:tr>
      <w:tr>
        <w:trPr>
          <w:trHeight w:val="20"/>
        </w:trPr>
        <w:tc>
          <w:tcPr>
            <w:tcW w:w="6140" w:type="dxa"/>
            <w:vAlign w:val="bottom"/>
          </w:tcPr>
          <w:p>
            <w:pPr>
              <w:spacing w:after="0" w:line="20" w:lineRule="exact"/>
              <w:rPr>
                <w:sz w:val="1"/>
                <w:szCs w:val="1"/>
                <w:color w:val="auto"/>
              </w:rPr>
            </w:pPr>
          </w:p>
        </w:tc>
        <w:tc>
          <w:tcPr>
            <w:tcW w:w="160" w:type="dxa"/>
            <w:vAlign w:val="bottom"/>
            <w:tcBorders>
              <w:top w:val="single" w:sz="8" w:color="050505"/>
              <w:bottom w:val="single" w:sz="8" w:color="050505"/>
            </w:tcBorders>
          </w:tcPr>
          <w:p>
            <w:pPr>
              <w:spacing w:after="0" w:line="20" w:lineRule="exact"/>
              <w:rPr>
                <w:sz w:val="1"/>
                <w:szCs w:val="1"/>
                <w:color w:val="auto"/>
              </w:rPr>
            </w:pPr>
          </w:p>
        </w:tc>
        <w:tc>
          <w:tcPr>
            <w:tcW w:w="186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50505"/>
              <w:bottom w:val="single" w:sz="8" w:color="050505"/>
            </w:tcBorders>
          </w:tcPr>
          <w:p>
            <w:pPr>
              <w:spacing w:after="0" w:line="20" w:lineRule="exact"/>
              <w:rPr>
                <w:sz w:val="1"/>
                <w:szCs w:val="1"/>
                <w:color w:val="auto"/>
              </w:rPr>
            </w:pPr>
          </w:p>
        </w:tc>
        <w:tc>
          <w:tcPr>
            <w:tcW w:w="184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40500" cy="215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5">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540500" cy="215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6">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-43815</wp:posOffset>
            </wp:positionV>
            <wp:extent cx="2616200"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7">
                      <a:extLst>
                        <a:ext uri="{28A0092B-C50C-407E-A947-70E740481C1C}"/>
                      </a:extLst>
                    </a:blip>
                    <a:srcRect/>
                    <a:stretch>
                      <a:fillRect/>
                    </a:stretch>
                  </pic:blipFill>
                  <pic:spPr bwMode="auto">
                    <a:xfrm>
                      <a:off x="0" y="0"/>
                      <a:ext cx="2616200" cy="508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The components of lease costs for operating leases, which were recognized in operating expenses, were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140" w:type="dxa"/>
            <w:vAlign w:val="bottom"/>
          </w:tcPr>
          <w:p>
            <w:pPr>
              <w:spacing w:after="0"/>
              <w:rPr>
                <w:sz w:val="23"/>
                <w:szCs w:val="23"/>
                <w:color w:val="auto"/>
              </w:rPr>
            </w:pPr>
          </w:p>
        </w:tc>
        <w:tc>
          <w:tcPr>
            <w:tcW w:w="3360" w:type="dxa"/>
            <w:vAlign w:val="bottom"/>
            <w:tcBorders>
              <w:bottom w:val="single" w:sz="8" w:color="050505"/>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720" w:type="dxa"/>
            <w:vAlign w:val="bottom"/>
            <w:tcBorders>
              <w:bottom w:val="single" w:sz="8" w:color="050505"/>
            </w:tcBorders>
          </w:tcPr>
          <w:p>
            <w:pPr>
              <w:spacing w:after="0"/>
              <w:rPr>
                <w:sz w:val="23"/>
                <w:szCs w:val="23"/>
                <w:color w:val="auto"/>
              </w:rPr>
            </w:pPr>
          </w:p>
        </w:tc>
      </w:tr>
      <w:tr>
        <w:trPr>
          <w:trHeight w:val="280"/>
        </w:trPr>
        <w:tc>
          <w:tcPr>
            <w:tcW w:w="6140" w:type="dxa"/>
            <w:vAlign w:val="bottom"/>
          </w:tcPr>
          <w:p>
            <w:pPr>
              <w:spacing w:after="0"/>
              <w:rPr>
                <w:sz w:val="24"/>
                <w:szCs w:val="24"/>
                <w:color w:val="auto"/>
              </w:rPr>
            </w:pPr>
          </w:p>
        </w:tc>
        <w:tc>
          <w:tcPr>
            <w:tcW w:w="13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720" w:type="dxa"/>
            <w:vAlign w:val="bottom"/>
            <w:tcBorders>
              <w:bottom w:val="single" w:sz="8" w:color="050505"/>
            </w:tcBorders>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720" w:type="dxa"/>
            <w:vAlign w:val="bottom"/>
            <w:tcBorders>
              <w:bottom w:val="single" w:sz="8" w:color="050505"/>
            </w:tcBorders>
          </w:tcPr>
          <w:p>
            <w:pPr>
              <w:spacing w:after="0"/>
              <w:rPr>
                <w:sz w:val="24"/>
                <w:szCs w:val="24"/>
                <w:color w:val="auto"/>
              </w:rPr>
            </w:pPr>
          </w:p>
        </w:tc>
      </w:tr>
      <w:tr>
        <w:trPr>
          <w:trHeight w:val="277"/>
        </w:trPr>
        <w:tc>
          <w:tcPr>
            <w:tcW w:w="6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60" w:type="dxa"/>
            <w:vAlign w:val="bottom"/>
            <w:gridSpan w:val="3"/>
          </w:tcPr>
          <w:p>
            <w:pPr>
              <w:jc w:val="right"/>
              <w:ind w:right="60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720" w:type="dxa"/>
            <w:vAlign w:val="bottom"/>
          </w:tcPr>
          <w:p>
            <w:pPr>
              <w:spacing w:after="0"/>
              <w:rPr>
                <w:sz w:val="24"/>
                <w:szCs w:val="24"/>
                <w:color w:val="auto"/>
              </w:rPr>
            </w:pPr>
          </w:p>
        </w:tc>
      </w:tr>
      <w:tr>
        <w:trPr>
          <w:trHeight w:val="30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050505"/>
              </w:rPr>
              <w:t>Operating lease cost</w:t>
            </w:r>
          </w:p>
        </w:tc>
        <w:tc>
          <w:tcPr>
            <w:tcW w:w="1300" w:type="dxa"/>
            <w:vAlign w:val="bottom"/>
          </w:tcPr>
          <w:p>
            <w:pPr>
              <w:jc w:val="right"/>
              <w:ind w:right="1060"/>
              <w:spacing w:after="0"/>
              <w:rPr>
                <w:sz w:val="20"/>
                <w:szCs w:val="20"/>
                <w:color w:val="auto"/>
              </w:rPr>
            </w:pPr>
            <w:r>
              <w:rPr>
                <w:rFonts w:ascii="Times New Roman" w:cs="Times New Roman" w:eastAsia="Times New Roman" w:hAnsi="Times New Roman"/>
                <w:sz w:val="20"/>
                <w:szCs w:val="20"/>
                <w:color w:val="05050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9,774</w:t>
            </w:r>
          </w:p>
        </w:tc>
        <w:tc>
          <w:tcPr>
            <w:tcW w:w="1340" w:type="dxa"/>
            <w:vAlign w:val="bottom"/>
            <w:gridSpan w:val="2"/>
          </w:tcPr>
          <w:p>
            <w:pPr>
              <w:jc w:val="right"/>
              <w:ind w:right="1040"/>
              <w:spacing w:after="0"/>
              <w:rPr>
                <w:sz w:val="20"/>
                <w:szCs w:val="20"/>
                <w:color w:val="auto"/>
              </w:rPr>
            </w:pPr>
            <w:r>
              <w:rPr>
                <w:rFonts w:ascii="Times New Roman" w:cs="Times New Roman" w:eastAsia="Times New Roman" w:hAnsi="Times New Roman"/>
                <w:sz w:val="20"/>
                <w:szCs w:val="20"/>
                <w:color w:val="05050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11,468</w:t>
            </w:r>
          </w:p>
        </w:tc>
      </w:tr>
      <w:tr>
        <w:trPr>
          <w:trHeight w:val="303"/>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050505"/>
              </w:rPr>
              <w:t>Variable lease cost</w:t>
            </w:r>
          </w:p>
        </w:tc>
        <w:tc>
          <w:tcPr>
            <w:tcW w:w="1300" w:type="dxa"/>
            <w:vAlign w:val="bottom"/>
            <w:tcBorders>
              <w:bottom w:val="single" w:sz="8" w:color="050505"/>
            </w:tcBorders>
          </w:tcPr>
          <w:p>
            <w:pPr>
              <w:spacing w:after="0"/>
              <w:rPr>
                <w:sz w:val="24"/>
                <w:szCs w:val="24"/>
                <w:color w:val="auto"/>
              </w:rPr>
            </w:pPr>
          </w:p>
        </w:tc>
        <w:tc>
          <w:tcPr>
            <w:tcW w:w="7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2,507</w:t>
            </w:r>
          </w:p>
        </w:tc>
        <w:tc>
          <w:tcPr>
            <w:tcW w:w="60" w:type="dxa"/>
            <w:vAlign w:val="bottom"/>
          </w:tcPr>
          <w:p>
            <w:pPr>
              <w:spacing w:after="0"/>
              <w:rPr>
                <w:sz w:val="24"/>
                <w:szCs w:val="24"/>
                <w:color w:val="auto"/>
              </w:rPr>
            </w:pPr>
          </w:p>
        </w:tc>
        <w:tc>
          <w:tcPr>
            <w:tcW w:w="1280" w:type="dxa"/>
            <w:vAlign w:val="bottom"/>
            <w:tcBorders>
              <w:bottom w:val="single" w:sz="8" w:color="050505"/>
            </w:tcBorders>
          </w:tcPr>
          <w:p>
            <w:pPr>
              <w:spacing w:after="0"/>
              <w:rPr>
                <w:sz w:val="24"/>
                <w:szCs w:val="24"/>
                <w:color w:val="auto"/>
              </w:rPr>
            </w:pPr>
          </w:p>
        </w:tc>
        <w:tc>
          <w:tcPr>
            <w:tcW w:w="7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3,105</w:t>
            </w:r>
          </w:p>
        </w:tc>
      </w:tr>
      <w:tr>
        <w:trPr>
          <w:trHeight w:val="260"/>
        </w:trPr>
        <w:tc>
          <w:tcPr>
            <w:tcW w:w="6140" w:type="dxa"/>
            <w:vAlign w:val="bottom"/>
          </w:tcPr>
          <w:p>
            <w:pPr>
              <w:ind w:left="460"/>
              <w:spacing w:after="0"/>
              <w:rPr>
                <w:sz w:val="20"/>
                <w:szCs w:val="20"/>
                <w:color w:val="auto"/>
              </w:rPr>
            </w:pPr>
            <w:r>
              <w:rPr>
                <w:rFonts w:ascii="Times New Roman" w:cs="Times New Roman" w:eastAsia="Times New Roman" w:hAnsi="Times New Roman"/>
                <w:sz w:val="20"/>
                <w:szCs w:val="20"/>
                <w:color w:val="050505"/>
              </w:rPr>
              <w:t>Total lease costs</w:t>
            </w:r>
          </w:p>
        </w:tc>
        <w:tc>
          <w:tcPr>
            <w:tcW w:w="1300" w:type="dxa"/>
            <w:vAlign w:val="bottom"/>
          </w:tcPr>
          <w:p>
            <w:pPr>
              <w:jc w:val="right"/>
              <w:ind w:right="1060"/>
              <w:spacing w:after="0"/>
              <w:rPr>
                <w:sz w:val="20"/>
                <w:szCs w:val="20"/>
                <w:color w:val="auto"/>
              </w:rPr>
            </w:pPr>
            <w:r>
              <w:rPr>
                <w:rFonts w:ascii="Times New Roman" w:cs="Times New Roman" w:eastAsia="Times New Roman" w:hAnsi="Times New Roman"/>
                <w:sz w:val="20"/>
                <w:szCs w:val="20"/>
                <w:color w:val="05050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12,281</w:t>
            </w:r>
          </w:p>
        </w:tc>
        <w:tc>
          <w:tcPr>
            <w:tcW w:w="1340" w:type="dxa"/>
            <w:vAlign w:val="bottom"/>
            <w:gridSpan w:val="2"/>
          </w:tcPr>
          <w:p>
            <w:pPr>
              <w:jc w:val="right"/>
              <w:ind w:right="1040"/>
              <w:spacing w:after="0"/>
              <w:rPr>
                <w:sz w:val="20"/>
                <w:szCs w:val="20"/>
                <w:color w:val="auto"/>
              </w:rPr>
            </w:pPr>
            <w:r>
              <w:rPr>
                <w:rFonts w:ascii="Times New Roman" w:cs="Times New Roman" w:eastAsia="Times New Roman" w:hAnsi="Times New Roman"/>
                <w:sz w:val="20"/>
                <w:szCs w:val="20"/>
                <w:color w:val="05050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14,573</w:t>
            </w:r>
          </w:p>
        </w:tc>
      </w:tr>
      <w:tr>
        <w:trPr>
          <w:trHeight w:val="20"/>
        </w:trPr>
        <w:tc>
          <w:tcPr>
            <w:tcW w:w="6140" w:type="dxa"/>
            <w:vAlign w:val="bottom"/>
          </w:tcPr>
          <w:p>
            <w:pPr>
              <w:spacing w:after="0" w:line="20" w:lineRule="exact"/>
              <w:rPr>
                <w:sz w:val="1"/>
                <w:szCs w:val="1"/>
                <w:color w:val="auto"/>
              </w:rPr>
            </w:pPr>
          </w:p>
        </w:tc>
        <w:tc>
          <w:tcPr>
            <w:tcW w:w="1300" w:type="dxa"/>
            <w:vAlign w:val="bottom"/>
            <w:tcBorders>
              <w:top w:val="single" w:sz="8" w:color="050505"/>
              <w:bottom w:val="single" w:sz="8" w:color="050505"/>
            </w:tcBorders>
          </w:tcPr>
          <w:p>
            <w:pPr>
              <w:spacing w:after="0" w:line="20" w:lineRule="exact"/>
              <w:rPr>
                <w:sz w:val="1"/>
                <w:szCs w:val="1"/>
                <w:color w:val="auto"/>
              </w:rPr>
            </w:pPr>
          </w:p>
        </w:tc>
        <w:tc>
          <w:tcPr>
            <w:tcW w:w="7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050505"/>
              <w:bottom w:val="single" w:sz="8" w:color="050505"/>
            </w:tcBorders>
          </w:tcPr>
          <w:p>
            <w:pPr>
              <w:spacing w:after="0" w:line="20" w:lineRule="exact"/>
              <w:rPr>
                <w:sz w:val="1"/>
                <w:szCs w:val="1"/>
                <w:color w:val="auto"/>
              </w:rPr>
            </w:pPr>
          </w:p>
        </w:tc>
        <w:tc>
          <w:tcPr>
            <w:tcW w:w="72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540500" cy="215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-221615</wp:posOffset>
            </wp:positionV>
            <wp:extent cx="6540500" cy="228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9">
                      <a:extLst>
                        <a:ext uri="{28A0092B-C50C-407E-A947-70E740481C1C}"/>
                      </a:extLst>
                    </a:blip>
                    <a:srcRect/>
                    <a:stretch>
                      <a:fillRect/>
                    </a:stretch>
                  </pic:blipFill>
                  <pic:spPr bwMode="auto">
                    <a:xfrm>
                      <a:off x="0" y="0"/>
                      <a:ext cx="6540500" cy="228600"/>
                    </a:xfrm>
                    <a:prstGeom prst="rect">
                      <a:avLst/>
                    </a:prstGeom>
                    <a:noFill/>
                  </pic:spPr>
                </pic:pic>
              </a:graphicData>
            </a:graphic>
          </wp:anchor>
        </w:drawing>
      </w:r>
    </w:p>
    <w:p>
      <w:pPr>
        <w:spacing w:after="0" w:line="1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Cash paid for amounts included in the measurement of lease liabilities for the year ended December 31, 2025 was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$12.9 million and was included in net cash used in operating activities in the Company's consolidated statements of cash flows.</w:t>
      </w:r>
    </w:p>
    <w:p>
      <w:pPr>
        <w:spacing w:after="0" w:line="11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050505"/>
        </w:rPr>
        <w:t>The undiscounted future non-cancellable lease payments under the Company's operating leases as of December 31, 2025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40" w:type="dxa"/>
            <w:vAlign w:val="bottom"/>
            <w:tcBorders>
              <w:bottom w:val="single" w:sz="8" w:color="050505"/>
            </w:tcBorders>
          </w:tcPr>
          <w:p>
            <w:pPr>
              <w:ind w:left="40"/>
              <w:spacing w:after="0"/>
              <w:rPr>
                <w:sz w:val="20"/>
                <w:szCs w:val="20"/>
                <w:color w:val="auto"/>
              </w:rPr>
            </w:pPr>
            <w:r>
              <w:rPr>
                <w:rFonts w:ascii="Times New Roman" w:cs="Times New Roman" w:eastAsia="Times New Roman" w:hAnsi="Times New Roman"/>
                <w:sz w:val="20"/>
                <w:szCs w:val="20"/>
                <w:b w:val="1"/>
                <w:bCs w:val="1"/>
                <w:color w:val="050505"/>
              </w:rPr>
              <w:t>Year ending December 31:</w:t>
            </w:r>
          </w:p>
        </w:tc>
        <w:tc>
          <w:tcPr>
            <w:tcW w:w="80" w:type="dxa"/>
            <w:vAlign w:val="bottom"/>
          </w:tcPr>
          <w:p>
            <w:pPr>
              <w:spacing w:after="0"/>
              <w:rPr>
                <w:sz w:val="22"/>
                <w:szCs w:val="22"/>
                <w:color w:val="auto"/>
              </w:rPr>
            </w:pPr>
          </w:p>
        </w:tc>
        <w:tc>
          <w:tcPr>
            <w:tcW w:w="1340" w:type="dxa"/>
            <w:vAlign w:val="bottom"/>
            <w:tcBorders>
              <w:bottom w:val="single" w:sz="8" w:color="050505"/>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264"/>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2026</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13,164</w:t>
            </w:r>
          </w:p>
        </w:tc>
      </w:tr>
      <w:tr>
        <w:trPr>
          <w:trHeight w:val="285"/>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2027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13,613</w:t>
            </w:r>
          </w:p>
        </w:tc>
      </w:tr>
      <w:tr>
        <w:trPr>
          <w:trHeight w:val="285"/>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2028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14,078</w:t>
            </w:r>
          </w:p>
        </w:tc>
      </w:tr>
      <w:tr>
        <w:trPr>
          <w:trHeight w:val="285"/>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2029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15,480</w:t>
            </w:r>
          </w:p>
        </w:tc>
      </w:tr>
      <w:tr>
        <w:trPr>
          <w:trHeight w:val="286"/>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2030 and thereafter</w:t>
            </w:r>
          </w:p>
        </w:tc>
        <w:tc>
          <w:tcPr>
            <w:tcW w:w="80" w:type="dxa"/>
            <w:vAlign w:val="bottom"/>
          </w:tcPr>
          <w:p>
            <w:pPr>
              <w:spacing w:after="0"/>
              <w:rPr>
                <w:sz w:val="24"/>
                <w:szCs w:val="24"/>
                <w:color w:val="auto"/>
              </w:rPr>
            </w:pPr>
          </w:p>
        </w:tc>
        <w:tc>
          <w:tcPr>
            <w:tcW w:w="380" w:type="dxa"/>
            <w:vAlign w:val="bottom"/>
            <w:tcBorders>
              <w:bottom w:val="single" w:sz="8" w:color="050505"/>
            </w:tcBorders>
          </w:tcPr>
          <w:p>
            <w:pPr>
              <w:spacing w:after="0"/>
              <w:rPr>
                <w:sz w:val="24"/>
                <w:szCs w:val="24"/>
                <w:color w:val="auto"/>
              </w:rPr>
            </w:pPr>
          </w:p>
        </w:tc>
        <w:tc>
          <w:tcPr>
            <w:tcW w:w="9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49,910</w:t>
            </w:r>
          </w:p>
        </w:tc>
      </w:tr>
      <w:tr>
        <w:trPr>
          <w:trHeight w:val="264"/>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Total undiscounted lease payments</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106,245</w:t>
            </w:r>
          </w:p>
        </w:tc>
      </w:tr>
      <w:tr>
        <w:trPr>
          <w:trHeight w:val="286"/>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Less: Present value adjustment</w:t>
            </w:r>
          </w:p>
        </w:tc>
        <w:tc>
          <w:tcPr>
            <w:tcW w:w="80" w:type="dxa"/>
            <w:vAlign w:val="bottom"/>
          </w:tcPr>
          <w:p>
            <w:pPr>
              <w:spacing w:after="0"/>
              <w:rPr>
                <w:sz w:val="24"/>
                <w:szCs w:val="24"/>
                <w:color w:val="auto"/>
              </w:rPr>
            </w:pPr>
          </w:p>
        </w:tc>
        <w:tc>
          <w:tcPr>
            <w:tcW w:w="380" w:type="dxa"/>
            <w:vAlign w:val="bottom"/>
            <w:tcBorders>
              <w:bottom w:val="single" w:sz="8" w:color="050505"/>
            </w:tcBorders>
          </w:tcPr>
          <w:p>
            <w:pPr>
              <w:spacing w:after="0"/>
              <w:rPr>
                <w:sz w:val="24"/>
                <w:szCs w:val="24"/>
                <w:color w:val="auto"/>
              </w:rPr>
            </w:pPr>
          </w:p>
        </w:tc>
        <w:tc>
          <w:tcPr>
            <w:tcW w:w="9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(22,992)</w:t>
            </w:r>
          </w:p>
        </w:tc>
      </w:tr>
      <w:tr>
        <w:trPr>
          <w:trHeight w:val="245"/>
        </w:trPr>
        <w:tc>
          <w:tcPr>
            <w:tcW w:w="8840" w:type="dxa"/>
            <w:vAlign w:val="bottom"/>
          </w:tcPr>
          <w:p>
            <w:pPr>
              <w:ind w:left="260"/>
              <w:spacing w:after="0"/>
              <w:rPr>
                <w:sz w:val="20"/>
                <w:szCs w:val="20"/>
                <w:color w:val="auto"/>
              </w:rPr>
            </w:pPr>
            <w:r>
              <w:rPr>
                <w:rFonts w:ascii="Times New Roman" w:cs="Times New Roman" w:eastAsia="Times New Roman" w:hAnsi="Times New Roman"/>
                <w:sz w:val="20"/>
                <w:szCs w:val="20"/>
                <w:color w:val="050505"/>
              </w:rPr>
              <w:t>Total</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83,253</w:t>
            </w:r>
          </w:p>
        </w:tc>
      </w:tr>
      <w:tr>
        <w:trPr>
          <w:trHeight w:val="20"/>
        </w:trPr>
        <w:tc>
          <w:tcPr>
            <w:tcW w:w="8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050505"/>
              <w:bottom w:val="single" w:sz="8" w:color="050505"/>
            </w:tcBorders>
          </w:tcPr>
          <w:p>
            <w:pPr>
              <w:spacing w:after="0" w:line="20" w:lineRule="exact"/>
              <w:rPr>
                <w:sz w:val="1"/>
                <w:szCs w:val="1"/>
                <w:color w:val="auto"/>
              </w:rPr>
            </w:pPr>
          </w:p>
        </w:tc>
        <w:tc>
          <w:tcPr>
            <w:tcW w:w="96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40500" cy="2063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0">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206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1">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540500" cy="206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2">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540500" cy="206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3">
                      <a:extLst>
                        <a:ext uri="{28A0092B-C50C-407E-A947-70E740481C1C}"/>
                      </a:extLst>
                    </a:blip>
                    <a:srcRect/>
                    <a:stretch>
                      <a:fillRect/>
                    </a:stretch>
                  </pic:blipFill>
                  <pic:spPr bwMode="auto">
                    <a:xfrm>
                      <a:off x="0" y="0"/>
                      <a:ext cx="6540500" cy="206375"/>
                    </a:xfrm>
                    <a:prstGeom prst="rect">
                      <a:avLst/>
                    </a:prstGeom>
                    <a:noFill/>
                  </pic:spPr>
                </pic:pic>
              </a:graphicData>
            </a:graphic>
          </wp:anchor>
        </w:drawing>
        <w:drawing>
          <wp:anchor simplePos="0" relativeHeight="251657728" behindDoc="1" locked="0" layoutInCell="0" allowOverlap="1">
            <wp:simplePos x="0" y="0"/>
            <wp:positionH relativeFrom="column">
              <wp:posOffset>5648325</wp:posOffset>
            </wp:positionH>
            <wp:positionV relativeFrom="paragraph">
              <wp:posOffset>-43815</wp:posOffset>
            </wp:positionV>
            <wp:extent cx="87312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4">
                      <a:extLst>
                        <a:ext uri="{28A0092B-C50C-407E-A947-70E740481C1C}"/>
                      </a:extLst>
                    </a:blip>
                    <a:srcRect/>
                    <a:stretch>
                      <a:fillRect/>
                    </a:stretch>
                  </pic:blipFill>
                  <pic:spPr bwMode="auto">
                    <a:xfrm>
                      <a:off x="0" y="0"/>
                      <a:ext cx="873125" cy="50800"/>
                    </a:xfrm>
                    <a:prstGeom prst="rect">
                      <a:avLst/>
                    </a:prstGeom>
                    <a:noFill/>
                  </pic:spPr>
                </pic:pic>
              </a:graphicData>
            </a:graphic>
          </wp:anchor>
        </w:drawing>
      </w:r>
    </w:p>
    <w:p>
      <w:pPr>
        <w:spacing w:after="0" w:line="108"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Operating lease liabilities are based on the net present value of the remaining lease payments over the remaining lease term. In determining the present value of lease payments, the Company uses its estimated incremental borrowing rate. The weighted average discount rate used to determine the operating lease liability was 6.49%. As of December 31, 2025, the weighted average remaining lease term for the Company's operating leases is 7.17 years.</w:t>
      </w:r>
    </w:p>
    <w:p>
      <w:pPr>
        <w:spacing w:after="0" w:line="83" w:lineRule="exact"/>
        <w:rPr>
          <w:sz w:val="20"/>
          <w:szCs w:val="20"/>
          <w:color w:val="auto"/>
        </w:rPr>
      </w:pPr>
    </w:p>
    <w:p>
      <w:pPr>
        <w:ind w:right="40" w:firstLine="720"/>
        <w:spacing w:after="0" w:line="309" w:lineRule="auto"/>
        <w:rPr>
          <w:sz w:val="20"/>
          <w:szCs w:val="20"/>
          <w:color w:val="auto"/>
        </w:rPr>
      </w:pPr>
      <w:r>
        <w:rPr>
          <w:rFonts w:ascii="Times New Roman" w:cs="Times New Roman" w:eastAsia="Times New Roman" w:hAnsi="Times New Roman"/>
          <w:sz w:val="19"/>
          <w:szCs w:val="19"/>
          <w:color w:val="050505"/>
        </w:rPr>
        <w:t>In December 2024 and January 2025, the Company entered into non-cancelable agreements under which it subleased approximately 46,011 square feet of its HQ Lease to two unaffiliated companies. In July 2025, the Company entered into a non-</w:t>
      </w:r>
    </w:p>
    <w:p>
      <w:pPr>
        <w:sectPr>
          <w:pgSz w:w="12240" w:h="15840" w:orient="portrait"/>
          <w:cols w:equalWidth="0" w:num="1">
            <w:col w:w="10260"/>
          </w:cols>
          <w:pgMar w:left="1000" w:top="793" w:right="980" w:bottom="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127</w:t>
      </w:r>
    </w:p>
    <w:p>
      <w:pPr>
        <w:sectPr>
          <w:pgSz w:w="12240" w:h="15840" w:orient="portrait"/>
          <w:cols w:equalWidth="0" w:num="1">
            <w:col w:w="10260"/>
          </w:cols>
          <w:pgMar w:left="1000" w:top="793" w:right="980" w:bottom="0" w:gutter="0" w:footer="0" w:header="0"/>
          <w:type w:val="continuous"/>
        </w:sectPr>
      </w:pPr>
    </w:p>
    <w:bookmarkStart w:id="131" w:name="page132"/>
    <w:bookmarkEnd w:id="131"/>
    <w:p>
      <w:pPr>
        <w:ind w:right="100"/>
        <w:spacing w:after="0" w:line="278" w:lineRule="auto"/>
        <w:rPr>
          <w:sz w:val="20"/>
          <w:szCs w:val="20"/>
          <w:color w:val="auto"/>
        </w:rPr>
      </w:pPr>
      <w:r>
        <w:rPr>
          <w:rFonts w:ascii="Times New Roman" w:cs="Times New Roman" w:eastAsia="Times New Roman" w:hAnsi="Times New Roman"/>
          <w:sz w:val="19"/>
          <w:szCs w:val="19"/>
          <w:color w:val="050505"/>
        </w:rPr>
        <w:t>cancelable agreement under which it subleased one of its leased buildings in South San Francisco to one unaffiliated company. As a result of continued market deterioration there was a trigger of an additional indicator of impairment of the Company’s leased property and leasehold improvements, as described further in Note 5, which resulted in the recognition of a long-lived asset impairment charge of $1.0 million and $15.7 million for the years ended December 31, 2025 and 2024, respectively.</w:t>
      </w:r>
    </w:p>
    <w:p>
      <w:pPr>
        <w:spacing w:after="0" w:line="68"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During the year ended December 31, 2025 and 2024, the Company recognized $2.6 million and $0.1 million in sublease income, respectively, under the interest and other income, net caption within the condensed consolidated statements of operations.</w:t>
      </w:r>
    </w:p>
    <w:p>
      <w:pPr>
        <w:spacing w:after="0" w:line="7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Certain lease agreements require the Company to return designated areas of leased space to its original condition upon termination of the lease agreement. At the inception of such leases, the Company records an asset retirement obligation and a corresponding capital asset in an amount equal to the estimated fair value of the obligation. To determine the fair value of the obligation, the Company estimates the cost for a third-party to perform the restoration work. In subsequent periods, for each asset retirement obligation, the Company records interest expense to accrete the asset retirement obligation liability to full value and depreciate each capitalized asset retirement obligation asset, both over the term of the associated lease agreement. Asset retirement obligations were $0.7 million as of December 31,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Other Commitments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Solar Power Purchase and Energy Services Agreement</w:t>
      </w:r>
    </w:p>
    <w:p>
      <w:pPr>
        <w:spacing w:after="0" w:line="137"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050505"/>
        </w:rPr>
        <w:t>In July 2020, the Company entered into a Solar Power Purchase and Energy Services Agreement for the installation and operation of a solar photovoltaic generating system and battery energy storage system at the Company's cell therapy manufacturing facility in Newark, California. The agreement has a term of 20 years and commenced in September 2022. The Company is obligated to pay for electricity generated from the system at an agreed rate for the duration of the agreement term. Termination of the agreement by the Company will result in a termination payment due of approximately $4.3 million. In connection with the agreement, the Company maintains a letter of credit for the benefit of the service provider in the amount of $4.3 million which is recorded as restricted cash in the consolidated balance sheets as of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License Agreements for Intellectual Property</w:t>
      </w:r>
    </w:p>
    <w:p>
      <w:pPr>
        <w:spacing w:after="0" w:line="137"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050505"/>
        </w:rPr>
        <w:t>The Company has entered into certain license agreements for intellectual property which is used as part of its development and manufacturing processes. Each of these respective agreements are generally cancellable by the Company. These agreements require payment of annual license fees and may include conditional milestone payments for achievement of specific research, clinical and commercial events, and royalty payments. The timing and likelihood of any significant conditional milestone payments or royalty payments becoming due was not probable as of December 31, 2025 and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Contingencies</w:t>
      </w:r>
    </w:p>
    <w:p>
      <w:pPr>
        <w:spacing w:after="0" w:line="137"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In the ordinary course of business, the Company or its business partners may be subject to legal claims and regulatory actions that could have a material adverse effect on its business or financial position. The Company assesses its potential liability in such situations by analyzing the possible outcomes of various litigation, regulatory, and settlement strategies. If the Company determines that a material loss is probable and its amount can be reasonably estimated, it will accrue an amount equal to the estimated loss. As of December 31, 2025 and 2024, the Company did not accrue any estimated losses related to its ongoing legal proceedings.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Indemnification</w:t>
      </w:r>
    </w:p>
    <w:p>
      <w:pPr>
        <w:spacing w:after="0" w:line="137"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050505"/>
        </w:rPr>
        <w:t>In accordance with the Company’s amended and restated certificate of incorporation and amended and restated bylaws,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8. Stockholders’ Equity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Preferred Stock</w:t>
      </w:r>
    </w:p>
    <w:p>
      <w:pPr>
        <w:spacing w:after="0" w:line="139"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050505"/>
        </w:rPr>
        <w:t>Pursuant to the Amended and Restated Certificate of Incorporation filed on October 15, 2018, as amended, the Company is authorized to issue a total of 10,000,000 shares of preferred stock, of which no shares were issued and outstanding at December 31, 2025 and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Common Stock</w:t>
      </w:r>
    </w:p>
    <w:p>
      <w:pPr>
        <w:sectPr>
          <w:pgSz w:w="12240" w:h="15840" w:orient="portrait"/>
          <w:cols w:equalWidth="0" w:num="1">
            <w:col w:w="10220"/>
          </w:cols>
          <w:pgMar w:left="1000" w:top="793" w:right="1020" w:bottom="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50505"/>
        </w:rPr>
        <w:t>128</w:t>
      </w:r>
    </w:p>
    <w:p>
      <w:pPr>
        <w:sectPr>
          <w:pgSz w:w="12240" w:h="15840" w:orient="portrait"/>
          <w:cols w:equalWidth="0" w:num="1">
            <w:col w:w="10220"/>
          </w:cols>
          <w:pgMar w:left="1000" w:top="793" w:right="1020" w:bottom="0" w:gutter="0" w:footer="0" w:header="0"/>
          <w:type w:val="continuous"/>
        </w:sectPr>
      </w:pPr>
    </w:p>
    <w:bookmarkStart w:id="132" w:name="page133"/>
    <w:bookmarkEnd w:id="132"/>
    <w:p>
      <w:pPr>
        <w:ind w:right="440" w:firstLine="720"/>
        <w:spacing w:after="0" w:line="266" w:lineRule="auto"/>
        <w:rPr>
          <w:sz w:val="20"/>
          <w:szCs w:val="20"/>
          <w:color w:val="auto"/>
        </w:rPr>
      </w:pPr>
      <w:r>
        <w:rPr>
          <w:rFonts w:ascii="Times New Roman" w:cs="Times New Roman" w:eastAsia="Times New Roman" w:hAnsi="Times New Roman"/>
          <w:sz w:val="20"/>
          <w:szCs w:val="20"/>
          <w:color w:val="050505"/>
        </w:rPr>
        <w:t>Pursuant to the Certificate of Amendment of Amended and Restated Certificate of Incorporation filed on June 17, 2022, the Company is authorized to issue a total of 400,000,000 shares of common stock, of which 229,413,523 and 212,210,597 shares were issued and outstanding at December 31, 2025 and 2024, respectively.</w:t>
      </w:r>
    </w:p>
    <w:p>
      <w:pPr>
        <w:spacing w:after="0" w:line="75"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050505"/>
        </w:rPr>
        <w:t>Common stockholders are entitled to dividends if and when declared by the Company’s Board of Directors subject to the prior rights of the preferred stockholders. As of December 31, 2025 and 2024, no dividends on common stock had been declared by the Company’s Board of Directors.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9. Stock-Based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2018 Equity Incentive Plan</w:t>
      </w:r>
    </w:p>
    <w:p>
      <w:pPr>
        <w:spacing w:after="0" w:line="13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050505"/>
        </w:rPr>
        <w:t>In June 2018, the Company adopted its 2018 Equity Incentive Plan (Prior 2018 Plan). The Prior 2018 Plan provided for the Company to sell or issue common stock or restricted common stock, or to grant incentive stock options or nonqualified stock options for the purchase of common stock, to employees, members of the Company’s Board of Directors and consultants of the Company under terms and provisions established by the Company’s Board of Directors. In September 2018, the Board of Directors adopted a new amended and restated 2018 Equity Incentive Plan as a successor to and continuation of the Prior 2018 Plan, which became effective in October 2018 (the 2018 Plan), which authorized additional shares for issuance and provided for an automatic annual increase to the number of shares issuable under the 2018 Plan by an amount equal to 5% of the total number of shares of common stock outstanding on December 31</w:t>
      </w:r>
      <w:r>
        <w:rPr>
          <w:rFonts w:ascii="Times New Roman" w:cs="Times New Roman" w:eastAsia="Times New Roman" w:hAnsi="Times New Roman"/>
          <w:sz w:val="18"/>
          <w:szCs w:val="18"/>
          <w:color w:val="050505"/>
        </w:rPr>
        <w:t>st</w:t>
      </w:r>
      <w:r>
        <w:rPr>
          <w:rFonts w:ascii="Times New Roman" w:cs="Times New Roman" w:eastAsia="Times New Roman" w:hAnsi="Times New Roman"/>
          <w:sz w:val="20"/>
          <w:szCs w:val="20"/>
          <w:color w:val="050505"/>
        </w:rPr>
        <w:t xml:space="preserve"> of the preceding calendar year. The term of any stock option granted under the 2018 Plan cannot exceed 10 years. The Company generally grants stock-based awards with service conditions only. Options granted typically vest over a four-year period but may be granted with different vesting terms. Restricted Stock Units granted typically vest annually over a four-year period but may be granted with different vesting terms. Options shall not have an exercise price less than 100% of the fair market value of the Company’s common stock on the grant date. If the individual possesses more than 10% of the combined voting power of all classes of stock of the Company, the exercise price shall not be less than 110% of the fair market value of a common share of stock on the date of grant. This requirement is applicable to incentive stock options only.</w:t>
      </w:r>
    </w:p>
    <w:p>
      <w:pPr>
        <w:spacing w:after="0" w:line="88"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050505"/>
        </w:rPr>
        <w:t>As of December 31, 2025 and 2024, there were 6,187,819 and 8,838,676 shares reserved by the Company under the 2018 Plan for the future issuance of equity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Stock Option Exchange Program</w:t>
      </w:r>
    </w:p>
    <w:p>
      <w:pPr>
        <w:spacing w:after="0" w:line="13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050505"/>
        </w:rPr>
        <w:t>On June 21, 2022, the Company commenced an offer to exchange certain eligible options held by eligible employees of the Company for new options (the Exchange Offer). The Exchange Offer expired on July 19, 2022. Pursuant to the Exchange Offer, 199 eligible holders elected to exchange, and the Company accepted for cancellation, eligible options to purchase an aggregate of 3,666,600 shares of the Company’s common stock, representing approximately 93.5% of the total shares of common stock underlying the eligible options. On July 19, 2022, immediately following the expiration of the Exchange Offer, the Company granted new options to purchase 3,666,600 shares of common stock, pursuant to the terms of the Exchange Offer and the 2018 Plan. The exercise price of the new options granted pursuant to the Exchange Offer was $13.31 per share, which was the closing price of the common stock on the Nasdaq Global Select Market on the grant date of the new options. The new options are subject to a new three-year vesting schedule, vesting in equal annual installments over the vesting term. Each new option has a maximum term of seven years.</w:t>
      </w:r>
    </w:p>
    <w:p>
      <w:pPr>
        <w:spacing w:after="0" w:line="96"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The exchange of stock options was treated as a modification for accounting purposes. The incremental expense of $5.2 million for the modified options was calculated using a lattice option pricing model. The incremental expense and the unamortized expense remaining on the exchanged options as of the modification date are being recognized over the new three-year service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Stock Option Activity</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129</w:t>
      </w:r>
    </w:p>
    <w:p>
      <w:pPr>
        <w:sectPr>
          <w:pgSz w:w="12240" w:h="15840" w:orient="portrait"/>
          <w:cols w:equalWidth="0" w:num="1">
            <w:col w:w="10240"/>
          </w:cols>
          <w:pgMar w:left="1000" w:top="793" w:right="1000" w:bottom="0" w:gutter="0" w:footer="0" w:header="0"/>
          <w:type w:val="continuous"/>
        </w:sectPr>
      </w:pPr>
    </w:p>
    <w:bookmarkStart w:id="133" w:name="page134"/>
    <w:bookmarkEnd w:id="133"/>
    <w:p>
      <w:pPr>
        <w:ind w:left="720"/>
        <w:spacing w:after="0"/>
        <w:rPr>
          <w:sz w:val="20"/>
          <w:szCs w:val="20"/>
          <w:color w:val="auto"/>
        </w:rPr>
      </w:pPr>
      <w:r>
        <w:rPr>
          <w:rFonts w:ascii="Times New Roman" w:cs="Times New Roman" w:eastAsia="Times New Roman" w:hAnsi="Times New Roman"/>
          <w:sz w:val="20"/>
          <w:szCs w:val="20"/>
          <w:color w:val="050505"/>
        </w:rPr>
        <w:t>The following summarizes option activity under the 2018 Plan:</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400" w:type="dxa"/>
            <w:vAlign w:val="bottom"/>
          </w:tcPr>
          <w:p>
            <w:pPr>
              <w:spacing w:after="0"/>
              <w:rPr>
                <w:sz w:val="23"/>
                <w:szCs w:val="23"/>
                <w:color w:val="auto"/>
              </w:rPr>
            </w:pPr>
          </w:p>
        </w:tc>
        <w:tc>
          <w:tcPr>
            <w:tcW w:w="1400" w:type="dxa"/>
            <w:vAlign w:val="bottom"/>
            <w:tcBorders>
              <w:bottom w:val="single" w:sz="8" w:color="050505"/>
            </w:tcBorders>
          </w:tcPr>
          <w:p>
            <w:pPr>
              <w:spacing w:after="0"/>
              <w:rPr>
                <w:sz w:val="23"/>
                <w:szCs w:val="23"/>
                <w:color w:val="auto"/>
              </w:rPr>
            </w:pPr>
          </w:p>
        </w:tc>
        <w:tc>
          <w:tcPr>
            <w:tcW w:w="80" w:type="dxa"/>
            <w:vAlign w:val="bottom"/>
            <w:tcBorders>
              <w:bottom w:val="single" w:sz="8" w:color="050505"/>
            </w:tcBorders>
          </w:tcPr>
          <w:p>
            <w:pPr>
              <w:spacing w:after="0"/>
              <w:rPr>
                <w:sz w:val="23"/>
                <w:szCs w:val="23"/>
                <w:color w:val="auto"/>
              </w:rPr>
            </w:pPr>
          </w:p>
        </w:tc>
        <w:tc>
          <w:tcPr>
            <w:tcW w:w="200" w:type="dxa"/>
            <w:vAlign w:val="bottom"/>
            <w:tcBorders>
              <w:bottom w:val="single" w:sz="8" w:color="050505"/>
            </w:tcBorders>
          </w:tcPr>
          <w:p>
            <w:pPr>
              <w:spacing w:after="0"/>
              <w:rPr>
                <w:sz w:val="23"/>
                <w:szCs w:val="23"/>
                <w:color w:val="auto"/>
              </w:rPr>
            </w:pPr>
          </w:p>
        </w:tc>
        <w:tc>
          <w:tcPr>
            <w:tcW w:w="2660" w:type="dxa"/>
            <w:vAlign w:val="bottom"/>
            <w:tcBorders>
              <w:bottom w:val="single" w:sz="8" w:color="050505"/>
            </w:tcBorders>
            <w:gridSpan w:val="3"/>
          </w:tcPr>
          <w:p>
            <w:pPr>
              <w:jc w:val="right"/>
              <w:ind w:right="440"/>
              <w:spacing w:after="0"/>
              <w:rPr>
                <w:sz w:val="20"/>
                <w:szCs w:val="20"/>
                <w:color w:val="auto"/>
              </w:rPr>
            </w:pPr>
            <w:r>
              <w:rPr>
                <w:rFonts w:ascii="Times New Roman" w:cs="Times New Roman" w:eastAsia="Times New Roman" w:hAnsi="Times New Roman"/>
                <w:sz w:val="20"/>
                <w:szCs w:val="20"/>
                <w:b w:val="1"/>
                <w:bCs w:val="1"/>
                <w:color w:val="050505"/>
              </w:rPr>
              <w:t>Outstanding Options</w:t>
            </w:r>
          </w:p>
        </w:tc>
        <w:tc>
          <w:tcPr>
            <w:tcW w:w="80" w:type="dxa"/>
            <w:vAlign w:val="bottom"/>
            <w:tcBorders>
              <w:bottom w:val="single" w:sz="8" w:color="050505"/>
            </w:tcBorders>
          </w:tcPr>
          <w:p>
            <w:pPr>
              <w:spacing w:after="0"/>
              <w:rPr>
                <w:sz w:val="23"/>
                <w:szCs w:val="23"/>
                <w:color w:val="auto"/>
              </w:rPr>
            </w:pPr>
          </w:p>
        </w:tc>
        <w:tc>
          <w:tcPr>
            <w:tcW w:w="200" w:type="dxa"/>
            <w:vAlign w:val="bottom"/>
            <w:tcBorders>
              <w:bottom w:val="single" w:sz="8" w:color="050505"/>
            </w:tcBorders>
          </w:tcPr>
          <w:p>
            <w:pPr>
              <w:spacing w:after="0"/>
              <w:rPr>
                <w:sz w:val="23"/>
                <w:szCs w:val="23"/>
                <w:color w:val="auto"/>
              </w:rPr>
            </w:pPr>
          </w:p>
        </w:tc>
        <w:tc>
          <w:tcPr>
            <w:tcW w:w="1200" w:type="dxa"/>
            <w:vAlign w:val="bottom"/>
            <w:tcBorders>
              <w:bottom w:val="single" w:sz="8" w:color="050505"/>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050505"/>
                <w:w w:val="98"/>
              </w:rPr>
              <w:t>Weighted-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050505"/>
              </w:rPr>
              <w:t>Weighted-</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050505"/>
              </w:rPr>
              <w:t>Average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050505"/>
              </w:rPr>
              <w:t>Aggregate</w:t>
            </w:r>
          </w:p>
        </w:tc>
        <w:tc>
          <w:tcPr>
            <w:tcW w:w="0" w:type="dxa"/>
            <w:vAlign w:val="bottom"/>
          </w:tcPr>
          <w:p>
            <w:pPr>
              <w:spacing w:after="0"/>
              <w:rPr>
                <w:sz w:val="1"/>
                <w:szCs w:val="1"/>
                <w:color w:val="auto"/>
              </w:rPr>
            </w:pPr>
          </w:p>
        </w:tc>
      </w:tr>
      <w:tr>
        <w:trPr>
          <w:trHeight w:val="200"/>
        </w:trPr>
        <w:tc>
          <w:tcPr>
            <w:tcW w:w="4400" w:type="dxa"/>
            <w:vAlign w:val="bottom"/>
          </w:tcPr>
          <w:p>
            <w:pPr>
              <w:spacing w:after="0"/>
              <w:rPr>
                <w:sz w:val="17"/>
                <w:szCs w:val="17"/>
                <w:color w:val="auto"/>
              </w:rPr>
            </w:pPr>
          </w:p>
        </w:tc>
        <w:tc>
          <w:tcPr>
            <w:tcW w:w="14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050505"/>
              </w:rPr>
              <w:t>Number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050505"/>
                <w:w w:val="98"/>
              </w:rPr>
              <w:t>Remaining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050505"/>
                <w:w w:val="98"/>
              </w:rPr>
              <w:t>Average</w:t>
            </w:r>
          </w:p>
        </w:tc>
        <w:tc>
          <w:tcPr>
            <w:tcW w:w="60" w:type="dxa"/>
            <w:vAlign w:val="bottom"/>
          </w:tcPr>
          <w:p>
            <w:pPr>
              <w:spacing w:after="0"/>
              <w:rPr>
                <w:sz w:val="17"/>
                <w:szCs w:val="17"/>
                <w:color w:val="auto"/>
              </w:rPr>
            </w:pPr>
          </w:p>
        </w:tc>
        <w:tc>
          <w:tcPr>
            <w:tcW w:w="14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050505"/>
                <w:w w:val="99"/>
              </w:rPr>
              <w:t>Contract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050505"/>
              </w:rPr>
              <w:t>Intrinsic</w:t>
            </w: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1400" w:type="dxa"/>
            <w:vAlign w:val="bottom"/>
            <w:tcBorders>
              <w:bottom w:val="single" w:sz="8" w:color="050505"/>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050505"/>
              </w:rPr>
              <w:t>Options</w:t>
            </w:r>
          </w:p>
        </w:tc>
        <w:tc>
          <w:tcPr>
            <w:tcW w:w="80" w:type="dxa"/>
            <w:vAlign w:val="bottom"/>
          </w:tcPr>
          <w:p>
            <w:pPr>
              <w:spacing w:after="0"/>
              <w:rPr>
                <w:sz w:val="22"/>
                <w:szCs w:val="22"/>
                <w:color w:val="auto"/>
              </w:rPr>
            </w:pPr>
          </w:p>
        </w:tc>
        <w:tc>
          <w:tcPr>
            <w:tcW w:w="1400" w:type="dxa"/>
            <w:vAlign w:val="bottom"/>
            <w:tcBorders>
              <w:bottom w:val="single" w:sz="8" w:color="050505"/>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050505"/>
              </w:rPr>
              <w:t>Exercise Price</w:t>
            </w:r>
          </w:p>
        </w:tc>
        <w:tc>
          <w:tcPr>
            <w:tcW w:w="60" w:type="dxa"/>
            <w:vAlign w:val="bottom"/>
          </w:tcPr>
          <w:p>
            <w:pPr>
              <w:spacing w:after="0"/>
              <w:rPr>
                <w:sz w:val="22"/>
                <w:szCs w:val="22"/>
                <w:color w:val="auto"/>
              </w:rPr>
            </w:pPr>
          </w:p>
        </w:tc>
        <w:tc>
          <w:tcPr>
            <w:tcW w:w="140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b w:val="1"/>
                <w:bCs w:val="1"/>
                <w:color w:val="050505"/>
              </w:rPr>
              <w:t>Term</w:t>
            </w:r>
          </w:p>
        </w:tc>
        <w:tc>
          <w:tcPr>
            <w:tcW w:w="80" w:type="dxa"/>
            <w:vAlign w:val="bottom"/>
          </w:tcPr>
          <w:p>
            <w:pPr>
              <w:spacing w:after="0"/>
              <w:rPr>
                <w:sz w:val="22"/>
                <w:szCs w:val="22"/>
                <w:color w:val="auto"/>
              </w:rPr>
            </w:pPr>
          </w:p>
        </w:tc>
        <w:tc>
          <w:tcPr>
            <w:tcW w:w="200" w:type="dxa"/>
            <w:vAlign w:val="bottom"/>
            <w:tcBorders>
              <w:bottom w:val="single" w:sz="8" w:color="050505"/>
            </w:tcBorders>
          </w:tcPr>
          <w:p>
            <w:pPr>
              <w:spacing w:after="0"/>
              <w:rPr>
                <w:sz w:val="22"/>
                <w:szCs w:val="22"/>
                <w:color w:val="auto"/>
              </w:rPr>
            </w:pPr>
          </w:p>
        </w:tc>
        <w:tc>
          <w:tcPr>
            <w:tcW w:w="1200" w:type="dxa"/>
            <w:vAlign w:val="bottom"/>
            <w:tcBorders>
              <w:bottom w:val="single" w:sz="8" w:color="050505"/>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050505"/>
                <w:w w:val="99"/>
              </w:rPr>
              <w:t>Value</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050505"/>
                <w:w w:val="99"/>
              </w:rPr>
              <w:t>(in years)</w:t>
            </w:r>
          </w:p>
        </w:tc>
        <w:tc>
          <w:tcPr>
            <w:tcW w:w="80" w:type="dxa"/>
            <w:vAlign w:val="bottom"/>
          </w:tcPr>
          <w:p>
            <w:pPr>
              <w:spacing w:after="0"/>
              <w:rPr>
                <w:sz w:val="22"/>
                <w:szCs w:val="22"/>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0" w:type="dxa"/>
            <w:vAlign w:val="bottom"/>
          </w:tcPr>
          <w:p>
            <w:pPr>
              <w:spacing w:after="0"/>
              <w:rPr>
                <w:sz w:val="1"/>
                <w:szCs w:val="1"/>
                <w:color w:val="auto"/>
              </w:rPr>
            </w:pPr>
          </w:p>
        </w:tc>
      </w:tr>
      <w:tr>
        <w:trPr>
          <w:trHeight w:val="298"/>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050505"/>
              </w:rPr>
              <w:t>Balance as of 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24,184,884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7.53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w:t>
            </w:r>
          </w:p>
        </w:tc>
        <w:tc>
          <w:tcPr>
            <w:tcW w:w="0" w:type="dxa"/>
            <w:vAlign w:val="bottom"/>
          </w:tcPr>
          <w:p>
            <w:pPr>
              <w:spacing w:after="0"/>
              <w:rPr>
                <w:sz w:val="1"/>
                <w:szCs w:val="1"/>
                <w:color w:val="auto"/>
              </w:rPr>
            </w:pPr>
          </w:p>
        </w:tc>
      </w:tr>
      <w:tr>
        <w:trPr>
          <w:trHeight w:val="30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050505"/>
              </w:rPr>
              <w:t>Options 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9,731,523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8.28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050505"/>
              </w:rPr>
              <w:t>Options exercised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0" w:type="dxa"/>
            <w:vAlign w:val="bottom"/>
          </w:tcPr>
          <w:p>
            <w:pPr>
              <w:spacing w:after="0"/>
              <w:rPr>
                <w:sz w:val="1"/>
                <w:szCs w:val="1"/>
                <w:color w:val="auto"/>
              </w:rPr>
            </w:pPr>
          </w:p>
        </w:tc>
      </w:tr>
      <w:tr>
        <w:trPr>
          <w:trHeight w:val="303"/>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050505"/>
              </w:rPr>
              <w:t>Options forfeited</w:t>
            </w:r>
          </w:p>
        </w:tc>
        <w:tc>
          <w:tcPr>
            <w:tcW w:w="14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(2,778,330)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6.51</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050505"/>
              </w:rPr>
              <w:t>Balance as of December 31, 2025</w:t>
            </w:r>
          </w:p>
        </w:tc>
        <w:tc>
          <w:tcPr>
            <w:tcW w:w="14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31,138,077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7.17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050505"/>
              </w:rPr>
              <w:t>Exercisable as of December 31, 2025</w:t>
            </w:r>
          </w:p>
        </w:tc>
        <w:tc>
          <w:tcPr>
            <w:tcW w:w="1400" w:type="dxa"/>
            <w:vAlign w:val="bottom"/>
            <w:tcBorders>
              <w:bottom w:val="single" w:sz="8" w:color="050505"/>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8.54</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6.26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w:t>
            </w:r>
          </w:p>
        </w:tc>
        <w:tc>
          <w:tcPr>
            <w:tcW w:w="0" w:type="dxa"/>
            <w:vAlign w:val="bottom"/>
          </w:tcPr>
          <w:p>
            <w:pPr>
              <w:spacing w:after="0" w:line="20" w:lineRule="exact"/>
              <w:rPr>
                <w:sz w:val="1"/>
                <w:szCs w:val="1"/>
                <w:color w:val="auto"/>
              </w:rPr>
            </w:pPr>
          </w:p>
        </w:tc>
      </w:tr>
      <w:tr>
        <w:trPr>
          <w:trHeight w:val="240"/>
        </w:trPr>
        <w:tc>
          <w:tcPr>
            <w:tcW w:w="4400" w:type="dxa"/>
            <w:vAlign w:val="bottom"/>
            <w:vMerge w:val="continue"/>
          </w:tcPr>
          <w:p>
            <w:pPr>
              <w:spacing w:after="0"/>
              <w:rPr>
                <w:sz w:val="20"/>
                <w:szCs w:val="20"/>
                <w:color w:val="auto"/>
              </w:rPr>
            </w:pPr>
          </w:p>
        </w:tc>
        <w:tc>
          <w:tcPr>
            <w:tcW w:w="14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20,293,071</w:t>
            </w:r>
          </w:p>
        </w:tc>
        <w:tc>
          <w:tcPr>
            <w:tcW w:w="28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20"/>
                <w:szCs w:val="20"/>
                <w:color w:val="050505"/>
              </w:rPr>
              <w:t>Vested and expected to vest as of December 31, 2025</w:t>
            </w:r>
          </w:p>
        </w:tc>
        <w:tc>
          <w:tcPr>
            <w:tcW w:w="1400" w:type="dxa"/>
            <w:vAlign w:val="bottom"/>
            <w:tcBorders>
              <w:bottom w:val="single" w:sz="8" w:color="050505"/>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6.31</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7.17</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97</w:t>
            </w:r>
          </w:p>
        </w:tc>
        <w:tc>
          <w:tcPr>
            <w:tcW w:w="0" w:type="dxa"/>
            <w:vAlign w:val="bottom"/>
          </w:tcPr>
          <w:p>
            <w:pPr>
              <w:spacing w:after="0" w:line="20" w:lineRule="exact"/>
              <w:rPr>
                <w:sz w:val="1"/>
                <w:szCs w:val="1"/>
                <w:color w:val="auto"/>
              </w:rPr>
            </w:pPr>
          </w:p>
        </w:tc>
      </w:tr>
      <w:tr>
        <w:trPr>
          <w:trHeight w:val="240"/>
        </w:trPr>
        <w:tc>
          <w:tcPr>
            <w:tcW w:w="4400" w:type="dxa"/>
            <w:vAlign w:val="bottom"/>
            <w:vMerge w:val="continue"/>
          </w:tcPr>
          <w:p>
            <w:pPr>
              <w:spacing w:after="0"/>
              <w:rPr>
                <w:sz w:val="20"/>
                <w:szCs w:val="20"/>
                <w:color w:val="auto"/>
              </w:rPr>
            </w:pPr>
          </w:p>
        </w:tc>
        <w:tc>
          <w:tcPr>
            <w:tcW w:w="14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31,138,077</w:t>
            </w:r>
          </w:p>
        </w:tc>
        <w:tc>
          <w:tcPr>
            <w:tcW w:w="28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-424815</wp:posOffset>
            </wp:positionV>
            <wp:extent cx="91122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5">
                      <a:extLst>
                        <a:ext uri="{28A0092B-C50C-407E-A947-70E740481C1C}"/>
                      </a:extLst>
                    </a:blip>
                    <a:srcRect/>
                    <a:stretch>
                      <a:fillRect/>
                    </a:stretch>
                  </pic:blipFill>
                  <pic:spPr bwMode="auto">
                    <a:xfrm>
                      <a:off x="0" y="0"/>
                      <a:ext cx="911225" cy="508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-234315</wp:posOffset>
            </wp:positionV>
            <wp:extent cx="91122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6">
                      <a:extLst>
                        <a:ext uri="{28A0092B-C50C-407E-A947-70E740481C1C}"/>
                      </a:extLst>
                    </a:blip>
                    <a:srcRect/>
                    <a:stretch>
                      <a:fillRect/>
                    </a:stretch>
                  </pic:blipFill>
                  <pic:spPr bwMode="auto">
                    <a:xfrm>
                      <a:off x="0" y="0"/>
                      <a:ext cx="911225" cy="508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-43815</wp:posOffset>
            </wp:positionV>
            <wp:extent cx="91122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7">
                      <a:extLst>
                        <a:ext uri="{28A0092B-C50C-407E-A947-70E740481C1C}"/>
                      </a:extLst>
                    </a:blip>
                    <a:srcRect/>
                    <a:stretch>
                      <a:fillRect/>
                    </a:stretch>
                  </pic:blipFill>
                  <pic:spPr bwMode="auto">
                    <a:xfrm>
                      <a:off x="0" y="0"/>
                      <a:ext cx="911225" cy="50800"/>
                    </a:xfrm>
                    <a:prstGeom prst="rect">
                      <a:avLst/>
                    </a:prstGeom>
                    <a:noFill/>
                  </pic:spPr>
                </pic:pic>
              </a:graphicData>
            </a:graphic>
          </wp:anchor>
        </w:drawing>
      </w:r>
    </w:p>
    <w:p>
      <w:pPr>
        <w:spacing w:after="0" w:line="1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050505"/>
        </w:rPr>
        <w:t>The aggregate intrinsic values of options exercised, outstanding, exercisable, vested and expected to vest were calculated as the difference between the exercise price of the options and the closing price of the Company’s common stock on the Nasdaq Global Select Market on December 31, 2025. The aggregate intrinsic value of options exercised during the years ended December 31, 2025 and 2024 was zero and $0.6 million, respectively. During the years ended December 31, 2025 and 2024, the estimated weighted-average grant-date fair value of employee options granted was $1.26 per share and $2.05 per share, respectively. As of December 31, 2025 and 2024, there was $21.1 million and $35.5 million, respectively, of unrecognized stock-based compensation related to unvested stock options, which is expected to be recognized over a weighted-average period of 2.46 years and 1.85 years, respectively.</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fair value of employee, consultant and director stock option awards was estimated at the date of grant using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Black-Scholes option-pricing model with the following assumptions: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960" w:type="dxa"/>
            <w:vAlign w:val="bottom"/>
          </w:tcPr>
          <w:p>
            <w:pPr>
              <w:spacing w:after="0"/>
              <w:rPr>
                <w:sz w:val="23"/>
                <w:szCs w:val="23"/>
                <w:color w:val="auto"/>
              </w:rPr>
            </w:pPr>
          </w:p>
        </w:tc>
        <w:tc>
          <w:tcPr>
            <w:tcW w:w="3260" w:type="dxa"/>
            <w:vAlign w:val="bottom"/>
            <w:tcBorders>
              <w:bottom w:val="single" w:sz="8" w:color="050505"/>
            </w:tcBorders>
            <w:gridSpan w:val="5"/>
          </w:tcPr>
          <w:p>
            <w:pPr>
              <w:ind w:left="50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r>
      <w:tr>
        <w:trPr>
          <w:trHeight w:val="265"/>
        </w:trPr>
        <w:tc>
          <w:tcPr>
            <w:tcW w:w="6960" w:type="dxa"/>
            <w:vAlign w:val="bottom"/>
          </w:tcPr>
          <w:p>
            <w:pPr>
              <w:spacing w:after="0"/>
              <w:rPr>
                <w:sz w:val="23"/>
                <w:szCs w:val="23"/>
                <w:color w:val="auto"/>
              </w:rPr>
            </w:pPr>
          </w:p>
        </w:tc>
        <w:tc>
          <w:tcPr>
            <w:tcW w:w="1580" w:type="dxa"/>
            <w:vAlign w:val="bottom"/>
            <w:tcBorders>
              <w:bottom w:val="single" w:sz="8" w:color="050505"/>
            </w:tcBorders>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1620" w:type="dxa"/>
            <w:vAlign w:val="bottom"/>
            <w:tcBorders>
              <w:bottom w:val="single" w:sz="8" w:color="050505"/>
            </w:tcBorders>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7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050505"/>
              </w:rPr>
              <w:t>Fair value of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$0.76</w:t>
            </w: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 $1.99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$1.40</w:t>
            </w:r>
          </w:p>
        </w:tc>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$3.32</w:t>
            </w:r>
          </w:p>
        </w:tc>
      </w:tr>
      <w:tr>
        <w:trPr>
          <w:trHeight w:val="30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050505"/>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5.15</w:t>
            </w: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- 6.08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5.02</w:t>
            </w:r>
          </w:p>
        </w:tc>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- 6.25</w:t>
            </w:r>
          </w:p>
        </w:tc>
      </w:tr>
      <w:tr>
        <w:trPr>
          <w:trHeight w:val="30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050505"/>
              </w:rPr>
              <w:t>Expected volatility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73.66%</w:t>
            </w: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- 80.17%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72.85%</w:t>
            </w:r>
          </w:p>
        </w:tc>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- 74.09%</w:t>
            </w:r>
          </w:p>
        </w:tc>
      </w:tr>
      <w:tr>
        <w:trPr>
          <w:trHeight w:val="30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050505"/>
              </w:rPr>
              <w:t>Expected 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3.73%</w:t>
            </w: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- 4.40%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3.42%</w:t>
            </w:r>
          </w:p>
        </w:tc>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- 4.32%</w:t>
            </w:r>
          </w:p>
        </w:tc>
      </w:tr>
      <w:tr>
        <w:trPr>
          <w:trHeight w:val="30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050505"/>
              </w:rPr>
              <w:t>Expected dividend</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color w:val="050505"/>
              </w:rPr>
              <w:t>0%</w:t>
            </w:r>
          </w:p>
        </w:tc>
        <w:tc>
          <w:tcPr>
            <w:tcW w:w="168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050505"/>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-956310</wp:posOffset>
            </wp:positionV>
            <wp:extent cx="6540500" cy="215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8">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-575310</wp:posOffset>
            </wp:positionV>
            <wp:extent cx="6540500" cy="215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-194310</wp:posOffset>
            </wp:positionV>
            <wp:extent cx="6540500" cy="215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0">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151" w:lineRule="exact"/>
        <w:rPr>
          <w:sz w:val="20"/>
          <w:szCs w:val="20"/>
          <w:color w:val="auto"/>
        </w:rPr>
      </w:pPr>
    </w:p>
    <w:p>
      <w:pPr>
        <w:ind w:right="60" w:firstLine="720"/>
        <w:spacing w:after="0" w:line="281" w:lineRule="auto"/>
        <w:rPr>
          <w:sz w:val="20"/>
          <w:szCs w:val="20"/>
          <w:color w:val="auto"/>
        </w:rPr>
      </w:pPr>
      <w:r>
        <w:rPr>
          <w:rFonts w:ascii="Times New Roman" w:cs="Times New Roman" w:eastAsia="Times New Roman" w:hAnsi="Times New Roman"/>
          <w:sz w:val="20"/>
          <w:szCs w:val="20"/>
          <w:color w:val="050505"/>
        </w:rPr>
        <w:t>The Black-Scholes option-pricing model and the lattice option pricing model require the use of subjective assumptions which determine the fair value of stock-based awards. These assumptions include:</w:t>
      </w:r>
    </w:p>
    <w:p>
      <w:pPr>
        <w:spacing w:after="0" w:line="58" w:lineRule="exact"/>
        <w:rPr>
          <w:sz w:val="20"/>
          <w:szCs w:val="20"/>
          <w:color w:val="auto"/>
        </w:rPr>
      </w:pPr>
    </w:p>
    <w:p>
      <w:pPr>
        <w:ind w:right="500" w:firstLine="720"/>
        <w:spacing w:after="0" w:line="285" w:lineRule="auto"/>
        <w:rPr>
          <w:sz w:val="20"/>
          <w:szCs w:val="20"/>
          <w:color w:val="auto"/>
        </w:rPr>
      </w:pPr>
      <w:r>
        <w:rPr>
          <w:rFonts w:ascii="Times New Roman" w:cs="Times New Roman" w:eastAsia="Times New Roman" w:hAnsi="Times New Roman"/>
          <w:sz w:val="20"/>
          <w:szCs w:val="20"/>
          <w:b w:val="1"/>
          <w:bCs w:val="1"/>
          <w:i w:val="1"/>
          <w:iCs w:val="1"/>
          <w:color w:val="050505"/>
        </w:rPr>
        <w:t>Fair value of common stock</w:t>
      </w:r>
      <w:r>
        <w:rPr>
          <w:rFonts w:ascii="Times New Roman" w:cs="Times New Roman" w:eastAsia="Times New Roman" w:hAnsi="Times New Roman"/>
          <w:sz w:val="20"/>
          <w:szCs w:val="20"/>
          <w:color w:val="050505"/>
        </w:rPr>
        <w:t>— For all grants subsequent to the Company’s IPO in October 2018, the fair value of</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common stock was determined by taking the closing price per share of common stock per Nasdaq.</w:t>
      </w:r>
    </w:p>
    <w:p>
      <w:pPr>
        <w:spacing w:after="0" w:line="54" w:lineRule="exact"/>
        <w:rPr>
          <w:sz w:val="20"/>
          <w:szCs w:val="20"/>
          <w:color w:val="auto"/>
        </w:rPr>
      </w:pPr>
    </w:p>
    <w:p>
      <w:pPr>
        <w:ind w:right="100" w:firstLine="720"/>
        <w:spacing w:after="0" w:line="268" w:lineRule="auto"/>
        <w:rPr>
          <w:sz w:val="20"/>
          <w:szCs w:val="20"/>
          <w:color w:val="auto"/>
        </w:rPr>
      </w:pPr>
      <w:r>
        <w:rPr>
          <w:rFonts w:ascii="Times New Roman" w:cs="Times New Roman" w:eastAsia="Times New Roman" w:hAnsi="Times New Roman"/>
          <w:sz w:val="20"/>
          <w:szCs w:val="20"/>
          <w:b w:val="1"/>
          <w:bCs w:val="1"/>
          <w:i w:val="1"/>
          <w:iCs w:val="1"/>
          <w:color w:val="050505"/>
        </w:rPr>
        <w:t>Expected term</w:t>
      </w:r>
      <w:r>
        <w:rPr>
          <w:rFonts w:ascii="Times New Roman" w:cs="Times New Roman" w:eastAsia="Times New Roman" w:hAnsi="Times New Roman"/>
          <w:sz w:val="20"/>
          <w:szCs w:val="20"/>
          <w:color w:val="050505"/>
        </w:rPr>
        <w:t>— The expected term represents the period that stock-based awards are expected to be outstanding. The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expected term for option grants is determined using the simplified method. The simplified method deems the term to be the average of the time-to-vesting and the contractual life of the stock-based awards.</w:t>
      </w:r>
    </w:p>
    <w:p>
      <w:pPr>
        <w:spacing w:after="0" w:line="70"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050505"/>
        </w:rPr>
        <w:t>Expected volatility</w:t>
      </w:r>
      <w:r>
        <w:rPr>
          <w:rFonts w:ascii="Times New Roman" w:cs="Times New Roman" w:eastAsia="Times New Roman" w:hAnsi="Times New Roman"/>
          <w:sz w:val="20"/>
          <w:szCs w:val="20"/>
          <w:color w:val="050505"/>
        </w:rPr>
        <w:t>— Prior to November 2024, the Company used an average historical stock price volatility of</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comparable public companies within the biotechnology and pharmaceutical industry that were deemed to be representative of future stock price trends as the Company does not have sufficient trading history for its common stock. For grants subsequent to October 2024, the Company uses an average historical stock price volatility of its common stock as it accumulated sufficient historical stock price data.</w:t>
      </w:r>
    </w:p>
    <w:p>
      <w:pPr>
        <w:spacing w:after="0" w:line="79" w:lineRule="exact"/>
        <w:rPr>
          <w:sz w:val="20"/>
          <w:szCs w:val="20"/>
          <w:color w:val="auto"/>
        </w:rPr>
      </w:pPr>
    </w:p>
    <w:p>
      <w:pPr>
        <w:ind w:right="20" w:firstLine="720"/>
        <w:spacing w:after="0" w:line="285" w:lineRule="auto"/>
        <w:rPr>
          <w:sz w:val="20"/>
          <w:szCs w:val="20"/>
          <w:color w:val="auto"/>
        </w:rPr>
      </w:pPr>
      <w:r>
        <w:rPr>
          <w:rFonts w:ascii="Times New Roman" w:cs="Times New Roman" w:eastAsia="Times New Roman" w:hAnsi="Times New Roman"/>
          <w:sz w:val="20"/>
          <w:szCs w:val="20"/>
          <w:b w:val="1"/>
          <w:bCs w:val="1"/>
          <w:i w:val="1"/>
          <w:iCs w:val="1"/>
          <w:color w:val="050505"/>
        </w:rPr>
        <w:t>Risk-free interest rate</w:t>
      </w:r>
      <w:r>
        <w:rPr>
          <w:rFonts w:ascii="Times New Roman" w:cs="Times New Roman" w:eastAsia="Times New Roman" w:hAnsi="Times New Roman"/>
          <w:sz w:val="20"/>
          <w:szCs w:val="20"/>
          <w:color w:val="050505"/>
        </w:rPr>
        <w:t>—The risk-free interest rate is based on the U.S. Treasury zero coupon issues in effect at the time</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of grant for periods corresponding with the expected term of option.</w:t>
      </w:r>
    </w:p>
    <w:p>
      <w:pPr>
        <w:spacing w:after="0" w:line="54" w:lineRule="exact"/>
        <w:rPr>
          <w:sz w:val="20"/>
          <w:szCs w:val="20"/>
          <w:color w:val="auto"/>
        </w:rPr>
      </w:pPr>
    </w:p>
    <w:p>
      <w:pPr>
        <w:ind w:right="260" w:firstLine="720"/>
        <w:spacing w:after="0" w:line="285" w:lineRule="auto"/>
        <w:rPr>
          <w:sz w:val="20"/>
          <w:szCs w:val="20"/>
          <w:color w:val="auto"/>
        </w:rPr>
      </w:pPr>
      <w:r>
        <w:rPr>
          <w:rFonts w:ascii="Times New Roman" w:cs="Times New Roman" w:eastAsia="Times New Roman" w:hAnsi="Times New Roman"/>
          <w:sz w:val="20"/>
          <w:szCs w:val="20"/>
          <w:b w:val="1"/>
          <w:bCs w:val="1"/>
          <w:i w:val="1"/>
          <w:iCs w:val="1"/>
          <w:color w:val="050505"/>
        </w:rPr>
        <w:t>Expected dividend</w:t>
      </w:r>
      <w:r>
        <w:rPr>
          <w:rFonts w:ascii="Times New Roman" w:cs="Times New Roman" w:eastAsia="Times New Roman" w:hAnsi="Times New Roman"/>
          <w:sz w:val="20"/>
          <w:szCs w:val="20"/>
          <w:color w:val="050505"/>
        </w:rPr>
        <w:t>—The Company has never paid dividends on its common stock and has no plans to pay dividends</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on its common stock. Therefore, the Company used an expected dividend yield of zero.</w:t>
      </w:r>
    </w:p>
    <w:p>
      <w:pPr>
        <w:spacing w:after="0" w:line="54" w:lineRule="exact"/>
        <w:rPr>
          <w:sz w:val="20"/>
          <w:szCs w:val="20"/>
          <w:color w:val="auto"/>
        </w:rPr>
      </w:pPr>
    </w:p>
    <w:p>
      <w:pPr>
        <w:ind w:right="20" w:firstLine="720"/>
        <w:spacing w:after="0" w:line="285" w:lineRule="auto"/>
        <w:rPr>
          <w:sz w:val="20"/>
          <w:szCs w:val="20"/>
          <w:color w:val="auto"/>
        </w:rPr>
      </w:pPr>
      <w:r>
        <w:rPr>
          <w:rFonts w:ascii="Times New Roman" w:cs="Times New Roman" w:eastAsia="Times New Roman" w:hAnsi="Times New Roman"/>
          <w:sz w:val="20"/>
          <w:szCs w:val="20"/>
          <w:b w:val="1"/>
          <w:bCs w:val="1"/>
          <w:i w:val="1"/>
          <w:iCs w:val="1"/>
          <w:color w:val="050505"/>
        </w:rPr>
        <w:t xml:space="preserve">Expected exercise barrier </w:t>
      </w:r>
      <w:r>
        <w:rPr>
          <w:rFonts w:ascii="Times New Roman" w:cs="Times New Roman" w:eastAsia="Times New Roman" w:hAnsi="Times New Roman"/>
          <w:sz w:val="20"/>
          <w:szCs w:val="20"/>
          <w:color w:val="050505"/>
        </w:rPr>
        <w:t>- The modified options are assumed to be exercised upon vesting and when the ratio of stock</w:t>
      </w:r>
      <w:r>
        <w:rPr>
          <w:rFonts w:ascii="Times New Roman" w:cs="Times New Roman" w:eastAsia="Times New Roman" w:hAnsi="Times New Roman"/>
          <w:sz w:val="20"/>
          <w:szCs w:val="20"/>
          <w:b w:val="1"/>
          <w:bCs w:val="1"/>
          <w:i w:val="1"/>
          <w:iCs w:val="1"/>
          <w:color w:val="050505"/>
        </w:rPr>
        <w:t xml:space="preserve"> </w:t>
      </w:r>
      <w:r>
        <w:rPr>
          <w:rFonts w:ascii="Times New Roman" w:cs="Times New Roman" w:eastAsia="Times New Roman" w:hAnsi="Times New Roman"/>
          <w:sz w:val="20"/>
          <w:szCs w:val="20"/>
          <w:color w:val="050505"/>
        </w:rPr>
        <w:t>market price to exercise price reaches $2.57, or expiration, whichever is earlier.</w:t>
      </w:r>
    </w:p>
    <w:p>
      <w:pPr>
        <w:sectPr>
          <w:pgSz w:w="12240" w:h="15840" w:orient="portrait"/>
          <w:cols w:equalWidth="0" w:num="1">
            <w:col w:w="10260"/>
          </w:cols>
          <w:pgMar w:left="1000" w:top="793" w:right="98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130</w:t>
      </w:r>
    </w:p>
    <w:p>
      <w:pPr>
        <w:sectPr>
          <w:pgSz w:w="12240" w:h="15840" w:orient="portrait"/>
          <w:cols w:equalWidth="0" w:num="1">
            <w:col w:w="10260"/>
          </w:cols>
          <w:pgMar w:left="1000" w:top="793" w:right="98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66"/>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050505"/>
              </w:rPr>
              <w:t>Restricted Stock Unit Activity</w:t>
            </w: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3"/>
        </w:trPr>
        <w:tc>
          <w:tcPr>
            <w:tcW w:w="7320" w:type="dxa"/>
            <w:vAlign w:val="bottom"/>
            <w:gridSpan w:val="6"/>
          </w:tcPr>
          <w:p>
            <w:pPr>
              <w:ind w:left="720"/>
              <w:spacing w:after="0"/>
              <w:rPr>
                <w:sz w:val="20"/>
                <w:szCs w:val="20"/>
                <w:color w:val="auto"/>
              </w:rPr>
            </w:pPr>
            <w:r>
              <w:rPr>
                <w:rFonts w:ascii="Times New Roman" w:cs="Times New Roman" w:eastAsia="Times New Roman" w:hAnsi="Times New Roman"/>
                <w:sz w:val="20"/>
                <w:szCs w:val="20"/>
                <w:color w:val="050505"/>
              </w:rPr>
              <w:t>The following summarizes restricted stock unit activity under the 2018 Plan:</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40" w:type="dxa"/>
            <w:vAlign w:val="bottom"/>
          </w:tcPr>
          <w:p>
            <w:pPr>
              <w:spacing w:after="0"/>
              <w:rPr>
                <w:sz w:val="24"/>
                <w:szCs w:val="24"/>
                <w:color w:val="auto"/>
              </w:rPr>
            </w:pPr>
          </w:p>
        </w:tc>
        <w:tc>
          <w:tcPr>
            <w:tcW w:w="1380" w:type="dxa"/>
            <w:vAlign w:val="bottom"/>
            <w:tcBorders>
              <w:bottom w:val="single" w:sz="8" w:color="050505"/>
            </w:tcBorders>
          </w:tcPr>
          <w:p>
            <w:pPr>
              <w:spacing w:after="0"/>
              <w:rPr>
                <w:sz w:val="24"/>
                <w:szCs w:val="24"/>
                <w:color w:val="auto"/>
              </w:rPr>
            </w:pPr>
          </w:p>
        </w:tc>
        <w:tc>
          <w:tcPr>
            <w:tcW w:w="3060" w:type="dxa"/>
            <w:vAlign w:val="bottom"/>
            <w:tcBorders>
              <w:bottom w:val="single" w:sz="8" w:color="050505"/>
            </w:tcBorders>
            <w:gridSpan w:val="8"/>
          </w:tcPr>
          <w:p>
            <w:pPr>
              <w:ind w:left="20"/>
              <w:spacing w:after="0"/>
              <w:rPr>
                <w:sz w:val="20"/>
                <w:szCs w:val="20"/>
                <w:color w:val="auto"/>
              </w:rPr>
            </w:pPr>
            <w:r>
              <w:rPr>
                <w:rFonts w:ascii="Times New Roman" w:cs="Times New Roman" w:eastAsia="Times New Roman" w:hAnsi="Times New Roman"/>
                <w:sz w:val="20"/>
                <w:szCs w:val="20"/>
                <w:b w:val="1"/>
                <w:bCs w:val="1"/>
                <w:color w:val="050505"/>
                <w:w w:val="99"/>
              </w:rPr>
              <w:t>Outstanding Restricted Stock Units</w:t>
            </w:r>
          </w:p>
        </w:tc>
        <w:tc>
          <w:tcPr>
            <w:tcW w:w="180" w:type="dxa"/>
            <w:vAlign w:val="bottom"/>
            <w:tcBorders>
              <w:bottom w:val="single" w:sz="8" w:color="050505"/>
            </w:tcBorders>
          </w:tcPr>
          <w:p>
            <w:pPr>
              <w:spacing w:after="0"/>
              <w:rPr>
                <w:sz w:val="24"/>
                <w:szCs w:val="24"/>
                <w:color w:val="auto"/>
              </w:rPr>
            </w:pPr>
          </w:p>
        </w:tc>
        <w:tc>
          <w:tcPr>
            <w:tcW w:w="1200" w:type="dxa"/>
            <w:vAlign w:val="bottom"/>
            <w:tcBorders>
              <w:bottom w:val="single" w:sz="8" w:color="050505"/>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20"/>
              <w:spacing w:after="0" w:line="212" w:lineRule="exact"/>
              <w:rPr>
                <w:sz w:val="20"/>
                <w:szCs w:val="20"/>
                <w:color w:val="auto"/>
              </w:rPr>
            </w:pPr>
            <w:r>
              <w:rPr>
                <w:rFonts w:ascii="Times New Roman" w:cs="Times New Roman" w:eastAsia="Times New Roman" w:hAnsi="Times New Roman"/>
                <w:sz w:val="20"/>
                <w:szCs w:val="20"/>
                <w:b w:val="1"/>
                <w:bCs w:val="1"/>
                <w:color w:val="050505"/>
              </w:rPr>
              <w:t>Weighted-</w:t>
            </w:r>
          </w:p>
        </w:tc>
        <w:tc>
          <w:tcPr>
            <w:tcW w:w="60" w:type="dxa"/>
            <w:vAlign w:val="bottom"/>
          </w:tcPr>
          <w:p>
            <w:pPr>
              <w:spacing w:after="0"/>
              <w:rPr>
                <w:sz w:val="18"/>
                <w:szCs w:val="18"/>
                <w:color w:val="auto"/>
              </w:rPr>
            </w:pPr>
          </w:p>
        </w:tc>
        <w:tc>
          <w:tcPr>
            <w:tcW w:w="15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050505"/>
                <w:w w:val="99"/>
              </w:rPr>
              <w:t>Weighted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050505"/>
              </w:rPr>
              <w:t>Average Grant</w:t>
            </w:r>
          </w:p>
        </w:tc>
        <w:tc>
          <w:tcPr>
            <w:tcW w:w="6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3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050505"/>
              </w:rPr>
              <w:t>Restricted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050505"/>
              </w:rPr>
              <w:t>Date Fair</w:t>
            </w:r>
          </w:p>
        </w:tc>
        <w:tc>
          <w:tcPr>
            <w:tcW w:w="60" w:type="dxa"/>
            <w:vAlign w:val="bottom"/>
          </w:tcPr>
          <w:p>
            <w:pPr>
              <w:spacing w:after="0"/>
              <w:rPr>
                <w:sz w:val="17"/>
                <w:szCs w:val="17"/>
                <w:color w:val="auto"/>
              </w:rPr>
            </w:pPr>
          </w:p>
        </w:tc>
        <w:tc>
          <w:tcPr>
            <w:tcW w:w="1500" w:type="dxa"/>
            <w:vAlign w:val="bottom"/>
            <w:gridSpan w:val="3"/>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050505"/>
              </w:rPr>
              <w:t>Average</w:t>
            </w:r>
          </w:p>
        </w:tc>
        <w:tc>
          <w:tcPr>
            <w:tcW w:w="180" w:type="dxa"/>
            <w:vAlign w:val="bottom"/>
          </w:tcPr>
          <w:p>
            <w:pPr>
              <w:spacing w:after="0"/>
              <w:rPr>
                <w:sz w:val="17"/>
                <w:szCs w:val="17"/>
                <w:color w:val="auto"/>
              </w:rPr>
            </w:pPr>
          </w:p>
        </w:tc>
        <w:tc>
          <w:tcPr>
            <w:tcW w:w="12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050505"/>
              </w:rPr>
              <w:t>Aggregate</w:t>
            </w: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050505"/>
              </w:rPr>
              <w:t>Value per</w:t>
            </w:r>
          </w:p>
        </w:tc>
        <w:tc>
          <w:tcPr>
            <w:tcW w:w="60" w:type="dxa"/>
            <w:vAlign w:val="bottom"/>
          </w:tcPr>
          <w:p>
            <w:pPr>
              <w:spacing w:after="0"/>
              <w:rPr>
                <w:sz w:val="17"/>
                <w:szCs w:val="17"/>
                <w:color w:val="auto"/>
              </w:rPr>
            </w:pPr>
          </w:p>
        </w:tc>
        <w:tc>
          <w:tcPr>
            <w:tcW w:w="1500" w:type="dxa"/>
            <w:vAlign w:val="bottom"/>
            <w:gridSpan w:val="3"/>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050505"/>
                <w:w w:val="98"/>
              </w:rPr>
              <w:t>Remaining</w:t>
            </w: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2"/>
                <w:szCs w:val="22"/>
                <w:color w:val="auto"/>
              </w:rPr>
            </w:pP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050505"/>
              </w:rPr>
              <w:t>Stock Units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050505"/>
                <w:w w:val="99"/>
              </w:rPr>
              <w:t>Share</w:t>
            </w:r>
          </w:p>
        </w:tc>
        <w:tc>
          <w:tcPr>
            <w:tcW w:w="60" w:type="dxa"/>
            <w:vAlign w:val="bottom"/>
          </w:tcPr>
          <w:p>
            <w:pPr>
              <w:spacing w:after="0"/>
              <w:rPr>
                <w:sz w:val="22"/>
                <w:szCs w:val="22"/>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050505"/>
              </w:rPr>
              <w:t>Vesting Life</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050505"/>
              </w:rPr>
              <w:t>Intrinsic Value</w:t>
            </w: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1380" w:type="dxa"/>
            <w:vAlign w:val="bottom"/>
            <w:tcBorders>
              <w:top w:val="single" w:sz="8" w:color="050505"/>
            </w:tcBorders>
          </w:tcPr>
          <w:p>
            <w:pPr>
              <w:spacing w:after="0"/>
              <w:rPr>
                <w:sz w:val="22"/>
                <w:szCs w:val="22"/>
                <w:color w:val="auto"/>
              </w:rPr>
            </w:pPr>
          </w:p>
        </w:tc>
        <w:tc>
          <w:tcPr>
            <w:tcW w:w="20" w:type="dxa"/>
            <w:vAlign w:val="bottom"/>
            <w:tcBorders>
              <w:top w:val="single" w:sz="8" w:color="050505"/>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050505"/>
            </w:tcBorders>
          </w:tcPr>
          <w:p>
            <w:pPr>
              <w:spacing w:after="0"/>
              <w:rPr>
                <w:sz w:val="22"/>
                <w:szCs w:val="22"/>
                <w:color w:val="auto"/>
              </w:rPr>
            </w:pPr>
          </w:p>
        </w:tc>
        <w:tc>
          <w:tcPr>
            <w:tcW w:w="1200" w:type="dxa"/>
            <w:vAlign w:val="bottom"/>
            <w:tcBorders>
              <w:top w:val="single" w:sz="8" w:color="050505"/>
            </w:tcBorders>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top w:val="single" w:sz="8" w:color="050505"/>
            </w:tcBorders>
          </w:tcPr>
          <w:p>
            <w:pPr>
              <w:jc w:val="center"/>
              <w:spacing w:after="0"/>
              <w:rPr>
                <w:sz w:val="20"/>
                <w:szCs w:val="20"/>
                <w:color w:val="auto"/>
              </w:rPr>
            </w:pPr>
            <w:r>
              <w:rPr>
                <w:rFonts w:ascii="Times New Roman" w:cs="Times New Roman" w:eastAsia="Times New Roman" w:hAnsi="Times New Roman"/>
                <w:sz w:val="20"/>
                <w:szCs w:val="20"/>
                <w:b w:val="1"/>
                <w:bCs w:val="1"/>
                <w:color w:val="050505"/>
                <w:w w:val="99"/>
              </w:rPr>
              <w:t>(in years)</w:t>
            </w:r>
          </w:p>
        </w:tc>
        <w:tc>
          <w:tcPr>
            <w:tcW w:w="80" w:type="dxa"/>
            <w:vAlign w:val="bottom"/>
          </w:tcPr>
          <w:p>
            <w:pPr>
              <w:spacing w:after="0"/>
              <w:rPr>
                <w:sz w:val="22"/>
                <w:szCs w:val="22"/>
                <w:color w:val="auto"/>
              </w:rPr>
            </w:pPr>
          </w:p>
        </w:tc>
        <w:tc>
          <w:tcPr>
            <w:tcW w:w="20" w:type="dxa"/>
            <w:vAlign w:val="bottom"/>
            <w:tcBorders>
              <w:top w:val="single" w:sz="8" w:color="050505"/>
            </w:tcBorders>
          </w:tcPr>
          <w:p>
            <w:pPr>
              <w:spacing w:after="0"/>
              <w:rPr>
                <w:sz w:val="22"/>
                <w:szCs w:val="22"/>
                <w:color w:val="auto"/>
              </w:rPr>
            </w:pPr>
          </w:p>
        </w:tc>
        <w:tc>
          <w:tcPr>
            <w:tcW w:w="1380" w:type="dxa"/>
            <w:vAlign w:val="bottom"/>
            <w:tcBorders>
              <w:top w:val="single" w:sz="8" w:color="050505"/>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0" w:type="dxa"/>
            <w:vAlign w:val="bottom"/>
          </w:tcPr>
          <w:p>
            <w:pPr>
              <w:spacing w:after="0"/>
              <w:rPr>
                <w:sz w:val="1"/>
                <w:szCs w:val="1"/>
                <w:color w:val="auto"/>
              </w:rPr>
            </w:pPr>
          </w:p>
        </w:tc>
      </w:tr>
      <w:tr>
        <w:trPr>
          <w:trHeight w:val="313"/>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Balance as of December 31, 2024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13,343,793</w:t>
            </w: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1.58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28,422</w:t>
            </w:r>
          </w:p>
        </w:tc>
        <w:tc>
          <w:tcPr>
            <w:tcW w:w="0" w:type="dxa"/>
            <w:vAlign w:val="bottom"/>
          </w:tcPr>
          <w:p>
            <w:pPr>
              <w:spacing w:after="0"/>
              <w:rPr>
                <w:sz w:val="1"/>
                <w:szCs w:val="1"/>
                <w:color w:val="auto"/>
              </w:rPr>
            </w:pPr>
          </w:p>
        </w:tc>
      </w:tr>
      <w:tr>
        <w:trPr>
          <w:trHeight w:val="30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10,147,144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4.36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Released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(3,123,760)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6.13</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Forfeited</w:t>
            </w:r>
          </w:p>
        </w:tc>
        <w:tc>
          <w:tcPr>
            <w:tcW w:w="13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(3,838,951)</w:t>
            </w:r>
          </w:p>
        </w:tc>
        <w:tc>
          <w:tcPr>
            <w:tcW w:w="20" w:type="dxa"/>
            <w:vAlign w:val="bottom"/>
            <w:tcBorders>
              <w:bottom w:val="single" w:sz="8" w:color="050505"/>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3.79</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Balance as of December 31, 2025</w:t>
            </w:r>
          </w:p>
        </w:tc>
        <w:tc>
          <w:tcPr>
            <w:tcW w:w="13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16,528,226</w:t>
            </w:r>
          </w:p>
        </w:tc>
        <w:tc>
          <w:tcPr>
            <w:tcW w:w="20" w:type="dxa"/>
            <w:vAlign w:val="bottom"/>
            <w:tcBorders>
              <w:bottom w:val="single" w:sz="8" w:color="050505"/>
            </w:tcBorders>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2.99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2.39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22,644</w:t>
            </w:r>
          </w:p>
        </w:tc>
        <w:tc>
          <w:tcPr>
            <w:tcW w:w="0" w:type="dxa"/>
            <w:vAlign w:val="bottom"/>
          </w:tcPr>
          <w:p>
            <w:pPr>
              <w:spacing w:after="0"/>
              <w:rPr>
                <w:sz w:val="1"/>
                <w:szCs w:val="1"/>
                <w:color w:val="auto"/>
              </w:rPr>
            </w:pPr>
          </w:p>
        </w:tc>
      </w:tr>
      <w:tr>
        <w:trPr>
          <w:trHeight w:val="260"/>
        </w:trPr>
        <w:tc>
          <w:tcPr>
            <w:tcW w:w="444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Expected to vest as of December 31, 2025</w:t>
            </w:r>
          </w:p>
        </w:tc>
        <w:tc>
          <w:tcPr>
            <w:tcW w:w="13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16,528,226</w:t>
            </w:r>
          </w:p>
        </w:tc>
        <w:tc>
          <w:tcPr>
            <w:tcW w:w="20" w:type="dxa"/>
            <w:vAlign w:val="bottom"/>
            <w:tcBorders>
              <w:bottom w:val="single" w:sz="8" w:color="050505"/>
            </w:tcBorders>
          </w:tcPr>
          <w:p>
            <w:pPr>
              <w:spacing w:after="0"/>
              <w:rPr>
                <w:sz w:val="22"/>
                <w:szCs w:val="22"/>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2.99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2.39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22,644</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50505"/>
              </w:rPr>
              <w:t>Vested and unreleased as of December 31, 2025</w:t>
            </w:r>
          </w:p>
        </w:tc>
        <w:tc>
          <w:tcPr>
            <w:tcW w:w="13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1.29</w:t>
            </w: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327</w:t>
            </w:r>
          </w:p>
        </w:tc>
        <w:tc>
          <w:tcPr>
            <w:tcW w:w="0" w:type="dxa"/>
            <w:vAlign w:val="bottom"/>
          </w:tcPr>
          <w:p>
            <w:pPr>
              <w:spacing w:after="0" w:line="20" w:lineRule="exact"/>
              <w:rPr>
                <w:sz w:val="1"/>
                <w:szCs w:val="1"/>
                <w:color w:val="auto"/>
              </w:rPr>
            </w:pPr>
          </w:p>
        </w:tc>
      </w:tr>
      <w:tr>
        <w:trPr>
          <w:trHeight w:val="240"/>
        </w:trPr>
        <w:tc>
          <w:tcPr>
            <w:tcW w:w="4440" w:type="dxa"/>
            <w:vAlign w:val="bottom"/>
            <w:vMerge w:val="continue"/>
          </w:tcPr>
          <w:p>
            <w:pPr>
              <w:spacing w:after="0"/>
              <w:rPr>
                <w:sz w:val="20"/>
                <w:szCs w:val="20"/>
                <w:color w:val="auto"/>
              </w:rPr>
            </w:pPr>
          </w:p>
        </w:tc>
        <w:tc>
          <w:tcPr>
            <w:tcW w:w="1380" w:type="dxa"/>
            <w:vAlign w:val="bottom"/>
            <w:tcBorders>
              <w:top w:val="single" w:sz="8" w:color="050505"/>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238,500</w:t>
            </w:r>
          </w:p>
        </w:tc>
        <w:tc>
          <w:tcPr>
            <w:tcW w:w="20" w:type="dxa"/>
            <w:vAlign w:val="bottom"/>
            <w:tcBorders>
              <w:top w:val="single" w:sz="8" w:color="050505"/>
              <w:bottom w:val="single" w:sz="8" w:color="050505"/>
            </w:tcBorders>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80" w:type="dxa"/>
            <w:vAlign w:val="bottom"/>
            <w:tcBorders>
              <w:bottom w:val="single" w:sz="8" w:color="050505"/>
            </w:tcBorders>
          </w:tcPr>
          <w:p>
            <w:pPr>
              <w:spacing w:after="0" w:line="20" w:lineRule="exact"/>
              <w:rPr>
                <w:sz w:val="1"/>
                <w:szCs w:val="1"/>
                <w:color w:val="auto"/>
              </w:rPr>
            </w:pPr>
          </w:p>
        </w:tc>
        <w:tc>
          <w:tcPr>
            <w:tcW w:w="20" w:type="dxa"/>
            <w:vAlign w:val="bottom"/>
            <w:tcBorders>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-234315</wp:posOffset>
            </wp:positionV>
            <wp:extent cx="911225"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1">
                      <a:extLst>
                        <a:ext uri="{28A0092B-C50C-407E-A947-70E740481C1C}"/>
                      </a:extLst>
                    </a:blip>
                    <a:srcRect/>
                    <a:stretch>
                      <a:fillRect/>
                    </a:stretch>
                  </pic:blipFill>
                  <pic:spPr bwMode="auto">
                    <a:xfrm>
                      <a:off x="0" y="0"/>
                      <a:ext cx="911225" cy="5080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-43815</wp:posOffset>
            </wp:positionV>
            <wp:extent cx="91122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2">
                      <a:extLst>
                        <a:ext uri="{28A0092B-C50C-407E-A947-70E740481C1C}"/>
                      </a:extLst>
                    </a:blip>
                    <a:srcRect/>
                    <a:stretch>
                      <a:fillRect/>
                    </a:stretch>
                  </pic:blipFill>
                  <pic:spPr bwMode="auto">
                    <a:xfrm>
                      <a:off x="0" y="0"/>
                      <a:ext cx="911225" cy="50800"/>
                    </a:xfrm>
                    <a:prstGeom prst="rect">
                      <a:avLst/>
                    </a:prstGeom>
                    <a:noFill/>
                  </pic:spPr>
                </pic:pic>
              </a:graphicData>
            </a:graphic>
          </wp:anchor>
        </w:drawing>
      </w:r>
    </w:p>
    <w:p>
      <w:pPr>
        <w:spacing w:after="0" w:line="108" w:lineRule="exact"/>
        <w:rPr>
          <w:sz w:val="20"/>
          <w:szCs w:val="20"/>
          <w:color w:val="auto"/>
        </w:rPr>
      </w:pPr>
    </w:p>
    <w:p>
      <w:pPr>
        <w:ind w:right="260" w:firstLine="720"/>
        <w:spacing w:after="0" w:line="255" w:lineRule="auto"/>
        <w:rPr>
          <w:sz w:val="20"/>
          <w:szCs w:val="20"/>
          <w:color w:val="auto"/>
        </w:rPr>
      </w:pPr>
      <w:r>
        <w:rPr>
          <w:rFonts w:ascii="Times New Roman" w:cs="Times New Roman" w:eastAsia="Times New Roman" w:hAnsi="Times New Roman"/>
          <w:sz w:val="20"/>
          <w:szCs w:val="20"/>
          <w:color w:val="050505"/>
        </w:rPr>
        <w:t>For the year ended December 31, 2025, the Company granted 2,433,312 performance-based restricted stock units to certain executive officers and other employees pursuant to the 2018 Plan. These awards are subject to the holders' continuous service to the Company through each applicable vesting event. Through December 31, 2025, the Company believes that the achievement of the requisite performance conditions for these awards are not probable. As a result, no compensation expense has been recognized related to the performance-based restricted stock units in the year ended December 31, 2025. The Company recognized $0.1 million and $2.4 million in stock-based compensation expense related to the restricted units with a market condition for the years ended December 31, 2025 and 2024, respectively.</w:t>
      </w:r>
    </w:p>
    <w:p>
      <w:pPr>
        <w:spacing w:after="0" w:line="90"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050505"/>
        </w:rPr>
        <w:t>For the years ended December 31, 2025 and 2024, total fair value of vested restricted stock units, performance based restricted stock units and restricted stock units with a market condition as of their grant dates was $19.5 million and $20.6 million, respectively. As of December 31, 2025 and 2024, there was $19.4 million and $33.7 million, respectively, of unrecognized stock-based compensation which is expected to be recognized over a weighted average period of 2.39 years and 2.10 years, respectively.</w:t>
      </w:r>
    </w:p>
    <w:p>
      <w:pPr>
        <w:spacing w:after="0" w:line="84" w:lineRule="exact"/>
        <w:rPr>
          <w:sz w:val="20"/>
          <w:szCs w:val="20"/>
          <w:color w:val="auto"/>
        </w:rPr>
      </w:pPr>
    </w:p>
    <w:p>
      <w:pPr>
        <w:ind w:right="240" w:firstLine="720"/>
        <w:spacing w:after="0" w:line="255" w:lineRule="auto"/>
        <w:rPr>
          <w:sz w:val="20"/>
          <w:szCs w:val="20"/>
          <w:color w:val="auto"/>
        </w:rPr>
      </w:pPr>
      <w:r>
        <w:rPr>
          <w:rFonts w:ascii="Times New Roman" w:cs="Times New Roman" w:eastAsia="Times New Roman" w:hAnsi="Times New Roman"/>
          <w:sz w:val="20"/>
          <w:szCs w:val="20"/>
          <w:color w:val="050505"/>
        </w:rPr>
        <w:t>Awards granted to members of the Company’s Board of Directors includes restricted stock units. Effective April 11, 2025, non-employee directors may elect to defer receipt of their vested restricted stock units. Directors who make a deferral election will have no rights as stockholders of the Company with respect to amounts deferred. The restricted stock units deferred will be released on the 30th day following the director's separation from service or on the date of a Section 409A Change of Control, which ever is earlier. Certain members of the Board of Directors have elected to defer receipt of their awards and the total number of vested and unreleased deferred restricted stock units held by the non-employee directors was 238,500 as of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Employee Stock Purchase Plan</w:t>
      </w:r>
    </w:p>
    <w:p>
      <w:pPr>
        <w:spacing w:after="0" w:line="139"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050505"/>
        </w:rPr>
        <w:t>In October 2018, the stockholders approved the 2018 Employee Stock Purchase Plan (ESPP), which initially reserved 1,160,000 shares of the Company's common stock for employee purchases under terms and provisions established by the Board of Directors. Effective January 1, 2025 and 2024, the number of shares authorized under the ESPP for employee purchases increased by 2,122,105 and 1,686,422 shares, respectively. The ESPP is intended to qualify as an "employee stock purchase plan" under Section 423 of the Internal Revenue Code. Under the current offering adopted pursuant to the ESPP, each offering period is approximately 24 months, which is generally divided into four purchase periods of approximately six months.</w:t>
      </w:r>
    </w:p>
    <w:p>
      <w:pPr>
        <w:spacing w:after="0" w:line="74" w:lineRule="exact"/>
        <w:rPr>
          <w:sz w:val="20"/>
          <w:szCs w:val="20"/>
          <w:color w:val="auto"/>
        </w:rPr>
      </w:pPr>
    </w:p>
    <w:p>
      <w:pPr>
        <w:jc w:val="both"/>
        <w:ind w:right="40" w:firstLine="720"/>
        <w:spacing w:after="0" w:line="271" w:lineRule="auto"/>
        <w:rPr>
          <w:sz w:val="20"/>
          <w:szCs w:val="20"/>
          <w:color w:val="auto"/>
        </w:rPr>
      </w:pPr>
      <w:r>
        <w:rPr>
          <w:rFonts w:ascii="Times New Roman" w:cs="Times New Roman" w:eastAsia="Times New Roman" w:hAnsi="Times New Roman"/>
          <w:sz w:val="19"/>
          <w:szCs w:val="19"/>
          <w:color w:val="050505"/>
        </w:rPr>
        <w:t>Employees are eligible to participate if they are employed by the Company. Under the ESPP, employees may purchase common stock through payroll deductions at a price equal to 85% of the lower of the fair market value of common stock on the first trading day of each offering period or on the purchase date. The ESPP provides for consecutive, overlapping 24-</w:t>
      </w:r>
    </w:p>
    <w:p>
      <w:pPr>
        <w:ind w:right="220"/>
        <w:spacing w:after="0" w:line="253" w:lineRule="auto"/>
        <w:rPr>
          <w:sz w:val="20"/>
          <w:szCs w:val="20"/>
          <w:color w:val="auto"/>
        </w:rPr>
      </w:pPr>
      <w:r>
        <w:rPr>
          <w:rFonts w:ascii="Times New Roman" w:cs="Times New Roman" w:eastAsia="Times New Roman" w:hAnsi="Times New Roman"/>
          <w:sz w:val="20"/>
          <w:szCs w:val="20"/>
          <w:color w:val="050505"/>
        </w:rPr>
        <w:t>month offering periods. The offering periods are scheduled to start on the first trading day on or after March 16 or September 16 of each year, except for the first offering period which commenced on October 11, 2018, the first trading day after the effective date of the Company’s registration statement. Contributions under the ESPP are limited to a maximum of 15% of an employee’s eligible compensation.</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131</w:t>
      </w:r>
    </w:p>
    <w:p>
      <w:pPr>
        <w:sectPr>
          <w:pgSz w:w="12240" w:h="15840" w:orient="portrait"/>
          <w:cols w:equalWidth="0" w:num="1">
            <w:col w:w="10260"/>
          </w:cols>
          <w:pgMar w:left="1000" w:top="784" w:right="980" w:bottom="0" w:gutter="0" w:footer="0" w:header="0"/>
          <w:type w:val="continuous"/>
        </w:sectPr>
      </w:pPr>
    </w:p>
    <w:bookmarkStart w:id="135" w:name="page136"/>
    <w:bookmarkEnd w:id="135"/>
    <w:p>
      <w:pPr>
        <w:ind w:left="720"/>
        <w:spacing w:after="0"/>
        <w:rPr>
          <w:sz w:val="20"/>
          <w:szCs w:val="20"/>
          <w:color w:val="auto"/>
        </w:rPr>
      </w:pPr>
      <w:r>
        <w:rPr>
          <w:rFonts w:ascii="Times New Roman" w:cs="Times New Roman" w:eastAsia="Times New Roman" w:hAnsi="Times New Roman"/>
          <w:sz w:val="20"/>
          <w:szCs w:val="20"/>
          <w:color w:val="050505"/>
        </w:rPr>
        <w:t>The fair values of the rights granted under the ESPP were calculated using the following assumptions: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420" w:type="dxa"/>
            <w:vAlign w:val="bottom"/>
          </w:tcPr>
          <w:p>
            <w:pPr>
              <w:spacing w:after="0"/>
              <w:rPr>
                <w:sz w:val="23"/>
                <w:szCs w:val="23"/>
                <w:color w:val="auto"/>
              </w:rPr>
            </w:pPr>
          </w:p>
        </w:tc>
        <w:tc>
          <w:tcPr>
            <w:tcW w:w="3800" w:type="dxa"/>
            <w:vAlign w:val="bottom"/>
            <w:tcBorders>
              <w:bottom w:val="single" w:sz="8" w:color="050505"/>
            </w:tcBorders>
            <w:gridSpan w:val="4"/>
          </w:tcPr>
          <w:p>
            <w:pPr>
              <w:ind w:left="80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r>
      <w:tr>
        <w:trPr>
          <w:trHeight w:val="265"/>
        </w:trPr>
        <w:tc>
          <w:tcPr>
            <w:tcW w:w="6420" w:type="dxa"/>
            <w:vAlign w:val="bottom"/>
          </w:tcPr>
          <w:p>
            <w:pPr>
              <w:spacing w:after="0"/>
              <w:rPr>
                <w:sz w:val="23"/>
                <w:szCs w:val="23"/>
                <w:color w:val="auto"/>
              </w:rPr>
            </w:pPr>
          </w:p>
        </w:tc>
        <w:tc>
          <w:tcPr>
            <w:tcW w:w="18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b w:val="1"/>
                <w:bCs w:val="1"/>
                <w:color w:val="050505"/>
                <w:w w:val="99"/>
              </w:rPr>
              <w:t>2025</w:t>
            </w:r>
          </w:p>
        </w:tc>
        <w:tc>
          <w:tcPr>
            <w:tcW w:w="80" w:type="dxa"/>
            <w:vAlign w:val="bottom"/>
          </w:tcPr>
          <w:p>
            <w:pPr>
              <w:spacing w:after="0"/>
              <w:rPr>
                <w:sz w:val="23"/>
                <w:szCs w:val="23"/>
                <w:color w:val="auto"/>
              </w:rPr>
            </w:pPr>
          </w:p>
        </w:tc>
        <w:tc>
          <w:tcPr>
            <w:tcW w:w="1860" w:type="dxa"/>
            <w:vAlign w:val="bottom"/>
            <w:tcBorders>
              <w:bottom w:val="single" w:sz="8" w:color="050505"/>
            </w:tcBorders>
            <w:gridSpan w:val="2"/>
          </w:tcPr>
          <w:p>
            <w:pPr>
              <w:jc w:val="right"/>
              <w:ind w:right="64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6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050505"/>
              </w:rPr>
              <w:t>Expected term (in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0.50 – 2.00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0.50</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2.00</w:t>
            </w:r>
          </w:p>
        </w:tc>
      </w:tr>
      <w:tr>
        <w:trPr>
          <w:trHeight w:val="28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050505"/>
              </w:rPr>
              <w:t>Volatility</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80.44% – 106.07%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76.16%</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88.69%</w:t>
            </w:r>
          </w:p>
        </w:tc>
      </w:tr>
      <w:tr>
        <w:trPr>
          <w:trHeight w:val="28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050505"/>
              </w:rPr>
              <w:t>Risk-free interest rate</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3.51% – 4.20%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3.49%</w:t>
            </w:r>
          </w:p>
        </w:tc>
        <w:tc>
          <w:tcPr>
            <w:tcW w:w="1020" w:type="dxa"/>
            <w:vAlign w:val="bottom"/>
          </w:tcPr>
          <w:p>
            <w:pPr>
              <w:ind w:left="40"/>
              <w:spacing w:after="0"/>
              <w:rPr>
                <w:sz w:val="20"/>
                <w:szCs w:val="20"/>
                <w:color w:val="auto"/>
              </w:rPr>
            </w:pPr>
            <w:r>
              <w:rPr>
                <w:rFonts w:ascii="Times New Roman" w:cs="Times New Roman" w:eastAsia="Times New Roman" w:hAnsi="Times New Roman"/>
                <w:sz w:val="20"/>
                <w:szCs w:val="20"/>
                <w:color w:val="050505"/>
              </w:rPr>
              <w:t>– 5.25%</w:t>
            </w:r>
          </w:p>
        </w:tc>
      </w:tr>
      <w:tr>
        <w:trPr>
          <w:trHeight w:val="285"/>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050505"/>
              </w:rPr>
              <w:t>Dividend yield</w:t>
            </w:r>
          </w:p>
        </w:tc>
        <w:tc>
          <w:tcPr>
            <w:tcW w:w="1860" w:type="dxa"/>
            <w:vAlign w:val="bottom"/>
          </w:tcPr>
          <w:p>
            <w:pPr>
              <w:ind w:left="820"/>
              <w:spacing w:after="0"/>
              <w:rPr>
                <w:sz w:val="20"/>
                <w:szCs w:val="20"/>
                <w:color w:val="auto"/>
              </w:rPr>
            </w:pPr>
            <w:r>
              <w:rPr>
                <w:rFonts w:ascii="Times New Roman" w:cs="Times New Roman" w:eastAsia="Times New Roman" w:hAnsi="Times New Roman"/>
                <w:sz w:val="20"/>
                <w:szCs w:val="20"/>
                <w:color w:val="050505"/>
              </w:rPr>
              <w:t>0%</w:t>
            </w:r>
          </w:p>
        </w:tc>
        <w:tc>
          <w:tcPr>
            <w:tcW w:w="1940" w:type="dxa"/>
            <w:vAlign w:val="bottom"/>
            <w:gridSpan w:val="3"/>
          </w:tcPr>
          <w:p>
            <w:pPr>
              <w:jc w:val="right"/>
              <w:ind w:right="680"/>
              <w:spacing w:after="0"/>
              <w:rPr>
                <w:sz w:val="20"/>
                <w:szCs w:val="20"/>
                <w:color w:val="auto"/>
              </w:rPr>
            </w:pPr>
            <w:r>
              <w:rPr>
                <w:rFonts w:ascii="Times New Roman" w:cs="Times New Roman" w:eastAsia="Times New Roman" w:hAnsi="Times New Roman"/>
                <w:sz w:val="20"/>
                <w:szCs w:val="20"/>
                <w:color w:val="050505"/>
              </w:rPr>
              <w:t>0%</w:t>
            </w: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Stock-based compensation expense</w:t>
      </w:r>
    </w:p>
    <w:p>
      <w:pPr>
        <w:spacing w:after="0" w:line="139" w:lineRule="exact"/>
        <w:rPr>
          <w:sz w:val="20"/>
          <w:szCs w:val="20"/>
          <w:color w:val="auto"/>
        </w:rPr>
      </w:pPr>
    </w:p>
    <w:p>
      <w:pPr>
        <w:ind w:right="400" w:firstLine="720"/>
        <w:spacing w:after="0" w:line="286" w:lineRule="auto"/>
        <w:rPr>
          <w:sz w:val="20"/>
          <w:szCs w:val="20"/>
          <w:color w:val="auto"/>
        </w:rPr>
      </w:pPr>
      <w:r>
        <w:rPr>
          <w:rFonts w:ascii="Times New Roman" w:cs="Times New Roman" w:eastAsia="Times New Roman" w:hAnsi="Times New Roman"/>
          <w:sz w:val="19"/>
          <w:szCs w:val="19"/>
          <w:color w:val="050505"/>
        </w:rPr>
        <w:t>For the years ended December 31, 2025 and 2024, the following table presents stock-based compensation expense related to stock options, restricted stock units, and employee stock purchase plans that was recorded as research and development and general and administrative expense in its consolidated statements of operations and comprehensive loss: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560" w:type="dxa"/>
            <w:vAlign w:val="bottom"/>
          </w:tcPr>
          <w:p>
            <w:pPr>
              <w:spacing w:after="0"/>
              <w:rPr>
                <w:sz w:val="23"/>
                <w:szCs w:val="23"/>
                <w:color w:val="auto"/>
              </w:rPr>
            </w:pPr>
          </w:p>
        </w:tc>
        <w:tc>
          <w:tcPr>
            <w:tcW w:w="2980" w:type="dxa"/>
            <w:vAlign w:val="bottom"/>
            <w:tcBorders>
              <w:bottom w:val="single" w:sz="8" w:color="050505"/>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680" w:type="dxa"/>
            <w:vAlign w:val="bottom"/>
            <w:tcBorders>
              <w:bottom w:val="single" w:sz="8" w:color="050505"/>
            </w:tcBorders>
          </w:tcPr>
          <w:p>
            <w:pPr>
              <w:spacing w:after="0"/>
              <w:rPr>
                <w:sz w:val="23"/>
                <w:szCs w:val="23"/>
                <w:color w:val="auto"/>
              </w:rPr>
            </w:pPr>
          </w:p>
        </w:tc>
      </w:tr>
      <w:tr>
        <w:trPr>
          <w:trHeight w:val="280"/>
        </w:trPr>
        <w:tc>
          <w:tcPr>
            <w:tcW w:w="6560" w:type="dxa"/>
            <w:vAlign w:val="bottom"/>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80" w:type="dxa"/>
            <w:vAlign w:val="bottom"/>
            <w:tcBorders>
              <w:bottom w:val="single" w:sz="8" w:color="050505"/>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680" w:type="dxa"/>
            <w:vAlign w:val="bottom"/>
            <w:tcBorders>
              <w:bottom w:val="single" w:sz="8" w:color="050505"/>
            </w:tcBorders>
          </w:tcPr>
          <w:p>
            <w:pPr>
              <w:spacing w:after="0"/>
              <w:rPr>
                <w:sz w:val="24"/>
                <w:szCs w:val="24"/>
                <w:color w:val="auto"/>
              </w:rPr>
            </w:pPr>
          </w:p>
        </w:tc>
      </w:tr>
      <w:tr>
        <w:trPr>
          <w:trHeight w:val="277"/>
        </w:trPr>
        <w:tc>
          <w:tcPr>
            <w:tcW w:w="6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680" w:type="dxa"/>
            <w:vAlign w:val="bottom"/>
          </w:tcPr>
          <w:p>
            <w:pPr>
              <w:spacing w:after="0"/>
              <w:rPr>
                <w:sz w:val="24"/>
                <w:szCs w:val="24"/>
                <w:color w:val="auto"/>
              </w:rPr>
            </w:pPr>
          </w:p>
        </w:tc>
      </w:tr>
      <w:tr>
        <w:trPr>
          <w:trHeight w:val="30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050505"/>
              </w:rPr>
              <w:t>Research and development</w:t>
            </w:r>
          </w:p>
        </w:tc>
        <w:tc>
          <w:tcPr>
            <w:tcW w:w="112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12,908</w:t>
            </w: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20,421</w:t>
            </w:r>
          </w:p>
        </w:tc>
      </w:tr>
      <w:tr>
        <w:trPr>
          <w:trHeight w:val="318"/>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050505"/>
              </w:rPr>
              <w:t>General and administrative</w:t>
            </w:r>
          </w:p>
        </w:tc>
        <w:tc>
          <w:tcPr>
            <w:tcW w:w="1120" w:type="dxa"/>
            <w:vAlign w:val="bottom"/>
            <w:tcBorders>
              <w:bottom w:val="single" w:sz="8" w:color="050505"/>
            </w:tcBorders>
          </w:tcPr>
          <w:p>
            <w:pPr>
              <w:spacing w:after="0"/>
              <w:rPr>
                <w:sz w:val="24"/>
                <w:szCs w:val="24"/>
                <w:color w:val="auto"/>
              </w:rPr>
            </w:pPr>
          </w:p>
        </w:tc>
        <w:tc>
          <w:tcPr>
            <w:tcW w:w="6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24,733</w:t>
            </w:r>
          </w:p>
        </w:tc>
        <w:tc>
          <w:tcPr>
            <w:tcW w:w="60" w:type="dxa"/>
            <w:vAlign w:val="bottom"/>
          </w:tcPr>
          <w:p>
            <w:pPr>
              <w:spacing w:after="0"/>
              <w:rPr>
                <w:sz w:val="24"/>
                <w:szCs w:val="24"/>
                <w:color w:val="auto"/>
              </w:rPr>
            </w:pPr>
          </w:p>
        </w:tc>
        <w:tc>
          <w:tcPr>
            <w:tcW w:w="1120" w:type="dxa"/>
            <w:vAlign w:val="bottom"/>
            <w:tcBorders>
              <w:bottom w:val="single" w:sz="8" w:color="050505"/>
            </w:tcBorders>
          </w:tcPr>
          <w:p>
            <w:pPr>
              <w:spacing w:after="0"/>
              <w:rPr>
                <w:sz w:val="24"/>
                <w:szCs w:val="24"/>
                <w:color w:val="auto"/>
              </w:rPr>
            </w:pPr>
          </w:p>
        </w:tc>
        <w:tc>
          <w:tcPr>
            <w:tcW w:w="6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31,322</w:t>
            </w:r>
          </w:p>
        </w:tc>
      </w:tr>
      <w:tr>
        <w:trPr>
          <w:trHeight w:val="275"/>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050505"/>
              </w:rPr>
              <w:t>Total stock-based compensation</w:t>
            </w:r>
          </w:p>
        </w:tc>
        <w:tc>
          <w:tcPr>
            <w:tcW w:w="112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37,641</w:t>
            </w:r>
          </w:p>
        </w:tc>
        <w:tc>
          <w:tcPr>
            <w:tcW w:w="1180" w:type="dxa"/>
            <w:vAlign w:val="bottom"/>
            <w:gridSpan w:val="2"/>
          </w:tcPr>
          <w:p>
            <w:pPr>
              <w:jc w:val="right"/>
              <w:ind w:right="880"/>
              <w:spacing w:after="0"/>
              <w:rPr>
                <w:sz w:val="20"/>
                <w:szCs w:val="20"/>
                <w:color w:val="auto"/>
              </w:rPr>
            </w:pPr>
            <w:r>
              <w:rPr>
                <w:rFonts w:ascii="Times New Roman" w:cs="Times New Roman" w:eastAsia="Times New Roman" w:hAnsi="Times New Roman"/>
                <w:sz w:val="20"/>
                <w:szCs w:val="20"/>
                <w:color w:val="05050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51,743</w:t>
            </w:r>
          </w:p>
        </w:tc>
      </w:tr>
      <w:tr>
        <w:trPr>
          <w:trHeight w:val="20"/>
        </w:trPr>
        <w:tc>
          <w:tcPr>
            <w:tcW w:w="6560" w:type="dxa"/>
            <w:vAlign w:val="bottom"/>
          </w:tcPr>
          <w:p>
            <w:pPr>
              <w:spacing w:after="0" w:line="20" w:lineRule="exact"/>
              <w:rPr>
                <w:sz w:val="1"/>
                <w:szCs w:val="1"/>
                <w:color w:val="auto"/>
              </w:rPr>
            </w:pPr>
          </w:p>
        </w:tc>
        <w:tc>
          <w:tcPr>
            <w:tcW w:w="1120" w:type="dxa"/>
            <w:vAlign w:val="bottom"/>
            <w:tcBorders>
              <w:top w:val="single" w:sz="8" w:color="050505"/>
              <w:bottom w:val="single" w:sz="8" w:color="050505"/>
            </w:tcBorders>
          </w:tcPr>
          <w:p>
            <w:pPr>
              <w:spacing w:after="0" w:line="20" w:lineRule="exact"/>
              <w:rPr>
                <w:sz w:val="1"/>
                <w:szCs w:val="1"/>
                <w:color w:val="auto"/>
              </w:rPr>
            </w:pPr>
          </w:p>
        </w:tc>
        <w:tc>
          <w:tcPr>
            <w:tcW w:w="6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050505"/>
              <w:bottom w:val="single" w:sz="8" w:color="050505"/>
            </w:tcBorders>
          </w:tcPr>
          <w:p>
            <w:pPr>
              <w:spacing w:after="0" w:line="20" w:lineRule="exact"/>
              <w:rPr>
                <w:sz w:val="1"/>
                <w:szCs w:val="1"/>
                <w:color w:val="auto"/>
              </w:rPr>
            </w:pPr>
          </w:p>
        </w:tc>
        <w:tc>
          <w:tcPr>
            <w:tcW w:w="68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-621665</wp:posOffset>
            </wp:positionV>
            <wp:extent cx="6540500" cy="215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73">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-231140</wp:posOffset>
            </wp:positionV>
            <wp:extent cx="6540500" cy="238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4">
                      <a:extLst>
                        <a:ext uri="{28A0092B-C50C-407E-A947-70E740481C1C}"/>
                      </a:extLst>
                    </a:blip>
                    <a:srcRect/>
                    <a:stretch>
                      <a:fillRect/>
                    </a:stretch>
                  </pic:blipFill>
                  <pic:spPr bwMode="auto">
                    <a:xfrm>
                      <a:off x="0" y="0"/>
                      <a:ext cx="6540500" cy="23812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10. Related Party Transactions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Collaboration Revenue and Equity Method Investment</w:t>
      </w:r>
    </w:p>
    <w:p>
      <w:pPr>
        <w:spacing w:after="0" w:line="139"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19"/>
          <w:szCs w:val="19"/>
          <w:color w:val="050505"/>
        </w:rPr>
        <w:t>In December 2020, the Company entered into the License Agreement with Overland Therapeutics, a corporate joint venture entity and related party (refer to Note 6). The License Agreement was subsequently assigned to a wholly owned subsidiary of Allogene Overland, Allogene Overland HK. On April 1, 2022, Allogene Overland HK assigned the License Agreement to Allogene Overland Biopharm (PRC) Co., Limited. On May 24, 2024, the License Agreement was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Consulting Agreements</w:t>
      </w:r>
    </w:p>
    <w:p>
      <w:pPr>
        <w:spacing w:after="0" w:line="139"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050505"/>
        </w:rPr>
        <w:t>In August 2018, the Company entered into a consulting agreement with Bellco Capital LLC (Bellco). Pursuant to the consulting agreement, Bellco provides certain services for the Company, which are performed by Dr. Belldegrun, the Company's executive chair, and include without limitation, providing advice and analysis with respect to the Company’s business, business strategy and potential opportunities in the field of allogeneic CAR T cell therapy and any other aspect of the CAR T cell therapy business as the Company may agree. In consideration for these services, the Company paid Bellco $38,583 per month in arrears commencing January 2021 and $40,217 per month in arrears commencing January 2022. The Company may also, at its discretion, pay Bellco an annual performance award in an amount up to 60% of the aggregate compensation payable to Bellco in a calendar year. The Company also reimburses Bellco for out of pocket expenses incurred in performing the services. The costs incurred for services provided, bonus and out-of-pocket expenses incurred under this consulting agreement were $0.8 million and $0.7 million for the years ended December 31, 2025 and 2024, respectively.</w:t>
      </w:r>
    </w:p>
    <w:p>
      <w:pPr>
        <w:spacing w:after="0" w:line="96" w:lineRule="exact"/>
        <w:rPr>
          <w:sz w:val="20"/>
          <w:szCs w:val="20"/>
          <w:color w:val="auto"/>
        </w:rPr>
      </w:pPr>
    </w:p>
    <w:p>
      <w:pPr>
        <w:ind w:right="360" w:firstLine="720"/>
        <w:spacing w:after="0" w:line="281" w:lineRule="auto"/>
        <w:rPr>
          <w:sz w:val="20"/>
          <w:szCs w:val="20"/>
          <w:color w:val="auto"/>
        </w:rPr>
      </w:pPr>
      <w:r>
        <w:rPr>
          <w:rFonts w:ascii="Times New Roman" w:cs="Times New Roman" w:eastAsia="Times New Roman" w:hAnsi="Times New Roman"/>
          <w:sz w:val="20"/>
          <w:szCs w:val="20"/>
          <w:color w:val="050505"/>
        </w:rPr>
        <w:t>As of December 31, 2025 and 2024, the amounts due to Bellco of $0.3 million and $0.2 million, respectively, were recorded in accrued and other current liabilities in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50505"/>
        </w:rPr>
        <w:t>Sublease Agreements</w:t>
      </w:r>
    </w:p>
    <w:p>
      <w:pPr>
        <w:spacing w:after="0" w:line="139"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050505"/>
        </w:rPr>
        <w:t>In December 2018, the Company entered into a sublease with Bellco Capital LLC (Bellco) for 1,293 square feet of office space in Los Angeles, California for a three year term. On April 1, 2020, Bellco assumed all rights, title, interests and obligations under the sublease from Bellco. In November 2021, the sublease was extended to June 30, 2025. The sublease was amended, effective in July 2022, to move to a nearby location, with office space of 737 square feet. The Company’s executive chairman, Arie Belldegrun, M.D., is a trustee of the Belldegrun Family Trust, which controls Bellco. In 2023, the Company exercised its early termination right under the sublease agreement and the sublease was terminated effective December 31, 2023.</w:t>
      </w:r>
    </w:p>
    <w:p>
      <w:pPr>
        <w:spacing w:after="0" w:line="90" w:lineRule="exact"/>
        <w:rPr>
          <w:sz w:val="20"/>
          <w:szCs w:val="20"/>
          <w:color w:val="auto"/>
        </w:rPr>
      </w:pPr>
    </w:p>
    <w:p>
      <w:pPr>
        <w:ind w:right="80" w:firstLine="720"/>
        <w:spacing w:after="0" w:line="286" w:lineRule="auto"/>
        <w:rPr>
          <w:sz w:val="20"/>
          <w:szCs w:val="20"/>
          <w:color w:val="auto"/>
        </w:rPr>
      </w:pPr>
      <w:r>
        <w:rPr>
          <w:rFonts w:ascii="Times New Roman" w:cs="Times New Roman" w:eastAsia="Times New Roman" w:hAnsi="Times New Roman"/>
          <w:sz w:val="19"/>
          <w:szCs w:val="19"/>
          <w:color w:val="050505"/>
        </w:rPr>
        <w:t>In February 2023, the Company entered into a new subleased agreement with Bellco for 2,218 square feet of office space in Los Angeles, California, from Bellco. The sublease term is 115 months, subject to certain early termination rights. The sublease commenced on January 1, 2024. The total right of use asset and associated liability recorded related to this related</w:t>
      </w:r>
    </w:p>
    <w:p>
      <w:pPr>
        <w:sectPr>
          <w:pgSz w:w="12240" w:h="15840" w:orient="portrait"/>
          <w:cols w:equalWidth="0" w:num="1">
            <w:col w:w="10260"/>
          </w:cols>
          <w:pgMar w:left="1000" w:top="793" w:right="98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132</w:t>
      </w:r>
    </w:p>
    <w:p>
      <w:pPr>
        <w:sectPr>
          <w:pgSz w:w="12240" w:h="15840" w:orient="portrait"/>
          <w:cols w:equalWidth="0" w:num="1">
            <w:col w:w="10260"/>
          </w:cols>
          <w:pgMar w:left="1000" w:top="793" w:right="980" w:bottom="0" w:gutter="0" w:footer="0" w:header="0"/>
          <w:type w:val="continuous"/>
        </w:sectPr>
      </w:pPr>
    </w:p>
    <w:bookmarkStart w:id="136" w:name="page137"/>
    <w:bookmarkEnd w:id="136"/>
    <w:p>
      <w:pPr>
        <w:ind w:right="540"/>
        <w:spacing w:after="0" w:line="266" w:lineRule="auto"/>
        <w:rPr>
          <w:sz w:val="20"/>
          <w:szCs w:val="20"/>
          <w:color w:val="auto"/>
        </w:rPr>
      </w:pPr>
      <w:r>
        <w:rPr>
          <w:rFonts w:ascii="Times New Roman" w:cs="Times New Roman" w:eastAsia="Times New Roman" w:hAnsi="Times New Roman"/>
          <w:sz w:val="20"/>
          <w:szCs w:val="20"/>
          <w:color w:val="050505"/>
        </w:rPr>
        <w:t>party lease was $2.0 million and $2.3 million, respectively, as of December 31, 2025. The Company paid approximately $0.2 million towards its share of the security deposit. For the year ended December 31, 2025, the Company recorded $0.4 million of rent expense related to this lease.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11. 401(k) Plan</w:t>
      </w:r>
    </w:p>
    <w:p>
      <w:pPr>
        <w:spacing w:after="0" w:line="137"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050505"/>
        </w:rPr>
        <w:t>In April 2018, the Company began to sponsor a 401(k) retirement savings plan for the benefit of its employees. All employees are eligible to participate, provided they meet the requirements of the plan. The Company made contributions to the plan for eligible participants, and recorded contribution expenses of $1.6 million and $1.9 million for the years ended December 31, 2025 and 2024,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12. Income Taxes</w:t>
      </w:r>
    </w:p>
    <w:p>
      <w:pPr>
        <w:spacing w:after="0" w:line="137" w:lineRule="exact"/>
        <w:rPr>
          <w:sz w:val="20"/>
          <w:szCs w:val="20"/>
          <w:color w:val="auto"/>
        </w:rPr>
      </w:pPr>
    </w:p>
    <w:p>
      <w:pPr>
        <w:ind w:right="520" w:firstLine="720"/>
        <w:spacing w:after="0" w:line="281" w:lineRule="auto"/>
        <w:rPr>
          <w:sz w:val="20"/>
          <w:szCs w:val="20"/>
          <w:color w:val="auto"/>
        </w:rPr>
      </w:pPr>
      <w:r>
        <w:rPr>
          <w:rFonts w:ascii="Times New Roman" w:cs="Times New Roman" w:eastAsia="Times New Roman" w:hAnsi="Times New Roman"/>
          <w:sz w:val="20"/>
          <w:szCs w:val="20"/>
          <w:color w:val="050505"/>
        </w:rPr>
        <w:t>The Company has incurred net operating losses for all the periods presented. The Company has not recorded any benefit of such net operating loss carryforwards in the accompanying consolidated financial statements.</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Income (loss) before provision for income taxes for each of the fiscal periods presented is summarized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2780" w:type="dxa"/>
            <w:vAlign w:val="bottom"/>
            <w:tcBorders>
              <w:bottom w:val="single" w:sz="8" w:color="050505"/>
            </w:tcBorders>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0" w:type="dxa"/>
            <w:vAlign w:val="bottom"/>
          </w:tcPr>
          <w:p>
            <w:pPr>
              <w:spacing w:after="0"/>
              <w:rPr>
                <w:sz w:val="1"/>
                <w:szCs w:val="1"/>
                <w:color w:val="auto"/>
              </w:rPr>
            </w:pPr>
          </w:p>
        </w:tc>
      </w:tr>
      <w:tr>
        <w:trPr>
          <w:trHeight w:val="295"/>
        </w:trPr>
        <w:tc>
          <w:tcPr>
            <w:tcW w:w="7160" w:type="dxa"/>
            <w:vAlign w:val="bottom"/>
          </w:tcPr>
          <w:p>
            <w:pPr>
              <w:spacing w:after="0"/>
              <w:rPr>
                <w:sz w:val="24"/>
                <w:szCs w:val="24"/>
                <w:color w:val="auto"/>
              </w:rPr>
            </w:pP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0" w:type="dxa"/>
            <w:vAlign w:val="bottom"/>
          </w:tcPr>
          <w:p>
            <w:pPr>
              <w:spacing w:after="0"/>
              <w:rPr>
                <w:sz w:val="1"/>
                <w:szCs w:val="1"/>
                <w:color w:val="auto"/>
              </w:rPr>
            </w:pPr>
          </w:p>
        </w:tc>
      </w:tr>
      <w:tr>
        <w:trPr>
          <w:trHeight w:val="292"/>
        </w:trPr>
        <w:tc>
          <w:tcPr>
            <w:tcW w:w="7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82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0" w:type="dxa"/>
            <w:vAlign w:val="bottom"/>
          </w:tcPr>
          <w:p>
            <w:pPr>
              <w:spacing w:after="0"/>
              <w:rPr>
                <w:sz w:val="1"/>
                <w:szCs w:val="1"/>
                <w:color w:val="auto"/>
              </w:rPr>
            </w:pPr>
          </w:p>
        </w:tc>
      </w:tr>
      <w:tr>
        <w:trPr>
          <w:trHeight w:val="31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Domestic</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(257,147)</w:t>
            </w:r>
          </w:p>
        </w:tc>
        <w:tc>
          <w:tcPr>
            <w:tcW w:w="0" w:type="dxa"/>
            <w:vAlign w:val="bottom"/>
          </w:tcPr>
          <w:p>
            <w:pPr>
              <w:spacing w:after="0"/>
              <w:rPr>
                <w:sz w:val="1"/>
                <w:szCs w:val="1"/>
                <w:color w:val="auto"/>
              </w:rPr>
            </w:pPr>
          </w:p>
        </w:tc>
      </w:tr>
      <w:tr>
        <w:trPr>
          <w:trHeight w:val="318"/>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Foreign</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0" w:type="dxa"/>
            <w:vAlign w:val="bottom"/>
          </w:tcPr>
          <w:p>
            <w:pPr>
              <w:spacing w:after="0"/>
              <w:rPr>
                <w:sz w:val="1"/>
                <w:szCs w:val="1"/>
                <w:color w:val="auto"/>
              </w:rPr>
            </w:pPr>
          </w:p>
        </w:tc>
      </w:tr>
      <w:tr>
        <w:trPr>
          <w:trHeight w:val="27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Loss before provision for income taxes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(257,147)</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50505"/>
              </w:rPr>
              <w:t>The Company's income tax expense consists of the following:</w:t>
            </w:r>
          </w:p>
        </w:tc>
        <w:tc>
          <w:tcPr>
            <w:tcW w:w="280" w:type="dxa"/>
            <w:vAlign w:val="bottom"/>
            <w:tcBorders>
              <w:top w:val="single" w:sz="8" w:color="050505"/>
              <w:bottom w:val="single" w:sz="8" w:color="050505"/>
            </w:tcBorders>
          </w:tcPr>
          <w:p>
            <w:pPr>
              <w:spacing w:after="0" w:line="20" w:lineRule="exact"/>
              <w:rPr>
                <w:sz w:val="1"/>
                <w:szCs w:val="1"/>
                <w:color w:val="auto"/>
              </w:rPr>
            </w:pPr>
          </w:p>
        </w:tc>
        <w:tc>
          <w:tcPr>
            <w:tcW w:w="12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16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-878205</wp:posOffset>
            </wp:positionV>
            <wp:extent cx="6540500" cy="6381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5">
                      <a:extLst>
                        <a:ext uri="{28A0092B-C50C-407E-A947-70E740481C1C}"/>
                      </a:extLst>
                    </a:blip>
                    <a:srcRect/>
                    <a:stretch>
                      <a:fillRect/>
                    </a:stretch>
                  </pic:blipFill>
                  <pic:spPr bwMode="auto">
                    <a:xfrm>
                      <a:off x="0" y="0"/>
                      <a:ext cx="6540500" cy="638175"/>
                    </a:xfrm>
                    <a:prstGeom prst="rect">
                      <a:avLst/>
                    </a:prstGeom>
                    <a:noFill/>
                  </pic:spPr>
                </pic:pic>
              </a:graphicData>
            </a:graphic>
          </wp:anchor>
        </w:drawing>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2780" w:type="dxa"/>
            <w:vAlign w:val="bottom"/>
            <w:tcBorders>
              <w:bottom w:val="single" w:sz="8" w:color="050505"/>
            </w:tcBorders>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r>
      <w:tr>
        <w:trPr>
          <w:trHeight w:val="280"/>
        </w:trPr>
        <w:tc>
          <w:tcPr>
            <w:tcW w:w="7160" w:type="dxa"/>
            <w:vAlign w:val="bottom"/>
          </w:tcPr>
          <w:p>
            <w:pPr>
              <w:spacing w:after="0"/>
              <w:rPr>
                <w:sz w:val="24"/>
                <w:szCs w:val="24"/>
                <w:color w:val="auto"/>
              </w:rPr>
            </w:pP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ind w:left="2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337"/>
        </w:trPr>
        <w:tc>
          <w:tcPr>
            <w:tcW w:w="7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Current:</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Federal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30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State</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280"/>
        </w:trPr>
        <w:tc>
          <w:tcPr>
            <w:tcW w:w="7160" w:type="dxa"/>
            <w:vAlign w:val="bottom"/>
          </w:tcPr>
          <w:p>
            <w:pPr>
              <w:spacing w:after="0"/>
              <w:rPr>
                <w:sz w:val="24"/>
                <w:szCs w:val="24"/>
                <w:color w:val="auto"/>
              </w:rPr>
            </w:pP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Deferred:</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Federal</w:t>
            </w:r>
          </w:p>
        </w:tc>
        <w:tc>
          <w:tcPr>
            <w:tcW w:w="280" w:type="dxa"/>
            <w:vAlign w:val="bottom"/>
          </w:tcPr>
          <w:p>
            <w:pPr>
              <w:spacing w:after="0"/>
              <w:rPr>
                <w:sz w:val="24"/>
                <w:szCs w:val="24"/>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443</w:t>
            </w:r>
          </w:p>
        </w:tc>
      </w:tr>
      <w:tr>
        <w:trPr>
          <w:trHeight w:val="30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State</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280"/>
        </w:trPr>
        <w:tc>
          <w:tcPr>
            <w:tcW w:w="7160" w:type="dxa"/>
            <w:vAlign w:val="bottom"/>
          </w:tcPr>
          <w:p>
            <w:pPr>
              <w:spacing w:after="0"/>
              <w:rPr>
                <w:sz w:val="24"/>
                <w:szCs w:val="24"/>
                <w:color w:val="auto"/>
              </w:rPr>
            </w:pP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443</w:t>
            </w: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Provision (benefit) for income taxes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ind w:left="920"/>
              <w:spacing w:after="0"/>
              <w:rPr>
                <w:sz w:val="20"/>
                <w:szCs w:val="20"/>
                <w:color w:val="auto"/>
              </w:rPr>
            </w:pPr>
            <w:r>
              <w:rPr>
                <w:rFonts w:ascii="Times New Roman" w:cs="Times New Roman" w:eastAsia="Times New Roman" w:hAnsi="Times New Roman"/>
                <w:sz w:val="20"/>
                <w:szCs w:val="20"/>
                <w:color w:val="050505"/>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443</w:t>
            </w:r>
          </w:p>
        </w:tc>
      </w:tr>
      <w:tr>
        <w:trPr>
          <w:trHeight w:val="20"/>
        </w:trPr>
        <w:tc>
          <w:tcPr>
            <w:tcW w:w="7160" w:type="dxa"/>
            <w:vAlign w:val="bottom"/>
          </w:tcPr>
          <w:p>
            <w:pPr>
              <w:spacing w:after="0" w:line="20" w:lineRule="exact"/>
              <w:rPr>
                <w:sz w:val="1"/>
                <w:szCs w:val="1"/>
                <w:color w:val="auto"/>
              </w:rPr>
            </w:pPr>
          </w:p>
        </w:tc>
        <w:tc>
          <w:tcPr>
            <w:tcW w:w="280" w:type="dxa"/>
            <w:vAlign w:val="bottom"/>
            <w:tcBorders>
              <w:top w:val="single" w:sz="8" w:color="050505"/>
              <w:bottom w:val="single" w:sz="8" w:color="050505"/>
            </w:tcBorders>
          </w:tcPr>
          <w:p>
            <w:pPr>
              <w:spacing w:after="0" w:line="20" w:lineRule="exact"/>
              <w:rPr>
                <w:sz w:val="1"/>
                <w:szCs w:val="1"/>
                <w:color w:val="auto"/>
              </w:rPr>
            </w:pPr>
          </w:p>
        </w:tc>
        <w:tc>
          <w:tcPr>
            <w:tcW w:w="12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16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6">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133</w:t>
      </w:r>
    </w:p>
    <w:p>
      <w:pPr>
        <w:sectPr>
          <w:pgSz w:w="12240" w:h="15840" w:orient="portrait"/>
          <w:cols w:equalWidth="0" w:num="1">
            <w:col w:w="10260"/>
          </w:cols>
          <w:pgMar w:left="1000" w:top="793" w:right="980" w:bottom="0" w:gutter="0" w:footer="0" w:header="0"/>
          <w:type w:val="continuous"/>
        </w:sectPr>
      </w:pPr>
    </w:p>
    <w:bookmarkStart w:id="137" w:name="page138"/>
    <w:bookmarkEnd w:id="137"/>
    <w:p>
      <w:pPr>
        <w:ind w:right="20" w:firstLine="720"/>
        <w:spacing w:after="0" w:line="265" w:lineRule="auto"/>
        <w:rPr>
          <w:sz w:val="20"/>
          <w:szCs w:val="20"/>
          <w:color w:val="auto"/>
        </w:rPr>
      </w:pPr>
      <w:r>
        <w:rPr>
          <w:rFonts w:ascii="Times New Roman" w:cs="Times New Roman" w:eastAsia="Times New Roman" w:hAnsi="Times New Roman"/>
          <w:sz w:val="20"/>
          <w:szCs w:val="20"/>
          <w:color w:val="050505"/>
        </w:rPr>
        <w:t>Reconciliation of the benefit for income taxes, upon retrospective adoption of ASU 2023-09, calculated at the statutory rate to the Company's benefit for income taxes is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jc w:val="right"/>
              <w:ind w:right="90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1500" w:type="dxa"/>
            <w:vAlign w:val="bottom"/>
          </w:tcPr>
          <w:p>
            <w:pPr>
              <w:spacing w:after="0"/>
              <w:rPr>
                <w:sz w:val="23"/>
                <w:szCs w:val="23"/>
                <w:color w:val="auto"/>
              </w:rPr>
            </w:pPr>
          </w:p>
        </w:tc>
      </w:tr>
      <w:tr>
        <w:trPr>
          <w:trHeight w:val="280"/>
        </w:trPr>
        <w:tc>
          <w:tcPr>
            <w:tcW w:w="3200" w:type="dxa"/>
            <w:vAlign w:val="bottom"/>
          </w:tcPr>
          <w:p>
            <w:pPr>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360" w:type="dxa"/>
            <w:vAlign w:val="bottom"/>
            <w:tcBorders>
              <w:top w:val="single" w:sz="8" w:color="050505"/>
              <w:bottom w:val="single" w:sz="8" w:color="050505"/>
            </w:tcBorders>
          </w:tcPr>
          <w:p>
            <w:pPr>
              <w:spacing w:after="0"/>
              <w:rPr>
                <w:sz w:val="24"/>
                <w:szCs w:val="24"/>
                <w:color w:val="auto"/>
              </w:rPr>
            </w:pPr>
          </w:p>
        </w:tc>
        <w:tc>
          <w:tcPr>
            <w:tcW w:w="1740" w:type="dxa"/>
            <w:vAlign w:val="bottom"/>
            <w:tcBorders>
              <w:top w:val="single" w:sz="8" w:color="050505"/>
              <w:bottom w:val="single" w:sz="8" w:color="050505"/>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1440" w:type="dxa"/>
            <w:vAlign w:val="bottom"/>
            <w:tcBorders>
              <w:top w:val="single" w:sz="8" w:color="050505"/>
              <w:bottom w:val="single" w:sz="8" w:color="050505"/>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050505"/>
              <w:bottom w:val="single" w:sz="8" w:color="050505"/>
            </w:tcBorders>
          </w:tcPr>
          <w:p>
            <w:pPr>
              <w:spacing w:after="0"/>
              <w:rPr>
                <w:sz w:val="24"/>
                <w:szCs w:val="24"/>
                <w:color w:val="auto"/>
              </w:rPr>
            </w:pPr>
          </w:p>
        </w:tc>
        <w:tc>
          <w:tcPr>
            <w:tcW w:w="1560" w:type="dxa"/>
            <w:vAlign w:val="bottom"/>
            <w:tcBorders>
              <w:top w:val="single" w:sz="8" w:color="050505"/>
              <w:bottom w:val="single" w:sz="8" w:color="050505"/>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1500" w:type="dxa"/>
            <w:vAlign w:val="bottom"/>
            <w:tcBorders>
              <w:top w:val="single" w:sz="8" w:color="050505"/>
              <w:bottom w:val="single" w:sz="8" w:color="050505"/>
            </w:tcBorders>
          </w:tcPr>
          <w:p>
            <w:pPr>
              <w:spacing w:after="0"/>
              <w:rPr>
                <w:sz w:val="24"/>
                <w:szCs w:val="24"/>
                <w:color w:val="auto"/>
              </w:rPr>
            </w:pPr>
          </w:p>
        </w:tc>
      </w:tr>
      <w:tr>
        <w:trPr>
          <w:trHeight w:val="280"/>
        </w:trPr>
        <w:tc>
          <w:tcPr>
            <w:tcW w:w="3200" w:type="dxa"/>
            <w:vAlign w:val="bottom"/>
          </w:tcPr>
          <w:p>
            <w:pPr>
              <w:spacing w:after="0"/>
              <w:rPr>
                <w:sz w:val="24"/>
                <w:szCs w:val="24"/>
                <w:color w:val="auto"/>
              </w:rPr>
            </w:pPr>
          </w:p>
        </w:tc>
        <w:tc>
          <w:tcPr>
            <w:tcW w:w="360" w:type="dxa"/>
            <w:vAlign w:val="bottom"/>
            <w:tcBorders>
              <w:bottom w:val="single" w:sz="8" w:color="050505"/>
            </w:tcBorders>
          </w:tcPr>
          <w:p>
            <w:pPr>
              <w:spacing w:after="0"/>
              <w:rPr>
                <w:sz w:val="24"/>
                <w:szCs w:val="24"/>
                <w:color w:val="auto"/>
              </w:rPr>
            </w:pPr>
          </w:p>
        </w:tc>
        <w:tc>
          <w:tcPr>
            <w:tcW w:w="1380" w:type="dxa"/>
            <w:vAlign w:val="bottom"/>
            <w:tcBorders>
              <w:bottom w:val="single" w:sz="8" w:color="050505"/>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050505"/>
              </w:rPr>
              <w:t>Amount</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1440" w:type="dxa"/>
            <w:vAlign w:val="bottom"/>
            <w:tcBorders>
              <w:bottom w:val="single" w:sz="8" w:color="050505"/>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050505"/>
              </w:rPr>
              <w:t>Percentage</w:t>
            </w:r>
          </w:p>
        </w:tc>
        <w:tc>
          <w:tcPr>
            <w:tcW w:w="60" w:type="dxa"/>
            <w:vAlign w:val="bottom"/>
          </w:tcPr>
          <w:p>
            <w:pPr>
              <w:spacing w:after="0"/>
              <w:rPr>
                <w:sz w:val="24"/>
                <w:szCs w:val="24"/>
                <w:color w:val="auto"/>
              </w:rPr>
            </w:pPr>
          </w:p>
        </w:tc>
        <w:tc>
          <w:tcPr>
            <w:tcW w:w="360" w:type="dxa"/>
            <w:vAlign w:val="bottom"/>
            <w:tcBorders>
              <w:bottom w:val="single" w:sz="8" w:color="050505"/>
            </w:tcBorders>
          </w:tcPr>
          <w:p>
            <w:pPr>
              <w:spacing w:after="0"/>
              <w:rPr>
                <w:sz w:val="24"/>
                <w:szCs w:val="24"/>
                <w:color w:val="auto"/>
              </w:rPr>
            </w:pPr>
          </w:p>
        </w:tc>
        <w:tc>
          <w:tcPr>
            <w:tcW w:w="1500" w:type="dxa"/>
            <w:vAlign w:val="bottom"/>
            <w:tcBorders>
              <w:bottom w:val="single" w:sz="8" w:color="050505"/>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050505"/>
              </w:rPr>
              <w:t>Amount</w:t>
            </w:r>
          </w:p>
        </w:tc>
        <w:tc>
          <w:tcPr>
            <w:tcW w:w="60" w:type="dxa"/>
            <w:vAlign w:val="bottom"/>
          </w:tcPr>
          <w:p>
            <w:pPr>
              <w:spacing w:after="0"/>
              <w:rPr>
                <w:sz w:val="24"/>
                <w:szCs w:val="24"/>
                <w:color w:val="auto"/>
              </w:rPr>
            </w:pPr>
          </w:p>
        </w:tc>
        <w:tc>
          <w:tcPr>
            <w:tcW w:w="1500" w:type="dxa"/>
            <w:vAlign w:val="bottom"/>
            <w:tcBorders>
              <w:bottom w:val="single" w:sz="8" w:color="050505"/>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050505"/>
              </w:rPr>
              <w:t>Percentage</w:t>
            </w:r>
          </w:p>
        </w:tc>
      </w:tr>
      <w:tr>
        <w:trPr>
          <w:trHeight w:val="277"/>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050505"/>
              </w:rPr>
              <w:t>Tax benefit at federal statutory rate</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05050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(40,086)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21.00 %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(54,001)</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21.00 %</w:t>
            </w:r>
          </w:p>
        </w:tc>
      </w:tr>
      <w:tr>
        <w:trPr>
          <w:trHeight w:val="30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050505"/>
              </w:rPr>
              <w:t>Research tax credits</w:t>
            </w:r>
          </w:p>
        </w:tc>
        <w:tc>
          <w:tcPr>
            <w:tcW w:w="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(1,783)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0.93 %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(2,793)</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1.08 %</w:t>
            </w:r>
          </w:p>
        </w:tc>
      </w:tr>
      <w:tr>
        <w:trPr>
          <w:trHeight w:val="30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050505"/>
              </w:rPr>
              <w:t>Change in valuation allowance</w:t>
            </w:r>
          </w:p>
        </w:tc>
        <w:tc>
          <w:tcPr>
            <w:tcW w:w="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35,414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(18.55)%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47,172</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(18.34)%</w:t>
            </w:r>
          </w:p>
        </w:tc>
      </w:tr>
      <w:tr>
        <w:trPr>
          <w:trHeight w:val="30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050505"/>
              </w:rPr>
              <w:t>Nontaxable or nondeductible items: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050505"/>
              </w:rPr>
              <w:t>Stock-based compensation</w:t>
            </w:r>
          </w:p>
        </w:tc>
        <w:tc>
          <w:tcPr>
            <w:tcW w:w="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6,280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(3.29)%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9,413</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(3.66)%</w:t>
            </w:r>
          </w:p>
        </w:tc>
      </w:tr>
      <w:tr>
        <w:trPr>
          <w:trHeight w:val="300"/>
        </w:trPr>
        <w:tc>
          <w:tcPr>
            <w:tcW w:w="3200" w:type="dxa"/>
            <w:vAlign w:val="bottom"/>
          </w:tcPr>
          <w:p>
            <w:pPr>
              <w:ind w:left="120"/>
              <w:spacing w:after="0"/>
              <w:rPr>
                <w:sz w:val="20"/>
                <w:szCs w:val="20"/>
                <w:color w:val="auto"/>
              </w:rPr>
            </w:pPr>
            <w:r>
              <w:rPr>
                <w:rFonts w:ascii="Times New Roman" w:cs="Times New Roman" w:eastAsia="Times New Roman" w:hAnsi="Times New Roman"/>
                <w:sz w:val="20"/>
                <w:szCs w:val="20"/>
                <w:color w:val="050505"/>
              </w:rPr>
              <w:t>Other</w:t>
            </w:r>
          </w:p>
        </w:tc>
        <w:tc>
          <w:tcPr>
            <w:tcW w:w="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(0.09)%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209</w:t>
            </w:r>
          </w:p>
        </w:tc>
        <w:tc>
          <w:tcPr>
            <w:tcW w:w="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(0.08)%</w:t>
            </w:r>
          </w:p>
        </w:tc>
      </w:tr>
      <w:tr>
        <w:trPr>
          <w:trHeight w:val="303"/>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050505"/>
              </w:rPr>
              <w:t>Other adjustments</w:t>
            </w:r>
          </w:p>
        </w:tc>
        <w:tc>
          <w:tcPr>
            <w:tcW w:w="360" w:type="dxa"/>
            <w:vAlign w:val="bottom"/>
            <w:tcBorders>
              <w:bottom w:val="single" w:sz="8" w:color="050505"/>
            </w:tcBorders>
          </w:tcPr>
          <w:p>
            <w:pPr>
              <w:spacing w:after="0"/>
              <w:rPr>
                <w:sz w:val="24"/>
                <w:szCs w:val="24"/>
                <w:color w:val="auto"/>
              </w:rPr>
            </w:pPr>
          </w:p>
        </w:tc>
        <w:tc>
          <w:tcPr>
            <w:tcW w:w="138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00" w:type="dxa"/>
            <w:vAlign w:val="bottom"/>
            <w:tcBorders>
              <w:bottom w:val="single" w:sz="8" w:color="050505"/>
            </w:tcBorders>
          </w:tcPr>
          <w:p>
            <w:pPr>
              <w:spacing w:after="0"/>
              <w:rPr>
                <w:sz w:val="24"/>
                <w:szCs w:val="24"/>
                <w:color w:val="auto"/>
              </w:rPr>
            </w:pPr>
          </w:p>
        </w:tc>
        <w:tc>
          <w:tcPr>
            <w:tcW w:w="144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 %</w:t>
            </w:r>
          </w:p>
        </w:tc>
        <w:tc>
          <w:tcPr>
            <w:tcW w:w="60" w:type="dxa"/>
            <w:vAlign w:val="bottom"/>
          </w:tcPr>
          <w:p>
            <w:pPr>
              <w:spacing w:after="0"/>
              <w:rPr>
                <w:sz w:val="24"/>
                <w:szCs w:val="24"/>
                <w:color w:val="auto"/>
              </w:rPr>
            </w:pPr>
          </w:p>
        </w:tc>
        <w:tc>
          <w:tcPr>
            <w:tcW w:w="360" w:type="dxa"/>
            <w:vAlign w:val="bottom"/>
            <w:tcBorders>
              <w:bottom w:val="single" w:sz="8" w:color="050505"/>
            </w:tcBorders>
          </w:tcPr>
          <w:p>
            <w:pPr>
              <w:spacing w:after="0"/>
              <w:rPr>
                <w:sz w:val="24"/>
                <w:szCs w:val="24"/>
                <w:color w:val="auto"/>
              </w:rPr>
            </w:pPr>
          </w:p>
        </w:tc>
        <w:tc>
          <w:tcPr>
            <w:tcW w:w="15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443</w:t>
            </w:r>
          </w:p>
        </w:tc>
        <w:tc>
          <w:tcPr>
            <w:tcW w:w="60" w:type="dxa"/>
            <w:vAlign w:val="bottom"/>
          </w:tcPr>
          <w:p>
            <w:pPr>
              <w:spacing w:after="0"/>
              <w:rPr>
                <w:sz w:val="24"/>
                <w:szCs w:val="24"/>
                <w:color w:val="auto"/>
              </w:rPr>
            </w:pPr>
          </w:p>
        </w:tc>
        <w:tc>
          <w:tcPr>
            <w:tcW w:w="15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(0.17)%</w:t>
            </w:r>
          </w:p>
        </w:tc>
      </w:tr>
      <w:tr>
        <w:trPr>
          <w:trHeight w:val="260"/>
        </w:trPr>
        <w:tc>
          <w:tcPr>
            <w:tcW w:w="3200" w:type="dxa"/>
            <w:vAlign w:val="bottom"/>
          </w:tcPr>
          <w:p>
            <w:pPr>
              <w:spacing w:after="0"/>
              <w:rPr>
                <w:sz w:val="20"/>
                <w:szCs w:val="20"/>
                <w:color w:val="auto"/>
              </w:rPr>
            </w:pPr>
            <w:r>
              <w:rPr>
                <w:rFonts w:ascii="Times New Roman" w:cs="Times New Roman" w:eastAsia="Times New Roman" w:hAnsi="Times New Roman"/>
                <w:sz w:val="20"/>
                <w:szCs w:val="20"/>
                <w:color w:val="050505"/>
              </w:rPr>
              <w:t>Benefit for income taxes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050505"/>
              </w:rPr>
              <w:t>$</w:t>
            </w:r>
          </w:p>
        </w:tc>
        <w:tc>
          <w:tcPr>
            <w:tcW w:w="174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05050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443</w:t>
            </w:r>
          </w:p>
        </w:tc>
        <w:tc>
          <w:tcPr>
            <w:tcW w:w="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(0.17)%</w:t>
            </w:r>
          </w:p>
        </w:tc>
      </w:tr>
      <w:tr>
        <w:trPr>
          <w:trHeight w:val="20"/>
        </w:trPr>
        <w:tc>
          <w:tcPr>
            <w:tcW w:w="3200" w:type="dxa"/>
            <w:vAlign w:val="bottom"/>
          </w:tcPr>
          <w:p>
            <w:pPr>
              <w:spacing w:after="0" w:line="20" w:lineRule="exact"/>
              <w:rPr>
                <w:sz w:val="1"/>
                <w:szCs w:val="1"/>
                <w:color w:val="auto"/>
              </w:rPr>
            </w:pPr>
          </w:p>
        </w:tc>
        <w:tc>
          <w:tcPr>
            <w:tcW w:w="360" w:type="dxa"/>
            <w:vAlign w:val="bottom"/>
            <w:tcBorders>
              <w:top w:val="single" w:sz="8" w:color="050505"/>
              <w:bottom w:val="single" w:sz="8" w:color="050505"/>
            </w:tcBorders>
          </w:tcPr>
          <w:p>
            <w:pPr>
              <w:spacing w:after="0" w:line="20" w:lineRule="exact"/>
              <w:rPr>
                <w:sz w:val="1"/>
                <w:szCs w:val="1"/>
                <w:color w:val="auto"/>
              </w:rPr>
            </w:pPr>
          </w:p>
        </w:tc>
        <w:tc>
          <w:tcPr>
            <w:tcW w:w="138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050505"/>
              <w:bottom w:val="single" w:sz="8" w:color="050505"/>
            </w:tcBorders>
          </w:tcPr>
          <w:p>
            <w:pPr>
              <w:spacing w:after="0" w:line="20" w:lineRule="exact"/>
              <w:rPr>
                <w:sz w:val="1"/>
                <w:szCs w:val="1"/>
                <w:color w:val="auto"/>
              </w:rPr>
            </w:pPr>
          </w:p>
        </w:tc>
        <w:tc>
          <w:tcPr>
            <w:tcW w:w="144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50505"/>
              <w:bottom w:val="single" w:sz="8" w:color="050505"/>
            </w:tcBorders>
          </w:tcPr>
          <w:p>
            <w:pPr>
              <w:spacing w:after="0" w:line="20" w:lineRule="exact"/>
              <w:rPr>
                <w:sz w:val="1"/>
                <w:szCs w:val="1"/>
                <w:color w:val="auto"/>
              </w:rPr>
            </w:pPr>
          </w:p>
        </w:tc>
        <w:tc>
          <w:tcPr>
            <w:tcW w:w="150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540500" cy="1562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7">
                      <a:extLst>
                        <a:ext uri="{28A0092B-C50C-407E-A947-70E740481C1C}"/>
                      </a:extLst>
                    </a:blip>
                    <a:srcRect/>
                    <a:stretch>
                      <a:fillRect/>
                    </a:stretch>
                  </pic:blipFill>
                  <pic:spPr bwMode="auto">
                    <a:xfrm>
                      <a:off x="0" y="0"/>
                      <a:ext cx="6540500" cy="1562100"/>
                    </a:xfrm>
                    <a:prstGeom prst="rect">
                      <a:avLst/>
                    </a:prstGeom>
                    <a:noFill/>
                  </pic:spPr>
                </pic:pic>
              </a:graphicData>
            </a:graphic>
          </wp:anchor>
        </w:drawing>
      </w:r>
    </w:p>
    <w:p>
      <w:pPr>
        <w:spacing w:after="0" w:line="108" w:lineRule="exact"/>
        <w:rPr>
          <w:sz w:val="20"/>
          <w:szCs w:val="20"/>
          <w:color w:val="auto"/>
        </w:rPr>
      </w:pPr>
    </w:p>
    <w:p>
      <w:pPr>
        <w:jc w:val="both"/>
        <w:ind w:right="220" w:firstLine="720"/>
        <w:spacing w:after="0" w:line="266" w:lineRule="auto"/>
        <w:rPr>
          <w:sz w:val="20"/>
          <w:szCs w:val="20"/>
          <w:color w:val="auto"/>
        </w:rPr>
      </w:pPr>
      <w:r>
        <w:rPr>
          <w:rFonts w:ascii="Times New Roman" w:cs="Times New Roman" w:eastAsia="Times New Roman" w:hAnsi="Times New Roman"/>
          <w:sz w:val="20"/>
          <w:szCs w:val="20"/>
          <w:color w:val="050505"/>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Significant components of the Company's deferred tax assets and liabilities are as follows: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2780" w:type="dxa"/>
            <w:vAlign w:val="bottom"/>
            <w:tcBorders>
              <w:bottom w:val="single" w:sz="8" w:color="050505"/>
            </w:tcBorders>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r>
      <w:tr>
        <w:trPr>
          <w:trHeight w:val="280"/>
        </w:trPr>
        <w:tc>
          <w:tcPr>
            <w:tcW w:w="7160" w:type="dxa"/>
            <w:vAlign w:val="bottom"/>
          </w:tcPr>
          <w:p>
            <w:pPr>
              <w:spacing w:after="0"/>
              <w:rPr>
                <w:sz w:val="24"/>
                <w:szCs w:val="24"/>
                <w:color w:val="auto"/>
              </w:rPr>
            </w:pP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337"/>
        </w:trPr>
        <w:tc>
          <w:tcPr>
            <w:tcW w:w="7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Deferred tax assets: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Net operating loss carryforwards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315,470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243,798</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Tax credit carryforwards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37,726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37,108</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Intangibles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10,099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10,757</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Accrued expenses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2,682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2,710</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Lease liabilities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23,297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22,085</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Stock based compensation</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25,952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21,871</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Investments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23,429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26,009</w:t>
            </w: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Capitalized Research &amp; Development</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63,696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89,090</w:t>
            </w:r>
          </w:p>
        </w:tc>
      </w:tr>
      <w:tr>
        <w:trPr>
          <w:trHeight w:val="303"/>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Other</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10,577</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2,396</w:t>
            </w:r>
          </w:p>
        </w:tc>
      </w:tr>
      <w:tr>
        <w:trPr>
          <w:trHeight w:val="28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Total deferred tax assets</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512,928</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455,824</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Deferred tax liabilities: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Right of use leased assets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(11,162)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(11,000)</w:t>
            </w:r>
          </w:p>
        </w:tc>
      </w:tr>
      <w:tr>
        <w:trPr>
          <w:trHeight w:val="303"/>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Other</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(36)</w:t>
            </w:r>
          </w:p>
        </w:tc>
      </w:tr>
      <w:tr>
        <w:trPr>
          <w:trHeight w:val="28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Total deferred tax liabilities</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(11,162)</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(11,036)</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Net deferred tax assets</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501,766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444,788</w:t>
            </w:r>
          </w:p>
        </w:tc>
      </w:tr>
      <w:tr>
        <w:trPr>
          <w:trHeight w:val="30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Valuation allowance</w:t>
            </w:r>
          </w:p>
        </w:tc>
        <w:tc>
          <w:tcPr>
            <w:tcW w:w="280" w:type="dxa"/>
            <w:vAlign w:val="bottom"/>
            <w:tcBorders>
              <w:bottom w:val="single" w:sz="8" w:color="050505"/>
            </w:tcBorders>
          </w:tcPr>
          <w:p>
            <w:pPr>
              <w:spacing w:after="0"/>
              <w:rPr>
                <w:sz w:val="24"/>
                <w:szCs w:val="24"/>
                <w:color w:val="auto"/>
              </w:rPr>
            </w:pPr>
          </w:p>
        </w:tc>
        <w:tc>
          <w:tcPr>
            <w:tcW w:w="122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(501,766)</w:t>
            </w:r>
          </w:p>
        </w:tc>
        <w:tc>
          <w:tcPr>
            <w:tcW w:w="6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(444,788)</w:t>
            </w: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Net deferred tax assets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20"/>
        </w:trPr>
        <w:tc>
          <w:tcPr>
            <w:tcW w:w="7160" w:type="dxa"/>
            <w:vAlign w:val="bottom"/>
          </w:tcPr>
          <w:p>
            <w:pPr>
              <w:spacing w:after="0" w:line="20" w:lineRule="exact"/>
              <w:rPr>
                <w:sz w:val="1"/>
                <w:szCs w:val="1"/>
                <w:color w:val="auto"/>
              </w:rPr>
            </w:pPr>
          </w:p>
        </w:tc>
        <w:tc>
          <w:tcPr>
            <w:tcW w:w="280" w:type="dxa"/>
            <w:vAlign w:val="bottom"/>
            <w:tcBorders>
              <w:top w:val="single" w:sz="8" w:color="050505"/>
              <w:bottom w:val="single" w:sz="8" w:color="050505"/>
            </w:tcBorders>
          </w:tcPr>
          <w:p>
            <w:pPr>
              <w:spacing w:after="0" w:line="20" w:lineRule="exact"/>
              <w:rPr>
                <w:sz w:val="1"/>
                <w:szCs w:val="1"/>
                <w:color w:val="auto"/>
              </w:rPr>
            </w:pPr>
          </w:p>
        </w:tc>
        <w:tc>
          <w:tcPr>
            <w:tcW w:w="122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16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8">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108" w:lineRule="exact"/>
        <w:rPr>
          <w:sz w:val="20"/>
          <w:szCs w:val="20"/>
          <w:color w:val="auto"/>
        </w:rPr>
      </w:pPr>
    </w:p>
    <w:p>
      <w:pPr>
        <w:ind w:right="260" w:firstLine="720"/>
        <w:spacing w:after="0" w:line="260" w:lineRule="auto"/>
        <w:rPr>
          <w:sz w:val="20"/>
          <w:szCs w:val="20"/>
          <w:color w:val="auto"/>
        </w:rPr>
      </w:pPr>
      <w:r>
        <w:rPr>
          <w:rFonts w:ascii="Times New Roman" w:cs="Times New Roman" w:eastAsia="Times New Roman" w:hAnsi="Times New Roman"/>
          <w:sz w:val="20"/>
          <w:szCs w:val="20"/>
          <w:color w:val="050505"/>
        </w:rPr>
        <w:t>Realization of deferred tax assets is dependent upon future earnings, if any, the timing and amount of which are uncertain. Due to the lack of earnings history, the net deferred tax assets have been fully offset by a valuation allowance. The valuation allowance increased by approximately $57.0 million and $45.2 million during the years ended December 31, 2025 and 2024, respectively.</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134</w:t>
      </w:r>
    </w:p>
    <w:p>
      <w:pPr>
        <w:sectPr>
          <w:pgSz w:w="12240" w:h="15840" w:orient="portrait"/>
          <w:cols w:equalWidth="0" w:num="1">
            <w:col w:w="10260"/>
          </w:cols>
          <w:pgMar w:left="1000" w:top="793" w:right="980" w:bottom="0" w:gutter="0" w:footer="0" w:header="0"/>
          <w:type w:val="continuous"/>
        </w:sectPr>
      </w:pPr>
    </w:p>
    <w:bookmarkStart w:id="138" w:name="page139"/>
    <w:bookmarkEnd w:id="138"/>
    <w:p>
      <w:pPr>
        <w:ind w:right="960" w:firstLine="720"/>
        <w:spacing w:after="0" w:line="271" w:lineRule="auto"/>
        <w:rPr>
          <w:sz w:val="20"/>
          <w:szCs w:val="20"/>
          <w:color w:val="auto"/>
        </w:rPr>
      </w:pPr>
      <w:r>
        <w:rPr>
          <w:rFonts w:ascii="Times New Roman" w:cs="Times New Roman" w:eastAsia="Times New Roman" w:hAnsi="Times New Roman"/>
          <w:sz w:val="20"/>
          <w:szCs w:val="20"/>
          <w:color w:val="050505"/>
        </w:rPr>
        <w:t>The following table sets forth the Company's federal and state NOL carryforwards and federal research and development tax credits as of December 31, 2025:</w:t>
      </w:r>
    </w:p>
    <w:tbl>
      <w:tblPr>
        <w:tblLayout w:type="fixed"/>
        <w:tblInd w:w="40" w:type="dxa"/>
        <w:tblCellMar>
          <w:top w:w="0" w:type="dxa"/>
          <w:left w:w="0" w:type="dxa"/>
          <w:bottom w:w="0" w:type="dxa"/>
          <w:right w:w="0" w:type="dxa"/>
        </w:tblCellMar>
      </w:tblPr>
      <w:tr>
        <w:trPr>
          <w:trHeight w:val="267"/>
        </w:trPr>
        <w:tc>
          <w:tcPr>
            <w:tcW w:w="7140" w:type="dxa"/>
            <w:vAlign w:val="bottom"/>
          </w:tcPr>
          <w:p>
            <w:pPr>
              <w:spacing w:after="0"/>
              <w:rPr>
                <w:sz w:val="23"/>
                <w:szCs w:val="23"/>
                <w:color w:val="auto"/>
              </w:rPr>
            </w:pPr>
          </w:p>
        </w:tc>
        <w:tc>
          <w:tcPr>
            <w:tcW w:w="280" w:type="dxa"/>
            <w:vAlign w:val="bottom"/>
            <w:tcBorders>
              <w:bottom w:val="single" w:sz="8" w:color="050505"/>
            </w:tcBorders>
          </w:tcPr>
          <w:p>
            <w:pPr>
              <w:spacing w:after="0"/>
              <w:rPr>
                <w:sz w:val="23"/>
                <w:szCs w:val="23"/>
                <w:color w:val="auto"/>
              </w:rPr>
            </w:pPr>
          </w:p>
        </w:tc>
        <w:tc>
          <w:tcPr>
            <w:tcW w:w="1360" w:type="dxa"/>
            <w:vAlign w:val="bottom"/>
            <w:tcBorders>
              <w:bottom w:val="single" w:sz="8" w:color="050505"/>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050505"/>
              </w:rPr>
              <w:t>Amount</w:t>
            </w:r>
          </w:p>
        </w:tc>
        <w:tc>
          <w:tcPr>
            <w:tcW w:w="144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b w:val="1"/>
                <w:bCs w:val="1"/>
                <w:color w:val="050505"/>
                <w:w w:val="99"/>
              </w:rPr>
              <w:t>Expiration</w:t>
            </w:r>
          </w:p>
        </w:tc>
      </w:tr>
      <w:tr>
        <w:trPr>
          <w:trHeight w:val="264"/>
        </w:trPr>
        <w:tc>
          <w:tcPr>
            <w:tcW w:w="7140" w:type="dxa"/>
            <w:vAlign w:val="bottom"/>
          </w:tcPr>
          <w:p>
            <w:pPr>
              <w:spacing w:after="0"/>
              <w:rPr>
                <w:sz w:val="22"/>
                <w:szCs w:val="22"/>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050505"/>
              </w:rPr>
              <w:t>(in thousands)</w:t>
            </w:r>
          </w:p>
        </w:tc>
        <w:tc>
          <w:tcPr>
            <w:tcW w:w="1440" w:type="dxa"/>
            <w:vAlign w:val="bottom"/>
          </w:tcPr>
          <w:p>
            <w:pPr>
              <w:spacing w:after="0"/>
              <w:rPr>
                <w:sz w:val="22"/>
                <w:szCs w:val="22"/>
                <w:color w:val="auto"/>
              </w:rPr>
            </w:pPr>
          </w:p>
        </w:tc>
      </w:tr>
      <w:tr>
        <w:trPr>
          <w:trHeight w:val="28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Net operating losses, federal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050505"/>
              </w:rPr>
              <w:t>1,121,330</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Indefinite</w:t>
            </w:r>
          </w:p>
        </w:tc>
      </w:tr>
      <w:tr>
        <w:trPr>
          <w:trHeight w:val="287"/>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Net operating losses, federal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050505"/>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2037</w:t>
            </w:r>
          </w:p>
        </w:tc>
      </w:tr>
      <w:tr>
        <w:trPr>
          <w:trHeight w:val="283"/>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Net operating losses, state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050505"/>
              </w:rPr>
              <w:t>1,146,511</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2037-2045</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Tax credits, federal</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050505"/>
              </w:rPr>
              <w:t>34,011</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2038-2045</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Tax credits, state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050505"/>
              </w:rPr>
              <w:t>26,538</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Indefinite</w:t>
            </w:r>
          </w:p>
        </w:tc>
      </w:tr>
      <w:tr>
        <w:trPr>
          <w:trHeight w:val="285"/>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California Competes Tax credits, state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050505"/>
              </w:rPr>
              <w:t>6,000</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2026 -2027</w:t>
            </w:r>
          </w:p>
        </w:tc>
      </w:tr>
    </w:tbl>
    <w:p>
      <w:pPr>
        <w:spacing w:after="0" w:line="171"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Current federal and California tax laws include substantial restrictions on the utilization of NOLs and tax credit carryforwards in the event of an ownership change of a corporation. Accordingly, the Company's ability to utilize NOLs and tax credit carryforwards may be limited as a result of such ownership changes. Such a limitation could result in the expiration of carryforwards before they are utilized.</w:t>
      </w:r>
    </w:p>
    <w:p>
      <w:pPr>
        <w:spacing w:after="0" w:line="83"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050505"/>
        </w:rPr>
        <w:t>Effective June 27, 2024 California's Senate Bill 167 (SB 167) introduced pivotal tax changes, including the suspension of NOLs for businesses earning over $1 million and a cap on business tax credits at $5 million. In addition, on June 29, 2024 Senate Bill 175 (SB 175) introduced an allowance for refunds on a range of tax credits—including, for the first time, the R&amp;D credit. SB 167, which contains several tax measures, includes provisions that retroactively suspend California net operating losses (NOL) and limit the use of business tax credits for tax years beginning on and after January 1, 2024, and before January 1, 2027. SB 175 states that for taxable years beginning on or after January 1, 2024, and before January 1, 2027, taxpayers can receive a refundable credit equal to 20% of the qualified credits that could have been taken if the $5 million limitation under SB 167 had not been imposed. The Company evaluated the impact of SB 167 and determined that the legislation did not materially impact the Company’s income tax provision for the year ended December 31, 2025.</w:t>
      </w:r>
    </w:p>
    <w:p>
      <w:pPr>
        <w:spacing w:after="0" w:line="8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050505"/>
        </w:rPr>
        <w:t>On July 4, 2025, the One Big Beautiful Bill Act (OBBBA) was enacted into law, extending key provisions of the 2017 Tax Cuts and Jobs Act. Included in the legislation are provisions that allow for the immediate expensing of domestic research and development expenses and certain capital expenditures. The Company will continue to evaluate the impact of the new legislation, however there has been no material impact on the Company’s financial statements for the year ended December 31, 2025.</w:t>
      </w:r>
    </w:p>
    <w:p>
      <w:pPr>
        <w:spacing w:after="0" w:line="8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050505"/>
        </w:rPr>
        <w:t>It is the Company’s policy to include penalties and interest expense related to income taxes as a component of interest and other income, net, as necessary. As of December 31, 2025 and 2024, there were no accrued interest and penalties related to uncertain tax positions. The reversal of the uncertain tax benefits would not affect the effective tax rate to the extent that the Company continues to maintain a full valuation allowance against its deferred tax assets. Unrecognized tax benefits may change during the next 12 months for items that arise in the ordinary course of business.</w:t>
      </w:r>
    </w:p>
    <w:p>
      <w:pPr>
        <w:spacing w:after="0" w:line="84" w:lineRule="exact"/>
        <w:rPr>
          <w:sz w:val="20"/>
          <w:szCs w:val="20"/>
          <w:color w:val="auto"/>
        </w:rPr>
      </w:pPr>
    </w:p>
    <w:p>
      <w:pPr>
        <w:ind w:right="40" w:firstLine="720"/>
        <w:spacing w:after="0" w:line="281" w:lineRule="auto"/>
        <w:rPr>
          <w:sz w:val="20"/>
          <w:szCs w:val="20"/>
          <w:color w:val="auto"/>
        </w:rPr>
      </w:pPr>
      <w:r>
        <w:rPr>
          <w:rFonts w:ascii="Times New Roman" w:cs="Times New Roman" w:eastAsia="Times New Roman" w:hAnsi="Times New Roman"/>
          <w:sz w:val="20"/>
          <w:szCs w:val="20"/>
          <w:color w:val="050505"/>
        </w:rPr>
        <w:t>The Company applied the provisions of ASC 740 to account for uncertain income tax positions. A reconciliation of the beginning and ending amount of unrecognized tax benefits is as follows: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40" w:type="dxa"/>
            <w:vAlign w:val="bottom"/>
          </w:tcPr>
          <w:p>
            <w:pPr>
              <w:spacing w:after="0"/>
              <w:rPr>
                <w:sz w:val="23"/>
                <w:szCs w:val="23"/>
                <w:color w:val="auto"/>
              </w:rPr>
            </w:pPr>
          </w:p>
        </w:tc>
        <w:tc>
          <w:tcPr>
            <w:tcW w:w="340" w:type="dxa"/>
            <w:vAlign w:val="bottom"/>
            <w:tcBorders>
              <w:bottom w:val="single" w:sz="8" w:color="050505"/>
            </w:tcBorders>
          </w:tcPr>
          <w:p>
            <w:pPr>
              <w:spacing w:after="0"/>
              <w:rPr>
                <w:sz w:val="23"/>
                <w:szCs w:val="23"/>
                <w:color w:val="auto"/>
              </w:rPr>
            </w:pPr>
          </w:p>
        </w:tc>
        <w:tc>
          <w:tcPr>
            <w:tcW w:w="1780" w:type="dxa"/>
            <w:vAlign w:val="bottom"/>
            <w:tcBorders>
              <w:bottom w:val="single" w:sz="8" w:color="050505"/>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050505"/>
              </w:rPr>
              <w:t>December 31,</w:t>
            </w:r>
          </w:p>
        </w:tc>
        <w:tc>
          <w:tcPr>
            <w:tcW w:w="960" w:type="dxa"/>
            <w:vAlign w:val="bottom"/>
            <w:tcBorders>
              <w:bottom w:val="single" w:sz="8" w:color="050505"/>
            </w:tcBorders>
          </w:tcPr>
          <w:p>
            <w:pPr>
              <w:spacing w:after="0"/>
              <w:rPr>
                <w:sz w:val="23"/>
                <w:szCs w:val="23"/>
                <w:color w:val="auto"/>
              </w:rPr>
            </w:pPr>
          </w:p>
        </w:tc>
      </w:tr>
      <w:tr>
        <w:trPr>
          <w:trHeight w:val="280"/>
        </w:trPr>
        <w:tc>
          <w:tcPr>
            <w:tcW w:w="7140" w:type="dxa"/>
            <w:vAlign w:val="bottom"/>
          </w:tcPr>
          <w:p>
            <w:pPr>
              <w:spacing w:after="0"/>
              <w:rPr>
                <w:sz w:val="24"/>
                <w:szCs w:val="24"/>
                <w:color w:val="auto"/>
              </w:rPr>
            </w:pP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80" w:type="dxa"/>
            <w:vAlign w:val="bottom"/>
          </w:tcPr>
          <w:p>
            <w:pPr>
              <w:spacing w:after="0"/>
              <w:rPr>
                <w:sz w:val="24"/>
                <w:szCs w:val="24"/>
                <w:color w:val="auto"/>
              </w:rPr>
            </w:pPr>
          </w:p>
        </w:tc>
        <w:tc>
          <w:tcPr>
            <w:tcW w:w="540" w:type="dxa"/>
            <w:vAlign w:val="bottom"/>
            <w:tcBorders>
              <w:bottom w:val="single" w:sz="8" w:color="050505"/>
            </w:tcBorders>
          </w:tcPr>
          <w:p>
            <w:pPr>
              <w:spacing w:after="0"/>
              <w:rPr>
                <w:sz w:val="24"/>
                <w:szCs w:val="24"/>
                <w:color w:val="auto"/>
              </w:rPr>
            </w:pPr>
          </w:p>
        </w:tc>
        <w:tc>
          <w:tcPr>
            <w:tcW w:w="960" w:type="dxa"/>
            <w:vAlign w:val="bottom"/>
            <w:tcBorders>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w w:val="94"/>
              </w:rPr>
              <w:t>2024</w:t>
            </w:r>
          </w:p>
        </w:tc>
      </w:tr>
      <w:tr>
        <w:trPr>
          <w:trHeight w:val="277"/>
        </w:trPr>
        <w:tc>
          <w:tcPr>
            <w:tcW w:w="7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840"/>
              <w:spacing w:after="0"/>
              <w:rPr>
                <w:sz w:val="20"/>
                <w:szCs w:val="20"/>
                <w:color w:val="auto"/>
              </w:rPr>
            </w:pPr>
            <w:r>
              <w:rPr>
                <w:rFonts w:ascii="Times New Roman" w:cs="Times New Roman" w:eastAsia="Times New Roman" w:hAnsi="Times New Roman"/>
                <w:sz w:val="20"/>
                <w:szCs w:val="20"/>
                <w:b w:val="1"/>
                <w:bCs w:val="1"/>
                <w:color w:val="050505"/>
              </w:rPr>
              <w:t>(in thousands)</w:t>
            </w:r>
          </w:p>
        </w:tc>
      </w:tr>
      <w:tr>
        <w:trPr>
          <w:trHeight w:val="30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Balance at beginning of the year:</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22,015</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18,895</w:t>
            </w:r>
          </w:p>
        </w:tc>
      </w:tr>
      <w:tr>
        <w:trPr>
          <w:trHeight w:val="300"/>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Additions based on tax positions related to current year</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2,205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3,120</w:t>
            </w:r>
          </w:p>
        </w:tc>
      </w:tr>
      <w:tr>
        <w:trPr>
          <w:trHeight w:val="300"/>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Additions to tax position of prior year</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300"/>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Reductions to tax position of prior years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303"/>
        </w:trPr>
        <w:tc>
          <w:tcPr>
            <w:tcW w:w="714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Lapse of the applicable statute of limitations</w:t>
            </w:r>
          </w:p>
        </w:tc>
        <w:tc>
          <w:tcPr>
            <w:tcW w:w="340" w:type="dxa"/>
            <w:vAlign w:val="bottom"/>
            <w:tcBorders>
              <w:bottom w:val="single" w:sz="8" w:color="050505"/>
            </w:tcBorders>
          </w:tcPr>
          <w:p>
            <w:pPr>
              <w:spacing w:after="0"/>
              <w:rPr>
                <w:sz w:val="24"/>
                <w:szCs w:val="24"/>
                <w:color w:val="auto"/>
              </w:rPr>
            </w:pPr>
          </w:p>
        </w:tc>
        <w:tc>
          <w:tcPr>
            <w:tcW w:w="11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c>
          <w:tcPr>
            <w:tcW w:w="80" w:type="dxa"/>
            <w:vAlign w:val="bottom"/>
          </w:tcPr>
          <w:p>
            <w:pPr>
              <w:spacing w:after="0"/>
              <w:rPr>
                <w:sz w:val="24"/>
                <w:szCs w:val="24"/>
                <w:color w:val="auto"/>
              </w:rPr>
            </w:pPr>
          </w:p>
        </w:tc>
        <w:tc>
          <w:tcPr>
            <w:tcW w:w="540" w:type="dxa"/>
            <w:vAlign w:val="bottom"/>
            <w:tcBorders>
              <w:bottom w:val="single" w:sz="8" w:color="050505"/>
            </w:tcBorders>
          </w:tcPr>
          <w:p>
            <w:pPr>
              <w:spacing w:after="0"/>
              <w:rPr>
                <w:sz w:val="24"/>
                <w:szCs w:val="24"/>
                <w:color w:val="auto"/>
              </w:rPr>
            </w:pPr>
          </w:p>
        </w:tc>
        <w:tc>
          <w:tcPr>
            <w:tcW w:w="9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w:t>
            </w: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050505"/>
              </w:rPr>
              <w:t>Balance at end of the year</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05050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24,220</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05050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22,015</w:t>
            </w:r>
          </w:p>
        </w:tc>
      </w:tr>
      <w:tr>
        <w:trPr>
          <w:trHeight w:val="20"/>
        </w:trPr>
        <w:tc>
          <w:tcPr>
            <w:tcW w:w="7140" w:type="dxa"/>
            <w:vAlign w:val="bottom"/>
          </w:tcPr>
          <w:p>
            <w:pPr>
              <w:spacing w:after="0" w:line="20" w:lineRule="exact"/>
              <w:rPr>
                <w:sz w:val="1"/>
                <w:szCs w:val="1"/>
                <w:color w:val="auto"/>
              </w:rPr>
            </w:pPr>
          </w:p>
        </w:tc>
        <w:tc>
          <w:tcPr>
            <w:tcW w:w="340" w:type="dxa"/>
            <w:vAlign w:val="bottom"/>
            <w:tcBorders>
              <w:top w:val="single" w:sz="8" w:color="050505"/>
              <w:bottom w:val="single" w:sz="8" w:color="050505"/>
            </w:tcBorders>
          </w:tcPr>
          <w:p>
            <w:pPr>
              <w:spacing w:after="0" w:line="20" w:lineRule="exact"/>
              <w:rPr>
                <w:sz w:val="1"/>
                <w:szCs w:val="1"/>
                <w:color w:val="auto"/>
              </w:rPr>
            </w:pPr>
          </w:p>
        </w:tc>
        <w:tc>
          <w:tcPr>
            <w:tcW w:w="1160" w:type="dxa"/>
            <w:vAlign w:val="bottom"/>
            <w:tcBorders>
              <w:top w:val="single" w:sz="8" w:color="050505"/>
              <w:bottom w:val="single" w:sz="8" w:color="05050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50505"/>
              <w:bottom w:val="single" w:sz="8" w:color="050505"/>
            </w:tcBorders>
          </w:tcPr>
          <w:p>
            <w:pPr>
              <w:spacing w:after="0" w:line="20" w:lineRule="exact"/>
              <w:rPr>
                <w:sz w:val="1"/>
                <w:szCs w:val="1"/>
                <w:color w:val="auto"/>
              </w:rPr>
            </w:pPr>
          </w:p>
        </w:tc>
        <w:tc>
          <w:tcPr>
            <w:tcW w:w="960" w:type="dxa"/>
            <w:vAlign w:val="bottom"/>
            <w:tcBorders>
              <w:top w:val="single" w:sz="8" w:color="050505"/>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540500" cy="215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9">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-793115</wp:posOffset>
            </wp:positionV>
            <wp:extent cx="6540500" cy="2159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0">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540500" cy="215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1">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-43815</wp:posOffset>
            </wp:positionV>
            <wp:extent cx="197802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2">
                      <a:extLst>
                        <a:ext uri="{28A0092B-C50C-407E-A947-70E740481C1C}"/>
                      </a:extLst>
                    </a:blip>
                    <a:srcRect/>
                    <a:stretch>
                      <a:fillRect/>
                    </a:stretch>
                  </pic:blipFill>
                  <pic:spPr bwMode="auto">
                    <a:xfrm>
                      <a:off x="0" y="0"/>
                      <a:ext cx="1978025" cy="508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135</w:t>
      </w:r>
    </w:p>
    <w:p>
      <w:pPr>
        <w:sectPr>
          <w:pgSz w:w="12240" w:h="15840" w:orient="portrait"/>
          <w:cols w:equalWidth="0" w:num="1">
            <w:col w:w="10260"/>
          </w:cols>
          <w:pgMar w:left="1000" w:top="793" w:right="98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050505"/>
        </w:rPr>
        <w:t>Note 13. Net Loss and Net Loss Per Share</w:t>
      </w:r>
    </w:p>
    <w:p>
      <w:pPr>
        <w:spacing w:after="0" w:line="137" w:lineRule="exact"/>
        <w:rPr>
          <w:sz w:val="20"/>
          <w:szCs w:val="20"/>
          <w:color w:val="auto"/>
        </w:rPr>
      </w:pPr>
    </w:p>
    <w:p>
      <w:pPr>
        <w:ind w:right="280" w:firstLine="720"/>
        <w:spacing w:after="0" w:line="281" w:lineRule="auto"/>
        <w:rPr>
          <w:sz w:val="20"/>
          <w:szCs w:val="20"/>
          <w:color w:val="auto"/>
        </w:rPr>
      </w:pPr>
      <w:r>
        <w:rPr>
          <w:rFonts w:ascii="Times New Roman" w:cs="Times New Roman" w:eastAsia="Times New Roman" w:hAnsi="Times New Roman"/>
          <w:sz w:val="20"/>
          <w:szCs w:val="20"/>
          <w:color w:val="050505"/>
        </w:rPr>
        <w:t>The following table sets forth the computation of the basic and diluted net loss per share (in thousands, except share and per share data):</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r>
      <w:tr>
        <w:trPr>
          <w:trHeight w:val="265"/>
        </w:trPr>
        <w:tc>
          <w:tcPr>
            <w:tcW w:w="7160" w:type="dxa"/>
            <w:vAlign w:val="bottom"/>
          </w:tcPr>
          <w:p>
            <w:pPr>
              <w:spacing w:after="0"/>
              <w:rPr>
                <w:sz w:val="23"/>
                <w:szCs w:val="23"/>
                <w:color w:val="auto"/>
              </w:rPr>
            </w:pPr>
          </w:p>
        </w:tc>
        <w:tc>
          <w:tcPr>
            <w:tcW w:w="280" w:type="dxa"/>
            <w:vAlign w:val="bottom"/>
            <w:tcBorders>
              <w:top w:val="single" w:sz="8" w:color="050505"/>
              <w:bottom w:val="single" w:sz="8" w:color="050505"/>
            </w:tcBorders>
          </w:tcPr>
          <w:p>
            <w:pPr>
              <w:spacing w:after="0"/>
              <w:rPr>
                <w:sz w:val="23"/>
                <w:szCs w:val="23"/>
                <w:color w:val="auto"/>
              </w:rPr>
            </w:pPr>
          </w:p>
        </w:tc>
        <w:tc>
          <w:tcPr>
            <w:tcW w:w="1220" w:type="dxa"/>
            <w:vAlign w:val="bottom"/>
            <w:tcBorders>
              <w:top w:val="single" w:sz="8" w:color="050505"/>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280" w:type="dxa"/>
            <w:vAlign w:val="bottom"/>
            <w:tcBorders>
              <w:top w:val="single" w:sz="8" w:color="050505"/>
              <w:bottom w:val="single" w:sz="8" w:color="050505"/>
            </w:tcBorders>
          </w:tcPr>
          <w:p>
            <w:pPr>
              <w:spacing w:after="0"/>
              <w:rPr>
                <w:sz w:val="23"/>
                <w:szCs w:val="23"/>
                <w:color w:val="auto"/>
              </w:rPr>
            </w:pPr>
          </w:p>
        </w:tc>
        <w:tc>
          <w:tcPr>
            <w:tcW w:w="1220" w:type="dxa"/>
            <w:vAlign w:val="bottom"/>
            <w:tcBorders>
              <w:top w:val="single" w:sz="8" w:color="050505"/>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Numerator:</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(257,590)</w:t>
            </w: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Denominator:</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Weighted average common shares outstanding</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220,622,669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194,811,756</w:t>
            </w: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Net loss per share, basic and diluted</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(0.87)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05050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-956310</wp:posOffset>
            </wp:positionV>
            <wp:extent cx="6540500" cy="215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3">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-575310</wp:posOffset>
            </wp:positionV>
            <wp:extent cx="6540500" cy="2159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4">
                      <a:extLst>
                        <a:ext uri="{28A0092B-C50C-407E-A947-70E740481C1C}"/>
                      </a:extLst>
                    </a:blip>
                    <a:srcRect/>
                    <a:stretch>
                      <a:fillRect/>
                    </a:stretch>
                  </pic:blipFill>
                  <pic:spPr bwMode="auto">
                    <a:xfrm>
                      <a:off x="0" y="0"/>
                      <a:ext cx="65405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-194310</wp:posOffset>
            </wp:positionV>
            <wp:extent cx="6540500" cy="2159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5">
                      <a:extLst>
                        <a:ext uri="{28A0092B-C50C-407E-A947-70E740481C1C}"/>
                      </a:extLst>
                    </a:blip>
                    <a:srcRect/>
                    <a:stretch>
                      <a:fillRect/>
                    </a:stretch>
                  </pic:blipFill>
                  <pic:spPr bwMode="auto">
                    <a:xfrm>
                      <a:off x="0" y="0"/>
                      <a:ext cx="6540500" cy="215900"/>
                    </a:xfrm>
                    <a:prstGeom prst="rect">
                      <a:avLst/>
                    </a:prstGeom>
                    <a:noFill/>
                  </pic:spPr>
                </pic:pic>
              </a:graphicData>
            </a:graphic>
          </wp:anchor>
        </w:drawing>
      </w:r>
    </w:p>
    <w:p>
      <w:pPr>
        <w:spacing w:after="0" w:line="151"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20"/>
          <w:szCs w:val="20"/>
          <w:color w:val="050505"/>
        </w:rPr>
        <w:t>Since the Company was in a loss position for all periods presented, basic net loss per share is the same as diluted net loss per share as the inclusion of all potential dilutive securities would have been anti-dilutive. Potentially dilutive securities that were not included in the diluted per share calculations because they would be anti-dilutive were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60" w:type="dxa"/>
            <w:vAlign w:val="bottom"/>
          </w:tcPr>
          <w:p>
            <w:pPr>
              <w:spacing w:after="0"/>
              <w:rPr>
                <w:sz w:val="23"/>
                <w:szCs w:val="23"/>
                <w:color w:val="auto"/>
              </w:rPr>
            </w:pPr>
          </w:p>
        </w:tc>
        <w:tc>
          <w:tcPr>
            <w:tcW w:w="306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Year Ended December 31,</w:t>
            </w:r>
          </w:p>
        </w:tc>
        <w:tc>
          <w:tcPr>
            <w:tcW w:w="0" w:type="dxa"/>
            <w:vAlign w:val="bottom"/>
          </w:tcPr>
          <w:p>
            <w:pPr>
              <w:spacing w:after="0"/>
              <w:rPr>
                <w:sz w:val="1"/>
                <w:szCs w:val="1"/>
                <w:color w:val="auto"/>
              </w:rPr>
            </w:pPr>
          </w:p>
        </w:tc>
      </w:tr>
      <w:tr>
        <w:trPr>
          <w:trHeight w:val="265"/>
        </w:trPr>
        <w:tc>
          <w:tcPr>
            <w:tcW w:w="7160" w:type="dxa"/>
            <w:vAlign w:val="bottom"/>
          </w:tcPr>
          <w:p>
            <w:pPr>
              <w:spacing w:after="0"/>
              <w:rPr>
                <w:sz w:val="23"/>
                <w:szCs w:val="23"/>
                <w:color w:val="auto"/>
              </w:rPr>
            </w:pPr>
          </w:p>
        </w:tc>
        <w:tc>
          <w:tcPr>
            <w:tcW w:w="1500" w:type="dxa"/>
            <w:vAlign w:val="bottom"/>
            <w:tcBorders>
              <w:top w:val="single" w:sz="8" w:color="050505"/>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1500" w:type="dxa"/>
            <w:vAlign w:val="bottom"/>
            <w:tcBorders>
              <w:top w:val="single" w:sz="8" w:color="050505"/>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2024</w:t>
            </w:r>
          </w:p>
        </w:tc>
        <w:tc>
          <w:tcPr>
            <w:tcW w:w="0" w:type="dxa"/>
            <w:vAlign w:val="bottom"/>
          </w:tcPr>
          <w:p>
            <w:pPr>
              <w:spacing w:after="0"/>
              <w:rPr>
                <w:sz w:val="1"/>
                <w:szCs w:val="1"/>
                <w:color w:val="auto"/>
              </w:rPr>
            </w:pP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Stock options to purchase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31,138,077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24,184,884</w:t>
            </w:r>
          </w:p>
        </w:tc>
        <w:tc>
          <w:tcPr>
            <w:tcW w:w="0" w:type="dxa"/>
            <w:vAlign w:val="bottom"/>
          </w:tcPr>
          <w:p>
            <w:pPr>
              <w:spacing w:after="0"/>
              <w:rPr>
                <w:sz w:val="1"/>
                <w:szCs w:val="1"/>
                <w:color w:val="auto"/>
              </w:rPr>
            </w:pPr>
          </w:p>
        </w:tc>
      </w:tr>
      <w:tr>
        <w:trPr>
          <w:trHeight w:val="235"/>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Restricted stock units outstanding (excluding vested but unreleased shares, which 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50505"/>
              </w:rPr>
              <w:t>16,289,726</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50505"/>
              </w:rPr>
              <w:t>13,343,793</w:t>
            </w: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included in weighted-average common shares outstanding )</w:t>
            </w:r>
          </w:p>
        </w:tc>
        <w:tc>
          <w:tcPr>
            <w:tcW w:w="1500" w:type="dxa"/>
            <w:vAlign w:val="bottom"/>
            <w:vMerge w:val="continue"/>
          </w:tcPr>
          <w:p>
            <w:pPr>
              <w:spacing w:after="0"/>
              <w:rPr>
                <w:sz w:val="22"/>
                <w:szCs w:val="22"/>
                <w:color w:val="auto"/>
              </w:rPr>
            </w:pPr>
          </w:p>
        </w:tc>
        <w:tc>
          <w:tcPr>
            <w:tcW w:w="15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050505"/>
              </w:rPr>
              <w:t>Expected shares purchased under Employee Stock Purchase Plan</w:t>
            </w:r>
          </w:p>
        </w:tc>
        <w:tc>
          <w:tcPr>
            <w:tcW w:w="15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1,548,757</w:t>
            </w:r>
          </w:p>
        </w:tc>
        <w:tc>
          <w:tcPr>
            <w:tcW w:w="60" w:type="dxa"/>
            <w:vAlign w:val="bottom"/>
          </w:tcPr>
          <w:p>
            <w:pPr>
              <w:spacing w:after="0"/>
              <w:rPr>
                <w:sz w:val="24"/>
                <w:szCs w:val="24"/>
                <w:color w:val="auto"/>
              </w:rPr>
            </w:pPr>
          </w:p>
        </w:tc>
        <w:tc>
          <w:tcPr>
            <w:tcW w:w="15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1,913,748</w:t>
            </w:r>
          </w:p>
        </w:tc>
        <w:tc>
          <w:tcPr>
            <w:tcW w:w="0" w:type="dxa"/>
            <w:vAlign w:val="bottom"/>
          </w:tcPr>
          <w:p>
            <w:pPr>
              <w:spacing w:after="0"/>
              <w:rPr>
                <w:sz w:val="1"/>
                <w:szCs w:val="1"/>
                <w:color w:val="auto"/>
              </w:rPr>
            </w:pPr>
          </w:p>
        </w:tc>
      </w:tr>
      <w:tr>
        <w:trPr>
          <w:trHeight w:val="260"/>
        </w:trPr>
        <w:tc>
          <w:tcPr>
            <w:tcW w:w="7160" w:type="dxa"/>
            <w:vAlign w:val="bottom"/>
          </w:tcPr>
          <w:p>
            <w:pPr>
              <w:ind w:left="220"/>
              <w:spacing w:after="0"/>
              <w:rPr>
                <w:sz w:val="20"/>
                <w:szCs w:val="20"/>
                <w:color w:val="auto"/>
              </w:rPr>
            </w:pPr>
            <w:r>
              <w:rPr>
                <w:rFonts w:ascii="Times New Roman" w:cs="Times New Roman" w:eastAsia="Times New Roman" w:hAnsi="Times New Roman"/>
                <w:sz w:val="20"/>
                <w:szCs w:val="20"/>
                <w:color w:val="050505"/>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48,976,560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50505"/>
              </w:rPr>
              <w:t>39,442,425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500" w:type="dxa"/>
            <w:vAlign w:val="bottom"/>
            <w:tcBorders>
              <w:top w:val="single" w:sz="8" w:color="050505"/>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top w:val="single" w:sz="8" w:color="050505"/>
              <w:bottom w:val="single" w:sz="8" w:color="05050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-43815</wp:posOffset>
            </wp:positionV>
            <wp:extent cx="1968500"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6">
                      <a:extLst>
                        <a:ext uri="{28A0092B-C50C-407E-A947-70E740481C1C}"/>
                      </a:extLst>
                    </a:blip>
                    <a:srcRect/>
                    <a:stretch>
                      <a:fillRect/>
                    </a:stretch>
                  </pic:blipFill>
                  <pic:spPr bwMode="auto">
                    <a:xfrm>
                      <a:off x="0" y="0"/>
                      <a:ext cx="1968500" cy="5080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Note 14. Segment Reporting</w:t>
      </w:r>
    </w:p>
    <w:p>
      <w:pPr>
        <w:spacing w:after="0" w:line="137" w:lineRule="exact"/>
        <w:rPr>
          <w:sz w:val="20"/>
          <w:szCs w:val="20"/>
          <w:color w:val="auto"/>
        </w:rPr>
      </w:pPr>
    </w:p>
    <w:p>
      <w:pPr>
        <w:ind w:right="520" w:firstLine="720"/>
        <w:spacing w:after="0" w:line="266" w:lineRule="auto"/>
        <w:rPr>
          <w:sz w:val="20"/>
          <w:szCs w:val="20"/>
          <w:color w:val="auto"/>
        </w:rPr>
      </w:pPr>
      <w:r>
        <w:rPr>
          <w:rFonts w:ascii="Times New Roman" w:cs="Times New Roman" w:eastAsia="Times New Roman" w:hAnsi="Times New Roman"/>
          <w:sz w:val="20"/>
          <w:szCs w:val="20"/>
          <w:color w:val="050505"/>
        </w:rPr>
        <w:t>The Company has one reportable segment related to developing and commercializing genetically engineered allogeneic T cell product candidates for the treatment of cancer and autoimmune diseases. The segment derives its current revenues from research and development collaborations.</w:t>
      </w:r>
    </w:p>
    <w:p>
      <w:pPr>
        <w:spacing w:after="0" w:line="75"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The CEO, as the chief operating decision maker, manages and allocates resources for the Company’s operations at a consolidated company basis by assessing how to best deploy available resources across functions and research and development projects. The CEO uses consolidated, single-segment financial information for purposes of evaluating performance, planning and forecasting future period financial results, and allocating resources.</w:t>
      </w:r>
    </w:p>
    <w:p>
      <w:pPr>
        <w:spacing w:after="0" w:line="83" w:lineRule="exact"/>
        <w:rPr>
          <w:sz w:val="20"/>
          <w:szCs w:val="20"/>
          <w:color w:val="auto"/>
        </w:rPr>
      </w:pPr>
    </w:p>
    <w:p>
      <w:pPr>
        <w:ind w:right="180" w:firstLine="720"/>
        <w:spacing w:after="0" w:line="281" w:lineRule="auto"/>
        <w:rPr>
          <w:sz w:val="20"/>
          <w:szCs w:val="20"/>
          <w:color w:val="auto"/>
        </w:rPr>
      </w:pPr>
      <w:r>
        <w:rPr>
          <w:rFonts w:ascii="Times New Roman" w:cs="Times New Roman" w:eastAsia="Times New Roman" w:hAnsi="Times New Roman"/>
          <w:sz w:val="20"/>
          <w:szCs w:val="20"/>
          <w:color w:val="050505"/>
        </w:rPr>
        <w:t>The table below is the summary of the segment profit or loss information, including the significant segment expenses (in thousands):</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8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b w:val="1"/>
                <w:bCs w:val="1"/>
                <w:color w:val="050505"/>
              </w:rPr>
              <w:t>Years Ended December 31,</w:t>
            </w:r>
          </w:p>
        </w:tc>
      </w:tr>
      <w:tr>
        <w:trPr>
          <w:trHeight w:val="265"/>
        </w:trPr>
        <w:tc>
          <w:tcPr>
            <w:tcW w:w="7060" w:type="dxa"/>
            <w:vAlign w:val="bottom"/>
          </w:tcPr>
          <w:p>
            <w:pPr>
              <w:spacing w:after="0"/>
              <w:rPr>
                <w:sz w:val="23"/>
                <w:szCs w:val="23"/>
                <w:color w:val="auto"/>
              </w:rPr>
            </w:pPr>
          </w:p>
        </w:tc>
        <w:tc>
          <w:tcPr>
            <w:tcW w:w="280" w:type="dxa"/>
            <w:vAlign w:val="bottom"/>
            <w:tcBorders>
              <w:top w:val="single" w:sz="8" w:color="050505"/>
              <w:bottom w:val="single" w:sz="8" w:color="050505"/>
            </w:tcBorders>
          </w:tcPr>
          <w:p>
            <w:pPr>
              <w:spacing w:after="0"/>
              <w:rPr>
                <w:sz w:val="23"/>
                <w:szCs w:val="23"/>
                <w:color w:val="auto"/>
              </w:rPr>
            </w:pPr>
          </w:p>
        </w:tc>
        <w:tc>
          <w:tcPr>
            <w:tcW w:w="1260" w:type="dxa"/>
            <w:vAlign w:val="bottom"/>
            <w:tcBorders>
              <w:top w:val="single" w:sz="8" w:color="050505"/>
              <w:bottom w:val="single" w:sz="8" w:color="050505"/>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050505"/>
              </w:rPr>
              <w:t>2025</w:t>
            </w:r>
          </w:p>
        </w:tc>
        <w:tc>
          <w:tcPr>
            <w:tcW w:w="60" w:type="dxa"/>
            <w:vAlign w:val="bottom"/>
          </w:tcPr>
          <w:p>
            <w:pPr>
              <w:spacing w:after="0"/>
              <w:rPr>
                <w:sz w:val="23"/>
                <w:szCs w:val="23"/>
                <w:color w:val="auto"/>
              </w:rPr>
            </w:pPr>
          </w:p>
        </w:tc>
        <w:tc>
          <w:tcPr>
            <w:tcW w:w="360" w:type="dxa"/>
            <w:vAlign w:val="bottom"/>
            <w:tcBorders>
              <w:top w:val="single" w:sz="8" w:color="050505"/>
              <w:bottom w:val="single" w:sz="8" w:color="050505"/>
            </w:tcBorders>
          </w:tcPr>
          <w:p>
            <w:pPr>
              <w:spacing w:after="0"/>
              <w:rPr>
                <w:sz w:val="23"/>
                <w:szCs w:val="23"/>
                <w:color w:val="auto"/>
              </w:rPr>
            </w:pPr>
          </w:p>
        </w:tc>
        <w:tc>
          <w:tcPr>
            <w:tcW w:w="1200" w:type="dxa"/>
            <w:vAlign w:val="bottom"/>
            <w:tcBorders>
              <w:top w:val="single" w:sz="8" w:color="050505"/>
              <w:bottom w:val="single" w:sz="8" w:color="050505"/>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050505"/>
              </w:rPr>
              <w:t>2024</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Collaboration revenue - related party</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050505"/>
              </w:rPr>
              <w:t>$</w:t>
            </w:r>
          </w:p>
        </w:tc>
        <w:tc>
          <w:tcPr>
            <w:tcW w:w="1680" w:type="dxa"/>
            <w:vAlign w:val="bottom"/>
            <w:gridSpan w:val="3"/>
          </w:tcPr>
          <w:p>
            <w:pPr>
              <w:ind w:left="980"/>
              <w:spacing w:after="0"/>
              <w:rPr>
                <w:sz w:val="20"/>
                <w:szCs w:val="20"/>
                <w:color w:val="auto"/>
              </w:rPr>
            </w:pPr>
            <w:r>
              <w:rPr>
                <w:rFonts w:ascii="Times New Roman" w:cs="Times New Roman" w:eastAsia="Times New Roman" w:hAnsi="Times New Roman"/>
                <w:sz w:val="20"/>
                <w:szCs w:val="20"/>
                <w:color w:val="050505"/>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22</w:t>
            </w:r>
          </w:p>
        </w:tc>
      </w:tr>
      <w:tr>
        <w:trPr>
          <w:trHeight w:val="293"/>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Significant operating expenses: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7"/>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050505"/>
              </w:rPr>
              <w:t>Cema-cel</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23,374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36,369</w:t>
            </w:r>
          </w:p>
        </w:tc>
      </w:tr>
      <w:tr>
        <w:trPr>
          <w:trHeight w:val="300"/>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050505"/>
              </w:rPr>
              <w:t>All other development costs</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20,340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23,937</w:t>
            </w:r>
          </w:p>
        </w:tc>
      </w:tr>
      <w:tr>
        <w:trPr>
          <w:trHeight w:val="300"/>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050505"/>
              </w:rPr>
              <w:t>Payroll</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62,905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70,862</w:t>
            </w:r>
          </w:p>
        </w:tc>
      </w:tr>
      <w:tr>
        <w:trPr>
          <w:trHeight w:val="300"/>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050505"/>
              </w:rPr>
              <w:t>Facilities &amp; IT-related spend</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28,408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31,727</w:t>
            </w:r>
          </w:p>
        </w:tc>
      </w:tr>
      <w:tr>
        <w:trPr>
          <w:trHeight w:val="300"/>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050505"/>
              </w:rPr>
              <w:t>Supporting external spend</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20,698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27,337</w:t>
            </w:r>
          </w:p>
        </w:tc>
      </w:tr>
      <w:tr>
        <w:trPr>
          <w:trHeight w:val="310"/>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050505"/>
              </w:rPr>
              <w:t>Other operating expenses</w:t>
            </w:r>
          </w:p>
        </w:tc>
        <w:tc>
          <w:tcPr>
            <w:tcW w:w="280" w:type="dxa"/>
            <w:vAlign w:val="bottom"/>
            <w:tcBorders>
              <w:bottom w:val="single" w:sz="8" w:color="050505"/>
            </w:tcBorders>
          </w:tcPr>
          <w:p>
            <w:pPr>
              <w:spacing w:after="0"/>
              <w:rPr>
                <w:sz w:val="24"/>
                <w:szCs w:val="24"/>
                <w:color w:val="auto"/>
              </w:rPr>
            </w:pPr>
          </w:p>
        </w:tc>
        <w:tc>
          <w:tcPr>
            <w:tcW w:w="12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53,590</w:t>
            </w:r>
          </w:p>
        </w:tc>
        <w:tc>
          <w:tcPr>
            <w:tcW w:w="60" w:type="dxa"/>
            <w:vAlign w:val="bottom"/>
          </w:tcPr>
          <w:p>
            <w:pPr>
              <w:spacing w:after="0"/>
              <w:rPr>
                <w:sz w:val="24"/>
                <w:szCs w:val="24"/>
                <w:color w:val="auto"/>
              </w:rPr>
            </w:pPr>
          </w:p>
        </w:tc>
        <w:tc>
          <w:tcPr>
            <w:tcW w:w="360" w:type="dxa"/>
            <w:vAlign w:val="bottom"/>
            <w:tcBorders>
              <w:bottom w:val="single" w:sz="8" w:color="050505"/>
            </w:tcBorders>
          </w:tcPr>
          <w:p>
            <w:pPr>
              <w:spacing w:after="0"/>
              <w:rPr>
                <w:sz w:val="24"/>
                <w:szCs w:val="24"/>
                <w:color w:val="auto"/>
              </w:rPr>
            </w:pPr>
          </w:p>
        </w:tc>
        <w:tc>
          <w:tcPr>
            <w:tcW w:w="12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82,989</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Total operating expenses</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209,315</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273,221</w:t>
            </w:r>
          </w:p>
        </w:tc>
      </w:tr>
      <w:tr>
        <w:trPr>
          <w:trHeight w:val="31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Other income (Expense), net</w:t>
            </w:r>
          </w:p>
        </w:tc>
        <w:tc>
          <w:tcPr>
            <w:tcW w:w="280" w:type="dxa"/>
            <w:vAlign w:val="bottom"/>
            <w:tcBorders>
              <w:bottom w:val="single" w:sz="8" w:color="050505"/>
            </w:tcBorders>
          </w:tcPr>
          <w:p>
            <w:pPr>
              <w:spacing w:after="0"/>
              <w:rPr>
                <w:sz w:val="24"/>
                <w:szCs w:val="24"/>
                <w:color w:val="auto"/>
              </w:rPr>
            </w:pPr>
          </w:p>
        </w:tc>
        <w:tc>
          <w:tcPr>
            <w:tcW w:w="126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18,429</w:t>
            </w:r>
          </w:p>
        </w:tc>
        <w:tc>
          <w:tcPr>
            <w:tcW w:w="60" w:type="dxa"/>
            <w:vAlign w:val="bottom"/>
          </w:tcPr>
          <w:p>
            <w:pPr>
              <w:spacing w:after="0"/>
              <w:rPr>
                <w:sz w:val="24"/>
                <w:szCs w:val="24"/>
                <w:color w:val="auto"/>
              </w:rPr>
            </w:pPr>
          </w:p>
        </w:tc>
        <w:tc>
          <w:tcPr>
            <w:tcW w:w="360" w:type="dxa"/>
            <w:vAlign w:val="bottom"/>
            <w:tcBorders>
              <w:bottom w:val="single" w:sz="8" w:color="050505"/>
            </w:tcBorders>
          </w:tcPr>
          <w:p>
            <w:pPr>
              <w:spacing w:after="0"/>
              <w:rPr>
                <w:sz w:val="24"/>
                <w:szCs w:val="24"/>
                <w:color w:val="auto"/>
              </w:rPr>
            </w:pPr>
          </w:p>
        </w:tc>
        <w:tc>
          <w:tcPr>
            <w:tcW w:w="1200" w:type="dxa"/>
            <w:vAlign w:val="bottom"/>
            <w:tcBorders>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16,052</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Loss before income taxes</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(257,147)</w:t>
            </w:r>
          </w:p>
        </w:tc>
      </w:tr>
      <w:tr>
        <w:trPr>
          <w:trHeight w:val="31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Benefit (expense) from income taxes</w:t>
            </w:r>
          </w:p>
        </w:tc>
        <w:tc>
          <w:tcPr>
            <w:tcW w:w="280" w:type="dxa"/>
            <w:vAlign w:val="bottom"/>
          </w:tcPr>
          <w:p>
            <w:pPr>
              <w:spacing w:after="0"/>
              <w:rPr>
                <w:sz w:val="24"/>
                <w:szCs w:val="24"/>
                <w:color w:val="auto"/>
              </w:rPr>
            </w:pP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05050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050505"/>
              </w:rPr>
              <w:t>(443)</w:t>
            </w:r>
          </w:p>
        </w:tc>
      </w:tr>
      <w:tr>
        <w:trPr>
          <w:trHeight w:val="26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050505"/>
              </w:rPr>
              <w:t>Net loss</w:t>
            </w:r>
          </w:p>
        </w:tc>
        <w:tc>
          <w:tcPr>
            <w:tcW w:w="280" w:type="dxa"/>
            <w:vAlign w:val="bottom"/>
            <w:tcBorders>
              <w:top w:val="single" w:sz="8" w:color="050505"/>
              <w:bottom w:val="single" w:sz="8" w:color="050505"/>
            </w:tcBorders>
          </w:tcPr>
          <w:p>
            <w:pPr>
              <w:spacing w:after="0"/>
              <w:rPr>
                <w:sz w:val="22"/>
                <w:szCs w:val="22"/>
                <w:color w:val="auto"/>
              </w:rPr>
            </w:pPr>
          </w:p>
        </w:tc>
        <w:tc>
          <w:tcPr>
            <w:tcW w:w="1260" w:type="dxa"/>
            <w:vAlign w:val="bottom"/>
            <w:tcBorders>
              <w:top w:val="single" w:sz="8" w:color="050505"/>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(190,886)</w:t>
            </w:r>
          </w:p>
        </w:tc>
        <w:tc>
          <w:tcPr>
            <w:tcW w:w="60" w:type="dxa"/>
            <w:vAlign w:val="bottom"/>
          </w:tcPr>
          <w:p>
            <w:pPr>
              <w:spacing w:after="0"/>
              <w:rPr>
                <w:sz w:val="22"/>
                <w:szCs w:val="22"/>
                <w:color w:val="auto"/>
              </w:rPr>
            </w:pPr>
          </w:p>
        </w:tc>
        <w:tc>
          <w:tcPr>
            <w:tcW w:w="360" w:type="dxa"/>
            <w:vAlign w:val="bottom"/>
            <w:tcBorders>
              <w:top w:val="single" w:sz="8" w:color="050505"/>
              <w:bottom w:val="single" w:sz="8" w:color="050505"/>
            </w:tcBorders>
          </w:tcPr>
          <w:p>
            <w:pPr>
              <w:spacing w:after="0"/>
              <w:rPr>
                <w:sz w:val="22"/>
                <w:szCs w:val="22"/>
                <w:color w:val="auto"/>
              </w:rPr>
            </w:pPr>
          </w:p>
        </w:tc>
        <w:tc>
          <w:tcPr>
            <w:tcW w:w="1200" w:type="dxa"/>
            <w:vAlign w:val="bottom"/>
            <w:tcBorders>
              <w:top w:val="single" w:sz="8" w:color="050505"/>
              <w:bottom w:val="single" w:sz="8" w:color="050505"/>
            </w:tcBorders>
          </w:tcPr>
          <w:p>
            <w:pPr>
              <w:jc w:val="right"/>
              <w:spacing w:after="0"/>
              <w:rPr>
                <w:sz w:val="20"/>
                <w:szCs w:val="20"/>
                <w:color w:val="auto"/>
              </w:rPr>
            </w:pPr>
            <w:r>
              <w:rPr>
                <w:rFonts w:ascii="Times New Roman" w:cs="Times New Roman" w:eastAsia="Times New Roman" w:hAnsi="Times New Roman"/>
                <w:sz w:val="20"/>
                <w:szCs w:val="20"/>
                <w:color w:val="050505"/>
              </w:rPr>
              <w:t>(257,590)</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050505"/>
            </w:tcBorders>
          </w:tcPr>
          <w:p>
            <w:pPr>
              <w:spacing w:after="0" w:line="20" w:lineRule="exact"/>
              <w:rPr>
                <w:sz w:val="1"/>
                <w:szCs w:val="1"/>
                <w:color w:val="auto"/>
              </w:rPr>
            </w:pPr>
          </w:p>
        </w:tc>
        <w:tc>
          <w:tcPr>
            <w:tcW w:w="1260" w:type="dxa"/>
            <w:vAlign w:val="bottom"/>
            <w:tcBorders>
              <w:bottom w:val="single" w:sz="8" w:color="05050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050505"/>
            </w:tcBorders>
          </w:tcPr>
          <w:p>
            <w:pPr>
              <w:spacing w:after="0" w:line="20" w:lineRule="exact"/>
              <w:rPr>
                <w:sz w:val="1"/>
                <w:szCs w:val="1"/>
                <w:color w:val="auto"/>
              </w:rPr>
            </w:pPr>
          </w:p>
        </w:tc>
        <w:tc>
          <w:tcPr>
            <w:tcW w:w="1200" w:type="dxa"/>
            <w:vAlign w:val="bottom"/>
            <w:tcBorders>
              <w:bottom w:val="single" w:sz="8" w:color="05050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-43815</wp:posOffset>
            </wp:positionV>
            <wp:extent cx="2025650"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7">
                      <a:extLst>
                        <a:ext uri="{28A0092B-C50C-407E-A947-70E740481C1C}"/>
                      </a:extLst>
                    </a:blip>
                    <a:srcRect/>
                    <a:stretch>
                      <a:fillRect/>
                    </a:stretch>
                  </pic:blipFill>
                  <pic:spPr bwMode="auto">
                    <a:xfrm>
                      <a:off x="0" y="0"/>
                      <a:ext cx="2025650" cy="50800"/>
                    </a:xfrm>
                    <a:prstGeom prst="rect">
                      <a:avLst/>
                    </a:prstGeom>
                    <a:noFill/>
                  </pic:spPr>
                </pic:pic>
              </a:graphicData>
            </a:graphic>
          </wp:anchor>
        </w:drawing>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50505"/>
        </w:rPr>
        <w:t>136</w:t>
      </w:r>
    </w:p>
    <w:p>
      <w:pPr>
        <w:sectPr>
          <w:pgSz w:w="12240" w:h="15840" w:orient="portrait"/>
          <w:cols w:equalWidth="0" w:num="1">
            <w:col w:w="10260"/>
          </w:cols>
          <w:pgMar w:left="1000" w:top="786" w:right="980" w:bottom="0" w:gutter="0" w:footer="0" w:header="0"/>
          <w:type w:val="continuous"/>
        </w:sectPr>
      </w:pPr>
    </w:p>
    <w:bookmarkStart w:id="140" w:name="page141"/>
    <w:bookmarkEnd w:id="140"/>
    <w:p>
      <w:pPr>
        <w:ind w:firstLine="720"/>
        <w:spacing w:after="0" w:line="255" w:lineRule="auto"/>
        <w:rPr>
          <w:sz w:val="20"/>
          <w:szCs w:val="20"/>
          <w:color w:val="auto"/>
        </w:rPr>
      </w:pPr>
      <w:r>
        <w:rPr>
          <w:rFonts w:ascii="Times New Roman" w:cs="Times New Roman" w:eastAsia="Times New Roman" w:hAnsi="Times New Roman"/>
          <w:sz w:val="20"/>
          <w:szCs w:val="20"/>
          <w:color w:val="050505"/>
        </w:rPr>
        <w:t>Cema-cel includes external development and clinical trial costs related to ALPHA3, ALPHA2, CLL, and ALLO-501 programs. All other development costs include external development and clinical trial costs related to ALLO-329, ALLO-316, ALLO-647, BCMA, and other programs. Supporting external spend includes professional services, research and development lab supplies and other supporting activities related to the research and development and other business operations. Other operating expenses are primarily related to non-cash expenses such as stock-based compensation, impairment, and depreciation and amortization. The measure of segment assets is reported on the consolidated balance sheets as total assets. Primarily, all revenue generated and all long-lived assets are maintained in the United States.</w:t>
      </w:r>
    </w:p>
    <w:p>
      <w:pPr>
        <w:sectPr>
          <w:pgSz w:w="12240" w:h="15840" w:orient="portrait"/>
          <w:cols w:equalWidth="0" w:num="1">
            <w:col w:w="10180"/>
          </w:cols>
          <w:pgMar w:left="1000" w:top="79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050505"/>
        </w:rPr>
        <w:t>137</w:t>
      </w:r>
    </w:p>
    <w:p>
      <w:pPr>
        <w:sectPr>
          <w:pgSz w:w="12240" w:h="15840" w:orient="portrait"/>
          <w:cols w:equalWidth="0" w:num="1">
            <w:col w:w="10180"/>
          </w:cols>
          <w:pgMar w:left="1000" w:top="793" w:right="106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050505"/>
        </w:rPr>
        <w:t>Item 9. Changes in and Disagreements with Accountants on Accounting and Financial Disclosure.</w:t>
      </w:r>
    </w:p>
    <w:p>
      <w:pPr>
        <w:spacing w:after="0" w:line="1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Conclusions Regarding the Effectiveness of Disclosure Controls and Procedures</w:t>
      </w:r>
    </w:p>
    <w:p>
      <w:pPr>
        <w:spacing w:after="0" w:line="137"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050505"/>
        </w:rPr>
        <w:t>As of December 31, 2025,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w:t>
      </w:r>
    </w:p>
    <w:p>
      <w:pPr>
        <w:spacing w:after="0" w:line="90" w:lineRule="exact"/>
        <w:rPr>
          <w:sz w:val="20"/>
          <w:szCs w:val="20"/>
          <w:color w:val="auto"/>
        </w:rPr>
      </w:pPr>
    </w:p>
    <w:p>
      <w:pPr>
        <w:ind w:right="300" w:firstLine="720"/>
        <w:spacing w:after="0" w:line="266" w:lineRule="auto"/>
        <w:rPr>
          <w:sz w:val="20"/>
          <w:szCs w:val="20"/>
          <w:color w:val="auto"/>
        </w:rPr>
      </w:pPr>
      <w:r>
        <w:rPr>
          <w:rFonts w:ascii="Times New Roman" w:cs="Times New Roman" w:eastAsia="Times New Roman" w:hAnsi="Times New Roman"/>
          <w:sz w:val="20"/>
          <w:szCs w:val="20"/>
          <w:color w:val="050505"/>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75" w:lineRule="exact"/>
        <w:rPr>
          <w:sz w:val="20"/>
          <w:szCs w:val="20"/>
          <w:color w:val="auto"/>
        </w:rPr>
      </w:pPr>
    </w:p>
    <w:p>
      <w:pPr>
        <w:ind w:right="40" w:firstLine="720"/>
        <w:spacing w:after="0" w:line="281" w:lineRule="auto"/>
        <w:rPr>
          <w:sz w:val="20"/>
          <w:szCs w:val="20"/>
          <w:color w:val="auto"/>
        </w:rPr>
      </w:pPr>
      <w:r>
        <w:rPr>
          <w:rFonts w:ascii="Times New Roman" w:cs="Times New Roman" w:eastAsia="Times New Roman" w:hAnsi="Times New Roman"/>
          <w:sz w:val="20"/>
          <w:szCs w:val="20"/>
          <w:color w:val="050505"/>
        </w:rPr>
        <w:t>Based on this evaluation, our Chief Executive Officer and Chief Financial Officer concluded that, as of December 31, 2025, the design and operation of our disclosure controls and procedures were effective at a reasonable assurance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Management’s Annual Report on Internal Control Over Financial Reporting</w:t>
      </w:r>
    </w:p>
    <w:p>
      <w:pPr>
        <w:spacing w:after="0" w:line="13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050505"/>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050505"/>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Inherent Limitations of Internal Controls</w:t>
      </w:r>
    </w:p>
    <w:p>
      <w:pPr>
        <w:spacing w:after="0" w:line="137" w:lineRule="exact"/>
        <w:rPr>
          <w:sz w:val="20"/>
          <w:szCs w:val="20"/>
          <w:color w:val="auto"/>
        </w:rPr>
      </w:pPr>
    </w:p>
    <w:p>
      <w:pPr>
        <w:ind w:right="100" w:firstLine="720"/>
        <w:spacing w:after="0" w:line="286" w:lineRule="auto"/>
        <w:rPr>
          <w:sz w:val="20"/>
          <w:szCs w:val="20"/>
          <w:color w:val="auto"/>
        </w:rPr>
      </w:pPr>
      <w:r>
        <w:rPr>
          <w:rFonts w:ascii="Times New Roman" w:cs="Times New Roman" w:eastAsia="Times New Roman" w:hAnsi="Times New Roman"/>
          <w:sz w:val="19"/>
          <w:szCs w:val="19"/>
          <w:color w:val="050505"/>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Changes in Internal Control over Financial Reporting</w:t>
      </w:r>
    </w:p>
    <w:p>
      <w:pPr>
        <w:spacing w:after="0" w:line="137"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050505"/>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There were key changes to our internal control over financial reporting identified in connection with the evaluation required by Rule 13a-15(d) and 15d-15(d) of the Exchange Act that occurred during the year ended December 31, 2025 that have materially affected, or are reasonably likely to materially affect, our internal control over financial reporting. These changes are discussed above in our remediation measures.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9B. Other Information.</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050505"/>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9C. Disclosure Regarding Foreign Jurisdictions that Prevent Inspections.</w:t>
      </w:r>
    </w:p>
    <w:p>
      <w:pPr>
        <w:spacing w:after="0" w:line="1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050505"/>
        </w:rPr>
        <w:t>None.</w:t>
      </w: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050505"/>
        </w:rPr>
        <w:t>138</w:t>
      </w:r>
    </w:p>
    <w:p>
      <w:pPr>
        <w:sectPr>
          <w:pgSz w:w="12240" w:h="15840" w:orient="portrait"/>
          <w:cols w:equalWidth="0" w:num="1">
            <w:col w:w="10180"/>
          </w:cols>
          <w:pgMar w:left="1000" w:top="786" w:right="1060" w:bottom="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050505"/>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10. Directors, Executive Officers and Corporate Governance.</w:t>
      </w:r>
    </w:p>
    <w:p>
      <w:pPr>
        <w:spacing w:after="0" w:line="137"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050505"/>
        </w:rPr>
        <w:t>The information required by this Item and not set forth below will be set forth in the sections headed “Election of Directors” and “Information Regarding the Board of Directors and Corporate Governance” in our definitive proxy statement for our 2026 Annual Meeting of Stockholders to be filed with the SEC on or before April 30, 2026 (our Proxy Statement) and is incorporated in this Annual Report by reference.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11. Executive Compensation.</w:t>
      </w:r>
    </w:p>
    <w:p>
      <w:pPr>
        <w:spacing w:after="0" w:line="137" w:lineRule="exact"/>
        <w:rPr>
          <w:sz w:val="20"/>
          <w:szCs w:val="20"/>
          <w:color w:val="auto"/>
        </w:rPr>
      </w:pPr>
    </w:p>
    <w:p>
      <w:pPr>
        <w:ind w:right="180" w:firstLine="720"/>
        <w:spacing w:after="0" w:line="281" w:lineRule="auto"/>
        <w:rPr>
          <w:sz w:val="20"/>
          <w:szCs w:val="20"/>
          <w:color w:val="auto"/>
        </w:rPr>
      </w:pPr>
      <w:r>
        <w:rPr>
          <w:rFonts w:ascii="Times New Roman" w:cs="Times New Roman" w:eastAsia="Times New Roman" w:hAnsi="Times New Roman"/>
          <w:sz w:val="20"/>
          <w:szCs w:val="20"/>
          <w:color w:val="050505"/>
        </w:rPr>
        <w:t>The information required by this Item will be set forth in the section headed “Executive Compensation” in our Proxy Statement and is incorporated in this Annual Report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12. Security Ownership of Certain Beneficial Owners and Management and Related Stockholder Matters.</w:t>
      </w:r>
    </w:p>
    <w:p>
      <w:pPr>
        <w:spacing w:after="0" w:line="137"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050505"/>
        </w:rPr>
        <w:t>The information required by this Item will be set forth in the section headed “Security Ownership of Certain Beneficial Owners and Management” in our Proxy Statement and is incorporated in this Annual Report by reference.</w:t>
      </w:r>
    </w:p>
    <w:p>
      <w:pPr>
        <w:spacing w:after="0" w:line="61"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050505"/>
        </w:rPr>
        <w:t>Information regarding our equity compensation plans will be set forth in the section headed “Executive Compensation” in our Proxy Statement and is incorporated in this Annual Report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13. Certain Relationships and Related Transactions, and Director Independence.</w:t>
      </w:r>
    </w:p>
    <w:p>
      <w:pPr>
        <w:spacing w:after="0" w:line="137"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050505"/>
        </w:rPr>
        <w:t>The information required by this Item will be set forth in the sections headed “Transactions With Related Persons” and “Information Regarding the Board of Directors and Corporate Governance” in our Proxy Statement and is incorporated in this Annual Report by reference.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14. Principal Accounting Fees and Services.</w:t>
      </w:r>
    </w:p>
    <w:p>
      <w:pPr>
        <w:spacing w:after="0" w:line="137" w:lineRule="exact"/>
        <w:rPr>
          <w:sz w:val="20"/>
          <w:szCs w:val="20"/>
          <w:color w:val="auto"/>
        </w:rPr>
      </w:pPr>
    </w:p>
    <w:p>
      <w:pPr>
        <w:ind w:right="780" w:firstLine="720"/>
        <w:spacing w:after="0" w:line="266" w:lineRule="auto"/>
        <w:rPr>
          <w:sz w:val="20"/>
          <w:szCs w:val="20"/>
          <w:color w:val="auto"/>
        </w:rPr>
      </w:pPr>
      <w:r>
        <w:rPr>
          <w:rFonts w:ascii="Times New Roman" w:cs="Times New Roman" w:eastAsia="Times New Roman" w:hAnsi="Times New Roman"/>
          <w:sz w:val="20"/>
          <w:szCs w:val="20"/>
          <w:color w:val="050505"/>
        </w:rPr>
        <w:t>The information required by this Item will be set forth in the section headed “—Ratification of Selection of Independent Registered Public Accounting Firm” in our Proxy Statement and is incorporated in this Annual Report by reference.</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139</w:t>
      </w:r>
    </w:p>
    <w:p>
      <w:pPr>
        <w:sectPr>
          <w:pgSz w:w="12240" w:h="15840" w:orient="portrait"/>
          <w:cols w:equalWidth="0" w:num="1">
            <w:col w:w="10240"/>
          </w:cols>
          <w:pgMar w:left="1000" w:top="786" w:right="1000" w:bottom="0" w:gutter="0" w:footer="0" w:header="0"/>
          <w:type w:val="continuous"/>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050505"/>
        </w:rPr>
        <w:t>PART IV</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50505"/>
        </w:rPr>
        <w:t>Item 15. Exhibits, Financial Statement Schedules.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(a)(1) Financial Statements.</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response to this portion of Item 15 is set forth under Part II, Item 8 above.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(a)(2) Financial Statement Schedules.</w:t>
      </w:r>
    </w:p>
    <w:p>
      <w:pPr>
        <w:spacing w:after="0" w:line="130" w:lineRule="exact"/>
        <w:rPr>
          <w:sz w:val="20"/>
          <w:szCs w:val="20"/>
          <w:color w:val="auto"/>
        </w:rPr>
      </w:pPr>
    </w:p>
    <w:p>
      <w:pPr>
        <w:ind w:right="460" w:firstLine="720"/>
        <w:spacing w:after="0" w:line="281" w:lineRule="auto"/>
        <w:rPr>
          <w:sz w:val="20"/>
          <w:szCs w:val="20"/>
          <w:color w:val="auto"/>
        </w:rPr>
      </w:pPr>
      <w:r>
        <w:rPr>
          <w:rFonts w:ascii="Times New Roman" w:cs="Times New Roman" w:eastAsia="Times New Roman" w:hAnsi="Times New Roman"/>
          <w:sz w:val="20"/>
          <w:szCs w:val="20"/>
          <w:color w:val="050505"/>
        </w:rPr>
        <w:t>All schedules have been omitted because they are not required or because the required information is given in the Financial Statements or Notes thereto set forth under Item 8 above.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0505"/>
        </w:rPr>
        <w:t>(a)(3) Exhibits.</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50505"/>
        </w:rPr>
        <w:t>The exhibits listed in the Exhibit Index below are filed or incorporated by reference as part of this Annual Report.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3460"/>
              <w:spacing w:after="0"/>
              <w:rPr>
                <w:sz w:val="20"/>
                <w:szCs w:val="20"/>
                <w:color w:val="auto"/>
              </w:rPr>
            </w:pPr>
            <w:r>
              <w:rPr>
                <w:rFonts w:ascii="Times New Roman" w:cs="Times New Roman" w:eastAsia="Times New Roman" w:hAnsi="Times New Roman"/>
                <w:sz w:val="20"/>
                <w:szCs w:val="20"/>
                <w:b w:val="1"/>
                <w:bCs w:val="1"/>
                <w:color w:val="050505"/>
              </w:rPr>
              <w:t>Exhibit Index</w:t>
            </w:r>
          </w:p>
        </w:tc>
      </w:tr>
      <w:tr>
        <w:trPr>
          <w:trHeight w:val="228"/>
        </w:trPr>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050505"/>
              </w:rPr>
              <w:t>Exhibit</w:t>
            </w:r>
          </w:p>
        </w:tc>
        <w:tc>
          <w:tcPr>
            <w:tcW w:w="80" w:type="dxa"/>
            <w:vAlign w:val="bottom"/>
          </w:tcPr>
          <w:p>
            <w:pPr>
              <w:spacing w:after="0"/>
              <w:rPr>
                <w:sz w:val="19"/>
                <w:szCs w:val="19"/>
                <w:color w:val="auto"/>
              </w:rPr>
            </w:pPr>
          </w:p>
        </w:tc>
        <w:tc>
          <w:tcPr>
            <w:tcW w:w="9160" w:type="dxa"/>
            <w:vAlign w:val="bottom"/>
          </w:tcPr>
          <w:p>
            <w:pPr>
              <w:ind w:left="4180"/>
              <w:spacing w:after="0"/>
              <w:rPr>
                <w:sz w:val="20"/>
                <w:szCs w:val="20"/>
                <w:color w:val="auto"/>
              </w:rPr>
            </w:pPr>
            <w:r>
              <w:rPr>
                <w:rFonts w:ascii="Times New Roman" w:cs="Times New Roman" w:eastAsia="Times New Roman" w:hAnsi="Times New Roman"/>
                <w:sz w:val="16"/>
                <w:szCs w:val="16"/>
                <w:b w:val="1"/>
                <w:bCs w:val="1"/>
                <w:color w:val="050505"/>
              </w:rPr>
              <w:t>Description</w:t>
            </w:r>
          </w:p>
        </w:tc>
      </w:tr>
      <w:tr>
        <w:trPr>
          <w:trHeight w:val="227"/>
        </w:trPr>
        <w:tc>
          <w:tcPr>
            <w:tcW w:w="100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16"/>
                <w:szCs w:val="16"/>
                <w:b w:val="1"/>
                <w:bCs w:val="1"/>
                <w:color w:val="050505"/>
                <w:w w:val="98"/>
              </w:rPr>
              <w:t>Number</w:t>
            </w:r>
          </w:p>
        </w:tc>
        <w:tc>
          <w:tcPr>
            <w:tcW w:w="80" w:type="dxa"/>
            <w:vAlign w:val="bottom"/>
          </w:tcPr>
          <w:p>
            <w:pPr>
              <w:spacing w:after="0"/>
              <w:rPr>
                <w:sz w:val="19"/>
                <w:szCs w:val="19"/>
                <w:color w:val="auto"/>
              </w:rPr>
            </w:pPr>
          </w:p>
        </w:tc>
        <w:tc>
          <w:tcPr>
            <w:tcW w:w="9160" w:type="dxa"/>
            <w:vAlign w:val="bottom"/>
            <w:tcBorders>
              <w:bottom w:val="single" w:sz="8" w:color="050505"/>
            </w:tcBorders>
          </w:tcPr>
          <w:p>
            <w:pPr>
              <w:spacing w:after="0"/>
              <w:rPr>
                <w:sz w:val="19"/>
                <w:szCs w:val="19"/>
                <w:color w:val="auto"/>
              </w:rPr>
            </w:pPr>
          </w:p>
        </w:tc>
      </w:tr>
      <w:tr>
        <w:trPr>
          <w:trHeight w:val="279"/>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5"/>
              </w:rPr>
              <w:t>3.1</w:t>
            </w:r>
          </w:p>
        </w:tc>
        <w:tc>
          <w:tcPr>
            <w:tcW w:w="80" w:type="dxa"/>
            <w:vAlign w:val="bottom"/>
          </w:tcPr>
          <w:p>
            <w:pPr>
              <w:spacing w:after="0"/>
              <w:rPr>
                <w:sz w:val="24"/>
                <w:szCs w:val="24"/>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Amended and Restated Certificate of Incorporation of the Registrant (incorporated by reference to Exhibit 3.1 to</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the Registrant’s Current Report on Form 8-K (File No. 001-38693), filed with the SEC on October 15, 2018).</w:t>
            </w:r>
          </w:p>
        </w:tc>
      </w:tr>
      <w:tr>
        <w:trPr>
          <w:trHeight w:val="23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5"/>
              </w:rPr>
              <w:t>3.2</w:t>
            </w:r>
          </w:p>
        </w:tc>
        <w:tc>
          <w:tcPr>
            <w:tcW w:w="8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Certificate of Amendment of Amended and Restated Certificate of Incorporation of the Registrant (incorporated</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by reference to Exhibit 3.1 to the Registrant’s Current Report on Form 8-K (File No. 001-38693), filed with the</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SEC on June 17, 2022).</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5"/>
              </w:rPr>
              <w:t>3.3</w:t>
            </w:r>
          </w:p>
        </w:tc>
        <w:tc>
          <w:tcPr>
            <w:tcW w:w="80" w:type="dxa"/>
            <w:vAlign w:val="bottom"/>
          </w:tcPr>
          <w:p>
            <w:pPr>
              <w:spacing w:after="0"/>
              <w:rPr>
                <w:sz w:val="21"/>
                <w:szCs w:val="21"/>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Amended and Restated Bylaws of the Registrant (incorporated by reference to Exhibit 3.2 to the Registrant’s</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Current Report on Form 8-K (File No. 001-38693), filed with the SEC on October 15, 2018).</w:t>
            </w:r>
          </w:p>
        </w:tc>
      </w:tr>
      <w:tr>
        <w:trPr>
          <w:trHeight w:val="29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5"/>
              </w:rPr>
              <w:t>4.1</w:t>
            </w:r>
          </w:p>
        </w:tc>
        <w:tc>
          <w:tcPr>
            <w:tcW w:w="80" w:type="dxa"/>
            <w:vAlign w:val="bottom"/>
          </w:tcPr>
          <w:p>
            <w:pPr>
              <w:spacing w:after="0"/>
              <w:rPr>
                <w:sz w:val="24"/>
                <w:szCs w:val="24"/>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Reference is made to Exhibits 3.1, 3.2 and 3.3</w:t>
            </w:r>
          </w:p>
        </w:tc>
      </w:tr>
      <w:tr>
        <w:trPr>
          <w:trHeight w:val="2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5"/>
              </w:rPr>
              <w:t>4.2</w:t>
            </w:r>
          </w:p>
        </w:tc>
        <w:tc>
          <w:tcPr>
            <w:tcW w:w="8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Form of Common Stock Certificate of the Registrant (incorporated by reference to Exhibit 4.1 to the Registrant’s</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Registration Statement on Form S-1, as amended (File No. 333-227333), filed with the SEC on October 2, 2018.</w:t>
            </w:r>
          </w:p>
        </w:tc>
      </w:tr>
      <w:tr>
        <w:trPr>
          <w:trHeight w:val="26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5"/>
              </w:rPr>
              <w:t>4.3</w:t>
            </w:r>
          </w:p>
        </w:tc>
        <w:tc>
          <w:tcPr>
            <w:tcW w:w="80" w:type="dxa"/>
            <w:vAlign w:val="bottom"/>
          </w:tcPr>
          <w:p>
            <w:pPr>
              <w:spacing w:after="0"/>
              <w:rPr>
                <w:sz w:val="23"/>
                <w:szCs w:val="23"/>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Description of Common Stock (incorporated by reference to Exhibit 4.3 to the Registrant’s Annual Report on</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Form 10-K for the year ended December 31, 2022, filed with the SEC on February 28, 2023).</w:t>
            </w:r>
          </w:p>
        </w:tc>
      </w:tr>
      <w:tr>
        <w:trPr>
          <w:trHeight w:val="23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10.1+</w:t>
            </w:r>
          </w:p>
        </w:tc>
        <w:tc>
          <w:tcPr>
            <w:tcW w:w="8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Form of Indemnity Agreement by and between the Registrant and its directors and officers (incorporated by</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reference to Exhibit 10.1 to the Registrant’s Registration Statement on Form S-1, as amended (File No.</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333-227333), filed with the SEC on October 2, 2018).</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10.2+</w:t>
            </w:r>
          </w:p>
        </w:tc>
        <w:tc>
          <w:tcPr>
            <w:tcW w:w="80" w:type="dxa"/>
            <w:vAlign w:val="bottom"/>
          </w:tcPr>
          <w:p>
            <w:pPr>
              <w:spacing w:after="0"/>
              <w:rPr>
                <w:sz w:val="21"/>
                <w:szCs w:val="21"/>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Indemnification Agreement, dated April 6, 2018, by and between the Registrant and John DeYoung</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(incorporated by reference to Exhibit 10.2 to the Registrant’s Registration Statement on Form S-1, as amended</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(File No. 333-227333), filed with the SEC on October 2, 2018).</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10.3+</w:t>
            </w:r>
          </w:p>
        </w:tc>
        <w:tc>
          <w:tcPr>
            <w:tcW w:w="80" w:type="dxa"/>
            <w:vAlign w:val="bottom"/>
          </w:tcPr>
          <w:p>
            <w:pPr>
              <w:spacing w:after="0"/>
              <w:rPr>
                <w:sz w:val="21"/>
                <w:szCs w:val="21"/>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Allogene Therapeutics, Inc. Amended and Restated 2018 Equity Incentive Plan (Prior Plan) and Forms of Stock</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Option Grant Notice, Option Agreement, Notice of Exercise and Early Exercise Stock Purchase Agreement</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thereunder, as amended (incorporated by reference to Exhibit 10.2 to the Registrant’s Registration Statement on</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Form S-1, as amended (File No. 333-227333), filed with the SEC on September 14, 2018).</w:t>
            </w:r>
          </w:p>
        </w:tc>
      </w:tr>
      <w:tr>
        <w:trPr>
          <w:trHeight w:val="2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10.4+</w:t>
            </w:r>
          </w:p>
        </w:tc>
        <w:tc>
          <w:tcPr>
            <w:tcW w:w="8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Allogene Therapeutics, Inc. Amended and Restated 2018 Equity Incentive Plan and Forms of Stock Option</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Grant Notice, Option Agreement, Notice of Exercise, Restricted Stock Unit Grant Notice and Restricted Stock</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Unit Award Agreement thereunder (incorporated by reference to Exhibit 99.2 to the Registrant’s Registration</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Statement on Form S-8 (File No. 333-227965), filed with the SEC on October 24, 2018).</w:t>
            </w:r>
          </w:p>
        </w:tc>
      </w:tr>
      <w:tr>
        <w:trPr>
          <w:trHeight w:val="2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10.5+</w:t>
            </w:r>
          </w:p>
        </w:tc>
        <w:tc>
          <w:tcPr>
            <w:tcW w:w="80" w:type="dxa"/>
            <w:vAlign w:val="bottom"/>
          </w:tcPr>
          <w:p>
            <w:pPr>
              <w:spacing w:after="0"/>
              <w:rPr>
                <w:sz w:val="20"/>
                <w:szCs w:val="20"/>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Allogene Therapeutics, Inc. 2018 Employee Stock Purchase Plan (incorporated by reference to Exhibit 99.3 to</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the Registrant’s Registration Statement on Form S-8 (File No. 333-227965), filed with the SEC on October 24,</w:t>
            </w:r>
          </w:p>
        </w:tc>
      </w:tr>
      <w:tr>
        <w:trPr>
          <w:trHeight w:val="260"/>
        </w:trPr>
        <w:tc>
          <w:tcPr>
            <w:tcW w:w="1000" w:type="dxa"/>
            <w:vAlign w:val="bottom"/>
          </w:tcPr>
          <w:p>
            <w:pPr>
              <w:spacing w:after="0"/>
              <w:rPr>
                <w:sz w:val="22"/>
                <w:szCs w:val="22"/>
                <w:color w:val="auto"/>
              </w:rPr>
            </w:pPr>
          </w:p>
        </w:tc>
        <w:tc>
          <w:tcPr>
            <w:tcW w:w="9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50505"/>
              </w:rPr>
              <w:t>2018).</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10.6+</w:t>
            </w:r>
          </w:p>
        </w:tc>
        <w:tc>
          <w:tcPr>
            <w:tcW w:w="80" w:type="dxa"/>
            <w:vAlign w:val="bottom"/>
          </w:tcPr>
          <w:p>
            <w:pPr>
              <w:spacing w:after="0"/>
              <w:rPr>
                <w:sz w:val="21"/>
                <w:szCs w:val="21"/>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Allogene Therapeutics, Inc. 2018 Change in Control Plan and Severance Benefit Plan (incorporated by reference</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to Exhibit 10.6 to the Registrant’s Registration Statement on Form S-1, as amended (File No. 333-227333), filed</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with the SEC on October 2, 2018).</w:t>
            </w:r>
          </w:p>
        </w:tc>
      </w:tr>
      <w:tr>
        <w:trPr>
          <w:trHeight w:val="24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10.7+</w:t>
            </w:r>
          </w:p>
        </w:tc>
        <w:tc>
          <w:tcPr>
            <w:tcW w:w="80" w:type="dxa"/>
            <w:vAlign w:val="bottom"/>
          </w:tcPr>
          <w:p>
            <w:pPr>
              <w:spacing w:after="0"/>
              <w:rPr>
                <w:sz w:val="21"/>
                <w:szCs w:val="21"/>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Non-employee director compensation policy, as amended (incorporated by reference to Exhibit 10.1 to the</w:t>
            </w:r>
          </w:p>
        </w:tc>
      </w:tr>
      <w:tr>
        <w:trPr>
          <w:trHeight w:val="260"/>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Registrant's Quarterly Report on Form 10-Q, filed with the SEC on May 13, 2025).</w:t>
            </w:r>
          </w:p>
        </w:tc>
      </w:tr>
      <w:tr>
        <w:trPr>
          <w:trHeight w:val="26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10.8+</w:t>
            </w:r>
          </w:p>
        </w:tc>
        <w:tc>
          <w:tcPr>
            <w:tcW w:w="80" w:type="dxa"/>
            <w:vAlign w:val="bottom"/>
          </w:tcPr>
          <w:p>
            <w:pPr>
              <w:spacing w:after="0"/>
              <w:rPr>
                <w:sz w:val="23"/>
                <w:szCs w:val="23"/>
                <w:color w:val="auto"/>
              </w:rPr>
            </w:pPr>
          </w:p>
        </w:tc>
        <w:tc>
          <w:tcPr>
            <w:tcW w:w="9160" w:type="dxa"/>
            <w:vAlign w:val="bottom"/>
          </w:tcPr>
          <w:p>
            <w:pPr>
              <w:ind w:left="60"/>
              <w:spacing w:after="0"/>
              <w:rPr>
                <w:sz w:val="20"/>
                <w:szCs w:val="20"/>
                <w:color w:val="auto"/>
              </w:rPr>
            </w:pPr>
            <w:r>
              <w:rPr>
                <w:rFonts w:ascii="Times New Roman" w:cs="Times New Roman" w:eastAsia="Times New Roman" w:hAnsi="Times New Roman"/>
                <w:sz w:val="20"/>
                <w:szCs w:val="20"/>
                <w:color w:val="050505"/>
              </w:rPr>
              <w:t>Non-employee Director Restricted Stock Unit Grant Notice and Award Agreement, as amended (incorporated by</w:t>
            </w:r>
          </w:p>
        </w:tc>
      </w:tr>
      <w:tr>
        <w:trPr>
          <w:trHeight w:val="200"/>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050505"/>
              </w:rPr>
              <w:t>reference to Exhibit 10.5 to the Registrant's Quarterly Report on Form 10-Q, filed with the SEC on May 13,</w:t>
            </w:r>
          </w:p>
        </w:tc>
      </w:tr>
      <w:tr>
        <w:trPr>
          <w:trHeight w:val="260"/>
        </w:trPr>
        <w:tc>
          <w:tcPr>
            <w:tcW w:w="1000" w:type="dxa"/>
            <w:vAlign w:val="bottom"/>
          </w:tcPr>
          <w:p>
            <w:pPr>
              <w:spacing w:after="0"/>
              <w:rPr>
                <w:sz w:val="22"/>
                <w:szCs w:val="22"/>
                <w:color w:val="auto"/>
              </w:rPr>
            </w:pPr>
          </w:p>
        </w:tc>
        <w:tc>
          <w:tcPr>
            <w:tcW w:w="92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50505"/>
              </w:rPr>
              <w:t>2025).</w:t>
            </w: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50505"/>
        </w:rPr>
        <w:t>140</w:t>
      </w:r>
    </w:p>
    <w:p>
      <w:pPr>
        <w:sectPr>
          <w:pgSz w:w="12240" w:h="15840" w:orient="portrait"/>
          <w:cols w:equalWidth="0" w:num="1">
            <w:col w:w="10240"/>
          </w:cols>
          <w:pgMar w:left="1000" w:top="786" w:right="1000" w:bottom="0" w:gutter="0" w:footer="0" w:header="0"/>
          <w:type w:val="continuous"/>
        </w:sectPr>
      </w:pPr>
    </w:p>
    <w:bookmarkStart w:id="144" w:name="page145"/>
    <w:bookmarkEnd w:id="144"/>
    <w:p>
      <w:pPr>
        <w:ind w:left="700" w:right="100" w:hanging="860"/>
        <w:spacing w:after="0" w:line="229" w:lineRule="auto"/>
        <w:tabs>
          <w:tab w:leader="none" w:pos="680" w:val="left"/>
        </w:tabs>
        <w:rPr>
          <w:sz w:val="20"/>
          <w:szCs w:val="20"/>
          <w:color w:val="auto"/>
        </w:rPr>
      </w:pPr>
      <w:r>
        <w:rPr>
          <w:rFonts w:ascii="Times New Roman" w:cs="Times New Roman" w:eastAsia="Times New Roman" w:hAnsi="Times New Roman"/>
          <w:sz w:val="20"/>
          <w:szCs w:val="20"/>
          <w:color w:val="050505"/>
        </w:rPr>
        <w:t>10.9+</w:t>
      </w:r>
      <w:r>
        <w:rPr>
          <w:sz w:val="20"/>
          <w:szCs w:val="20"/>
          <w:color w:val="auto"/>
        </w:rPr>
        <w:tab/>
      </w:r>
      <w:r>
        <w:rPr>
          <w:rFonts w:ascii="Times New Roman" w:cs="Times New Roman" w:eastAsia="Times New Roman" w:hAnsi="Times New Roman"/>
          <w:sz w:val="20"/>
          <w:szCs w:val="20"/>
          <w:color w:val="050505"/>
        </w:rPr>
        <w:t>Employment Agreement, dated June 25, 2018, by and between the Registrant and David Chang, M.D., Ph.D. (incorporated by reference to Exhibit 10.12 to the Registrant’s Registration Statement on Form S-1, as amended (File No. 333-227333), filed with the SEC on September 14, 2018).</w:t>
      </w:r>
    </w:p>
    <w:p>
      <w:pPr>
        <w:spacing w:after="0" w:line="47" w:lineRule="exact"/>
        <w:rPr>
          <w:sz w:val="20"/>
          <w:szCs w:val="20"/>
          <w:color w:val="auto"/>
        </w:rPr>
      </w:pPr>
    </w:p>
    <w:p>
      <w:pPr>
        <w:ind w:left="700" w:right="40" w:hanging="910"/>
        <w:spacing w:after="0" w:line="255" w:lineRule="auto"/>
        <w:tabs>
          <w:tab w:leader="none" w:pos="680" w:val="left"/>
        </w:tabs>
        <w:rPr>
          <w:sz w:val="20"/>
          <w:szCs w:val="20"/>
          <w:color w:val="auto"/>
        </w:rPr>
      </w:pPr>
      <w:r>
        <w:rPr>
          <w:rFonts w:ascii="Times New Roman" w:cs="Times New Roman" w:eastAsia="Times New Roman" w:hAnsi="Times New Roman"/>
          <w:sz w:val="20"/>
          <w:szCs w:val="20"/>
          <w:color w:val="050505"/>
        </w:rPr>
        <w:t>10.10+</w:t>
      </w:r>
      <w:r>
        <w:rPr>
          <w:sz w:val="20"/>
          <w:szCs w:val="20"/>
          <w:color w:val="auto"/>
        </w:rPr>
        <w:tab/>
      </w:r>
      <w:r>
        <w:rPr>
          <w:rFonts w:ascii="Times New Roman" w:cs="Times New Roman" w:eastAsia="Times New Roman" w:hAnsi="Times New Roman"/>
          <w:sz w:val="20"/>
          <w:szCs w:val="20"/>
          <w:color w:val="050505"/>
        </w:rPr>
        <w:t>Employment Letter of Agreement, dated December 28, 2022, by and between the Registrant and Zachary Roberts, M.D., Ph.D. (incorporated by reference to Exhibit 10.13 to the Registrant’s Annual Report on Form 10-K (File No. 001-38693), filed with the SEC on February 28, 2023).</w:t>
      </w:r>
    </w:p>
    <w:p>
      <w:pPr>
        <w:spacing w:after="0" w:line="32" w:lineRule="exact"/>
        <w:rPr>
          <w:sz w:val="20"/>
          <w:szCs w:val="20"/>
          <w:color w:val="auto"/>
        </w:rPr>
      </w:pPr>
    </w:p>
    <w:p>
      <w:pPr>
        <w:ind w:left="700" w:right="480" w:hanging="910"/>
        <w:spacing w:after="0" w:line="264" w:lineRule="auto"/>
        <w:tabs>
          <w:tab w:leader="none" w:pos="680" w:val="left"/>
        </w:tabs>
        <w:rPr>
          <w:sz w:val="20"/>
          <w:szCs w:val="20"/>
          <w:color w:val="auto"/>
        </w:rPr>
      </w:pPr>
      <w:r>
        <w:rPr>
          <w:rFonts w:ascii="Times New Roman" w:cs="Times New Roman" w:eastAsia="Times New Roman" w:hAnsi="Times New Roman"/>
          <w:sz w:val="20"/>
          <w:szCs w:val="20"/>
          <w:color w:val="050505"/>
        </w:rPr>
        <w:t>10.11+</w:t>
      </w:r>
      <w:r>
        <w:rPr>
          <w:sz w:val="20"/>
          <w:szCs w:val="20"/>
          <w:color w:val="auto"/>
        </w:rPr>
        <w:tab/>
      </w:r>
      <w:r>
        <w:rPr>
          <w:rFonts w:ascii="Times New Roman" w:cs="Times New Roman" w:eastAsia="Times New Roman" w:hAnsi="Times New Roman"/>
          <w:sz w:val="19"/>
          <w:szCs w:val="19"/>
          <w:color w:val="050505"/>
        </w:rPr>
        <w:t>Employment Letter of Agreement, dated August 11, 2023, by and between the Registrant and Earl Douglas (incorporated by reference to Exhibit 10.1 to the Registrant’s Quarterly Report on Form 10-Q (File No.</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050505"/>
        </w:rPr>
        <w:t>001-38693), filed with the SEC on November 2, 2023).</w:t>
      </w:r>
    </w:p>
    <w:p>
      <w:pPr>
        <w:spacing w:after="0" w:line="53" w:lineRule="exact"/>
        <w:rPr>
          <w:sz w:val="20"/>
          <w:szCs w:val="20"/>
          <w:color w:val="auto"/>
        </w:rPr>
      </w:pPr>
    </w:p>
    <w:p>
      <w:pPr>
        <w:ind w:left="700" w:right="160" w:hanging="910"/>
        <w:spacing w:after="0" w:line="251" w:lineRule="auto"/>
        <w:tabs>
          <w:tab w:leader="none" w:pos="680" w:val="left"/>
        </w:tabs>
        <w:rPr>
          <w:sz w:val="20"/>
          <w:szCs w:val="20"/>
          <w:color w:val="auto"/>
        </w:rPr>
      </w:pPr>
      <w:r>
        <w:rPr>
          <w:rFonts w:ascii="Times New Roman" w:cs="Times New Roman" w:eastAsia="Times New Roman" w:hAnsi="Times New Roman"/>
          <w:sz w:val="20"/>
          <w:szCs w:val="20"/>
          <w:color w:val="050505"/>
        </w:rPr>
        <w:t>10.12+</w:t>
      </w:r>
      <w:r>
        <w:rPr>
          <w:sz w:val="20"/>
          <w:szCs w:val="20"/>
          <w:color w:val="auto"/>
        </w:rPr>
        <w:tab/>
      </w:r>
      <w:r>
        <w:rPr>
          <w:rFonts w:ascii="Times New Roman" w:cs="Times New Roman" w:eastAsia="Times New Roman" w:hAnsi="Times New Roman"/>
          <w:sz w:val="20"/>
          <w:szCs w:val="20"/>
          <w:color w:val="050505"/>
        </w:rPr>
        <w:t>Employment Letter of Agreement, dated October 12, 2023, by and between the Registrant and Geoffrey Parker (incorporated by reference to Exhibit 10.2 to the Registrant’s Quarterly Report on Form 10-Q (File No.</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050505"/>
        </w:rPr>
        <w:t>001-38693), filed with the SEC on November 2, 2023).</w:t>
      </w:r>
    </w:p>
    <w:p>
      <w:pPr>
        <w:spacing w:after="0" w:line="53" w:lineRule="exact"/>
        <w:rPr>
          <w:sz w:val="20"/>
          <w:szCs w:val="20"/>
          <w:color w:val="auto"/>
        </w:rPr>
      </w:pPr>
    </w:p>
    <w:p>
      <w:pPr>
        <w:ind w:left="700" w:right="60" w:hanging="910"/>
        <w:spacing w:after="0" w:line="255" w:lineRule="auto"/>
        <w:tabs>
          <w:tab w:leader="none" w:pos="680" w:val="left"/>
        </w:tabs>
        <w:rPr>
          <w:sz w:val="20"/>
          <w:szCs w:val="20"/>
          <w:color w:val="auto"/>
        </w:rPr>
      </w:pPr>
      <w:r>
        <w:rPr>
          <w:rFonts w:ascii="Times New Roman" w:cs="Times New Roman" w:eastAsia="Times New Roman" w:hAnsi="Times New Roman"/>
          <w:sz w:val="20"/>
          <w:szCs w:val="20"/>
          <w:color w:val="050505"/>
        </w:rPr>
        <w:t>10.13+</w:t>
      </w:r>
      <w:r>
        <w:rPr>
          <w:sz w:val="20"/>
          <w:szCs w:val="20"/>
          <w:color w:val="auto"/>
        </w:rPr>
        <w:tab/>
      </w:r>
      <w:r>
        <w:rPr>
          <w:rFonts w:ascii="Times New Roman" w:cs="Times New Roman" w:eastAsia="Times New Roman" w:hAnsi="Times New Roman"/>
          <w:sz w:val="20"/>
          <w:szCs w:val="20"/>
          <w:color w:val="050505"/>
        </w:rPr>
        <w:t>Consulting Agreement, effective as of August 9, 2018, by and between the Registrant and Bellco Capital LLC, as amended (incorporated by reference to Exhibit 10.6 to the Registrant's Form 10-Q (File No. 001-38693), filed with the SEC on May 13, 2025).</w:t>
      </w:r>
    </w:p>
    <w:p>
      <w:pPr>
        <w:spacing w:after="0" w:line="32" w:lineRule="exact"/>
        <w:rPr>
          <w:sz w:val="20"/>
          <w:szCs w:val="20"/>
          <w:color w:val="auto"/>
        </w:rPr>
      </w:pPr>
    </w:p>
    <w:p>
      <w:pPr>
        <w:jc w:val="both"/>
        <w:ind w:left="700" w:right="140" w:hanging="904"/>
        <w:spacing w:after="0" w:line="255" w:lineRule="auto"/>
        <w:tabs>
          <w:tab w:leader="none" w:pos="680" w:val="left"/>
        </w:tabs>
        <w:rPr>
          <w:sz w:val="20"/>
          <w:szCs w:val="20"/>
          <w:color w:val="auto"/>
        </w:rPr>
      </w:pPr>
      <w:r>
        <w:rPr>
          <w:rFonts w:ascii="Times New Roman" w:cs="Times New Roman" w:eastAsia="Times New Roman" w:hAnsi="Times New Roman"/>
          <w:sz w:val="20"/>
          <w:szCs w:val="20"/>
          <w:color w:val="050505"/>
        </w:rPr>
        <w:t>10.14*</w:t>
      </w:r>
      <w:r>
        <w:rPr>
          <w:sz w:val="20"/>
          <w:szCs w:val="20"/>
          <w:color w:val="auto"/>
        </w:rPr>
        <w:tab/>
      </w:r>
      <w:r>
        <w:rPr>
          <w:rFonts w:ascii="Times New Roman" w:cs="Times New Roman" w:eastAsia="Times New Roman" w:hAnsi="Times New Roman"/>
          <w:sz w:val="20"/>
          <w:szCs w:val="20"/>
          <w:color w:val="050505"/>
        </w:rPr>
        <w:t>License Agreement, dated March 8, 2019, between the Registrant and Cellectis S.A. (incorporated by reference to Exhibit 10.2 to the Registrant’s Quarterly Report on Form 10-Q (File No. 001-38693), filed with the SEC on May 7, 2019).</w:t>
      </w:r>
    </w:p>
    <w:p>
      <w:pPr>
        <w:spacing w:after="0" w:line="32" w:lineRule="exact"/>
        <w:rPr>
          <w:sz w:val="20"/>
          <w:szCs w:val="20"/>
          <w:color w:val="auto"/>
        </w:rPr>
      </w:pPr>
    </w:p>
    <w:p>
      <w:pPr>
        <w:jc w:val="both"/>
        <w:ind w:left="700" w:right="680" w:hanging="954"/>
        <w:spacing w:after="0" w:line="227" w:lineRule="auto"/>
        <w:tabs>
          <w:tab w:leader="none" w:pos="680" w:val="left"/>
        </w:tabs>
        <w:rPr>
          <w:sz w:val="20"/>
          <w:szCs w:val="20"/>
          <w:color w:val="auto"/>
        </w:rPr>
      </w:pPr>
      <w:r>
        <w:rPr>
          <w:rFonts w:ascii="Times New Roman" w:cs="Times New Roman" w:eastAsia="Times New Roman" w:hAnsi="Times New Roman"/>
          <w:sz w:val="20"/>
          <w:szCs w:val="20"/>
          <w:color w:val="050505"/>
        </w:rPr>
        <w:t>10.15*‡</w:t>
      </w:r>
      <w:r>
        <w:rPr>
          <w:sz w:val="20"/>
          <w:szCs w:val="20"/>
          <w:color w:val="auto"/>
        </w:rPr>
        <w:tab/>
      </w:r>
      <w:r>
        <w:rPr>
          <w:rFonts w:ascii="Times New Roman" w:cs="Times New Roman" w:eastAsia="Times New Roman" w:hAnsi="Times New Roman"/>
          <w:sz w:val="19"/>
          <w:szCs w:val="19"/>
          <w:color w:val="050505"/>
        </w:rPr>
        <w:t>Exclusive License and Collaboration Agreement, dated October 30, 2015, by and between the Registrant (assignee of Pfizer Inc.) and Les Laboratoires Servier and Institut de Recherches Internationales Servier (incorporated by reference to Exhibit 10.13 to the Registrant’s Annual Report on Form 10-K (File No.</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050505"/>
        </w:rPr>
        <w:t>001-38693), filed with the SEC on March 14, 2024).</w:t>
      </w:r>
    </w:p>
    <w:p>
      <w:pPr>
        <w:spacing w:after="0" w:line="48" w:lineRule="exact"/>
        <w:rPr>
          <w:sz w:val="20"/>
          <w:szCs w:val="20"/>
          <w:color w:val="auto"/>
        </w:rPr>
      </w:pPr>
    </w:p>
    <w:p>
      <w:pPr>
        <w:ind w:left="700" w:hanging="885"/>
        <w:spacing w:after="0" w:line="242" w:lineRule="auto"/>
        <w:tabs>
          <w:tab w:leader="none" w:pos="680" w:val="left"/>
        </w:tabs>
        <w:rPr>
          <w:sz w:val="20"/>
          <w:szCs w:val="20"/>
          <w:color w:val="auto"/>
        </w:rPr>
      </w:pPr>
      <w:r>
        <w:rPr>
          <w:rFonts w:ascii="Times New Roman" w:cs="Times New Roman" w:eastAsia="Times New Roman" w:hAnsi="Times New Roman"/>
          <w:sz w:val="20"/>
          <w:szCs w:val="20"/>
          <w:color w:val="050505"/>
        </w:rPr>
        <w:t>10.16*</w:t>
      </w:r>
      <w:r>
        <w:rPr>
          <w:sz w:val="20"/>
          <w:szCs w:val="20"/>
          <w:color w:val="auto"/>
        </w:rPr>
        <w:tab/>
      </w:r>
      <w:r>
        <w:rPr>
          <w:rFonts w:ascii="Times New Roman" w:cs="Times New Roman" w:eastAsia="Times New Roman" w:hAnsi="Times New Roman"/>
          <w:sz w:val="19"/>
          <w:szCs w:val="19"/>
          <w:color w:val="050505"/>
        </w:rPr>
        <w:t>Amendment and Settlement Agreement, dated May 10, 2024, by and between Les Laboratoires Servier, Institut de Recherches Internationales Servier and Allogene Therapeutics, Inc. (incorporated by reference to Exhibit 10.4 to the Registrant's Quarterly Report on Form 10-Q (File No. 001-38693), filed with the SEC on August 7, 2024).</w:t>
      </w:r>
    </w:p>
    <w:p>
      <w:pPr>
        <w:spacing w:after="0" w:line="44" w:lineRule="exact"/>
        <w:rPr>
          <w:sz w:val="20"/>
          <w:szCs w:val="20"/>
          <w:color w:val="auto"/>
        </w:rPr>
      </w:pPr>
    </w:p>
    <w:p>
      <w:pPr>
        <w:jc w:val="both"/>
        <w:ind w:left="700" w:right="60" w:hanging="885"/>
        <w:spacing w:after="0" w:line="229" w:lineRule="auto"/>
        <w:tabs>
          <w:tab w:leader="none" w:pos="680" w:val="left"/>
        </w:tabs>
        <w:rPr>
          <w:sz w:val="20"/>
          <w:szCs w:val="20"/>
          <w:color w:val="auto"/>
        </w:rPr>
      </w:pPr>
      <w:r>
        <w:rPr>
          <w:rFonts w:ascii="Times New Roman" w:cs="Times New Roman" w:eastAsia="Times New Roman" w:hAnsi="Times New Roman"/>
          <w:sz w:val="20"/>
          <w:szCs w:val="20"/>
          <w:color w:val="050505"/>
        </w:rPr>
        <w:t>10.17*</w:t>
      </w:r>
      <w:r>
        <w:rPr>
          <w:sz w:val="20"/>
          <w:szCs w:val="20"/>
          <w:color w:val="auto"/>
        </w:rPr>
        <w:tab/>
      </w:r>
      <w:r>
        <w:rPr>
          <w:rFonts w:ascii="Times New Roman" w:cs="Times New Roman" w:eastAsia="Times New Roman" w:hAnsi="Times New Roman"/>
          <w:sz w:val="20"/>
          <w:szCs w:val="20"/>
          <w:color w:val="050505"/>
        </w:rPr>
        <w:t>Asset Contribution Agreement, dated April 2, 2018, by and between the Registrant and Pfizer Inc. (incorporated by reference to Exhibit 10.3 to the Registrant’s Quarterly Report on Form 10-Q (File No. 001-38693), filed with the SEC on November 2, 2023).</w:t>
      </w:r>
    </w:p>
    <w:p>
      <w:pPr>
        <w:spacing w:after="0" w:line="47" w:lineRule="exact"/>
        <w:rPr>
          <w:sz w:val="20"/>
          <w:szCs w:val="20"/>
          <w:color w:val="auto"/>
        </w:rPr>
      </w:pPr>
    </w:p>
    <w:p>
      <w:pPr>
        <w:jc w:val="both"/>
        <w:ind w:left="700" w:right="220" w:hanging="954"/>
        <w:spacing w:after="0" w:line="229" w:lineRule="auto"/>
        <w:tabs>
          <w:tab w:leader="none" w:pos="680" w:val="left"/>
        </w:tabs>
        <w:rPr>
          <w:sz w:val="20"/>
          <w:szCs w:val="20"/>
          <w:color w:val="auto"/>
        </w:rPr>
      </w:pPr>
      <w:r>
        <w:rPr>
          <w:rFonts w:ascii="Times New Roman" w:cs="Times New Roman" w:eastAsia="Times New Roman" w:hAnsi="Times New Roman"/>
          <w:sz w:val="20"/>
          <w:szCs w:val="20"/>
          <w:color w:val="050505"/>
        </w:rPr>
        <w:t>10.18*‡</w:t>
      </w:r>
      <w:r>
        <w:rPr>
          <w:sz w:val="20"/>
          <w:szCs w:val="20"/>
          <w:color w:val="auto"/>
        </w:rPr>
        <w:tab/>
      </w:r>
      <w:r>
        <w:rPr>
          <w:rFonts w:ascii="Times New Roman" w:cs="Times New Roman" w:eastAsia="Times New Roman" w:hAnsi="Times New Roman"/>
          <w:sz w:val="20"/>
          <w:szCs w:val="20"/>
          <w:color w:val="050505"/>
        </w:rPr>
        <w:t>Amended and Restated Strategic Collaboration Agreement, dated as of February 19, 2025, by and between the Registrant and Foresight Diagnostics, Inc. (incorporated by reference to Exhibit 10.4 to the Registrant's Form 10-Q (File No. 001-38693), filed with the SEC on May 13, 2025).</w:t>
      </w:r>
    </w:p>
    <w:p>
      <w:pPr>
        <w:spacing w:after="0" w:line="47" w:lineRule="exact"/>
        <w:rPr>
          <w:sz w:val="20"/>
          <w:szCs w:val="20"/>
          <w:color w:val="auto"/>
        </w:rPr>
      </w:pPr>
    </w:p>
    <w:p>
      <w:pPr>
        <w:ind w:left="700" w:right="100" w:hanging="854"/>
        <w:spacing w:after="0" w:line="229" w:lineRule="auto"/>
        <w:tabs>
          <w:tab w:leader="none" w:pos="680" w:val="left"/>
        </w:tabs>
        <w:rPr>
          <w:sz w:val="20"/>
          <w:szCs w:val="20"/>
          <w:color w:val="auto"/>
        </w:rPr>
      </w:pPr>
      <w:r>
        <w:rPr>
          <w:rFonts w:ascii="Times New Roman" w:cs="Times New Roman" w:eastAsia="Times New Roman" w:hAnsi="Times New Roman"/>
          <w:sz w:val="20"/>
          <w:szCs w:val="20"/>
          <w:color w:val="050505"/>
        </w:rPr>
        <w:t>10.19</w:t>
      </w:r>
      <w:r>
        <w:rPr>
          <w:sz w:val="20"/>
          <w:szCs w:val="20"/>
          <w:color w:val="auto"/>
        </w:rPr>
        <w:tab/>
      </w:r>
      <w:r>
        <w:rPr>
          <w:rFonts w:ascii="Times New Roman" w:cs="Times New Roman" w:eastAsia="Times New Roman" w:hAnsi="Times New Roman"/>
          <w:sz w:val="20"/>
          <w:szCs w:val="20"/>
          <w:color w:val="050505"/>
        </w:rPr>
        <w:t>Lease, dated August 1, 2018, by and between the Registrant and Britannia Pointe Grand Limited Partnership (incorporated by reference to Exhibit 10.11 to the Registrant’s Registration Statement on Form S-1, as amended (File No. 333-227333), originally filed with the SEC on September 14, 2018).</w:t>
      </w:r>
    </w:p>
    <w:p>
      <w:pPr>
        <w:spacing w:after="0" w:line="47" w:lineRule="exact"/>
        <w:rPr>
          <w:sz w:val="20"/>
          <w:szCs w:val="20"/>
          <w:color w:val="auto"/>
        </w:rPr>
      </w:pPr>
    </w:p>
    <w:p>
      <w:pPr>
        <w:jc w:val="both"/>
        <w:ind w:left="700" w:right="100" w:hanging="854"/>
        <w:spacing w:after="0" w:line="249" w:lineRule="auto"/>
        <w:tabs>
          <w:tab w:leader="none" w:pos="680" w:val="left"/>
        </w:tabs>
        <w:rPr>
          <w:sz w:val="20"/>
          <w:szCs w:val="20"/>
          <w:color w:val="auto"/>
        </w:rPr>
      </w:pPr>
      <w:r>
        <w:rPr>
          <w:rFonts w:ascii="Times New Roman" w:cs="Times New Roman" w:eastAsia="Times New Roman" w:hAnsi="Times New Roman"/>
          <w:sz w:val="20"/>
          <w:szCs w:val="20"/>
          <w:color w:val="050505"/>
        </w:rPr>
        <w:t>10.20</w:t>
      </w:r>
      <w:r>
        <w:rPr>
          <w:sz w:val="20"/>
          <w:szCs w:val="20"/>
          <w:color w:val="auto"/>
        </w:rPr>
        <w:tab/>
      </w:r>
      <w:r>
        <w:rPr>
          <w:rFonts w:ascii="Times New Roman" w:cs="Times New Roman" w:eastAsia="Times New Roman" w:hAnsi="Times New Roman"/>
          <w:sz w:val="20"/>
          <w:szCs w:val="20"/>
          <w:color w:val="050505"/>
        </w:rPr>
        <w:t>First Amendment, dated December 10, 2021, to the Lease, dated August 1, 2018, by and between the Registrant and Britannia Pointe Grand Limited Partnership (incorporated by reference to Exhibit 10.18 to the Registrant’s Annual Report on Form 10-K (File No. 001-38693), filed with the SEC on February 23, 2022).</w:t>
      </w:r>
    </w:p>
    <w:p>
      <w:pPr>
        <w:spacing w:after="0" w:line="19" w:lineRule="exact"/>
        <w:rPr>
          <w:sz w:val="20"/>
          <w:szCs w:val="20"/>
          <w:color w:val="auto"/>
        </w:rPr>
      </w:pPr>
    </w:p>
    <w:p>
      <w:pPr>
        <w:ind w:left="700" w:right="100" w:hanging="854"/>
        <w:spacing w:after="0" w:line="255" w:lineRule="auto"/>
        <w:tabs>
          <w:tab w:leader="none" w:pos="680" w:val="left"/>
        </w:tabs>
        <w:rPr>
          <w:sz w:val="20"/>
          <w:szCs w:val="20"/>
          <w:color w:val="auto"/>
        </w:rPr>
      </w:pPr>
      <w:r>
        <w:rPr>
          <w:rFonts w:ascii="Times New Roman" w:cs="Times New Roman" w:eastAsia="Times New Roman" w:hAnsi="Times New Roman"/>
          <w:sz w:val="20"/>
          <w:szCs w:val="20"/>
          <w:color w:val="050505"/>
        </w:rPr>
        <w:t>10.21</w:t>
      </w:r>
      <w:r>
        <w:rPr>
          <w:sz w:val="20"/>
          <w:szCs w:val="20"/>
          <w:color w:val="auto"/>
        </w:rPr>
        <w:tab/>
      </w:r>
      <w:r>
        <w:rPr>
          <w:rFonts w:ascii="Times New Roman" w:cs="Times New Roman" w:eastAsia="Times New Roman" w:hAnsi="Times New Roman"/>
          <w:sz w:val="20"/>
          <w:szCs w:val="20"/>
          <w:color w:val="050505"/>
        </w:rPr>
        <w:t>Lease Agreement, dated October 25, 2018, by and between the Registrant and HCP, Inc. (incorporated by reference to Exhibit 10.17 to the Registrant’s Annual Report on Form 10-K (File No. 001-38693), filed with the SEC on March 8, 2019).</w:t>
      </w:r>
    </w:p>
    <w:p>
      <w:pPr>
        <w:spacing w:after="0" w:line="32" w:lineRule="exact"/>
        <w:rPr>
          <w:sz w:val="20"/>
          <w:szCs w:val="20"/>
          <w:color w:val="auto"/>
        </w:rPr>
      </w:pPr>
    </w:p>
    <w:p>
      <w:pPr>
        <w:ind w:left="700" w:right="160" w:hanging="854"/>
        <w:spacing w:after="0" w:line="244" w:lineRule="auto"/>
        <w:tabs>
          <w:tab w:leader="none" w:pos="680" w:val="left"/>
        </w:tabs>
        <w:rPr>
          <w:sz w:val="20"/>
          <w:szCs w:val="20"/>
          <w:color w:val="auto"/>
        </w:rPr>
      </w:pPr>
      <w:r>
        <w:rPr>
          <w:rFonts w:ascii="Times New Roman" w:cs="Times New Roman" w:eastAsia="Times New Roman" w:hAnsi="Times New Roman"/>
          <w:sz w:val="20"/>
          <w:szCs w:val="20"/>
          <w:color w:val="050505"/>
        </w:rPr>
        <w:t>10.22</w:t>
      </w:r>
      <w:r>
        <w:rPr>
          <w:sz w:val="20"/>
          <w:szCs w:val="20"/>
          <w:color w:val="auto"/>
        </w:rPr>
        <w:tab/>
      </w:r>
      <w:r>
        <w:rPr>
          <w:rFonts w:ascii="Times New Roman" w:cs="Times New Roman" w:eastAsia="Times New Roman" w:hAnsi="Times New Roman"/>
          <w:sz w:val="20"/>
          <w:szCs w:val="20"/>
          <w:color w:val="050505"/>
        </w:rPr>
        <w:t>First Amendment, dated December 10, 2021, to the Lease Agreement, dated October 25, 2018, by and between the Registrant and Healthpeak Properties, Inc. (formerly known as HCP, Inc.) (incorporated by reference to Exhibit 10.20 to the Registrant’s Annual Report on Form 10-K (File No. 001-38693), filed with the SEC on February 23, 2022).</w:t>
      </w:r>
    </w:p>
    <w:p>
      <w:pPr>
        <w:spacing w:after="0" w:line="25" w:lineRule="exact"/>
        <w:rPr>
          <w:sz w:val="20"/>
          <w:szCs w:val="20"/>
          <w:color w:val="auto"/>
        </w:rPr>
      </w:pPr>
    </w:p>
    <w:p>
      <w:pPr>
        <w:ind w:left="700" w:right="40" w:hanging="854"/>
        <w:spacing w:after="0" w:line="255" w:lineRule="auto"/>
        <w:tabs>
          <w:tab w:leader="none" w:pos="680" w:val="left"/>
        </w:tabs>
        <w:rPr>
          <w:sz w:val="20"/>
          <w:szCs w:val="20"/>
          <w:color w:val="auto"/>
        </w:rPr>
      </w:pPr>
      <w:r>
        <w:rPr>
          <w:rFonts w:ascii="Times New Roman" w:cs="Times New Roman" w:eastAsia="Times New Roman" w:hAnsi="Times New Roman"/>
          <w:sz w:val="20"/>
          <w:szCs w:val="20"/>
          <w:color w:val="050505"/>
        </w:rPr>
        <w:t>10.23</w:t>
      </w:r>
      <w:r>
        <w:rPr>
          <w:sz w:val="20"/>
          <w:szCs w:val="20"/>
          <w:color w:val="auto"/>
        </w:rPr>
        <w:tab/>
      </w:r>
      <w:r>
        <w:rPr>
          <w:rFonts w:ascii="Times New Roman" w:cs="Times New Roman" w:eastAsia="Times New Roman" w:hAnsi="Times New Roman"/>
          <w:sz w:val="20"/>
          <w:szCs w:val="20"/>
          <w:color w:val="050505"/>
        </w:rPr>
        <w:t>Lease Agreement, dated February 19, 2019, by and between the Registrant and Silicon Valley Gateway Technology Center, LLC (incorporated by reference to Exhibit 10.18 to the Registrant’s Annual Report on Form 10-K (File No. 001-38693), filed with the SEC on March 8, 2019).</w:t>
      </w:r>
    </w:p>
    <w:p>
      <w:pPr>
        <w:spacing w:after="0" w:line="32" w:lineRule="exact"/>
        <w:rPr>
          <w:sz w:val="20"/>
          <w:szCs w:val="20"/>
          <w:color w:val="auto"/>
        </w:rPr>
      </w:pPr>
    </w:p>
    <w:p>
      <w:pPr>
        <w:ind w:left="700" w:right="140" w:hanging="854"/>
        <w:spacing w:after="0" w:line="250" w:lineRule="auto"/>
        <w:tabs>
          <w:tab w:leader="none" w:pos="680" w:val="left"/>
        </w:tabs>
        <w:rPr>
          <w:sz w:val="20"/>
          <w:szCs w:val="20"/>
          <w:color w:val="auto"/>
        </w:rPr>
      </w:pPr>
      <w:r>
        <w:rPr>
          <w:rFonts w:ascii="Times New Roman" w:cs="Times New Roman" w:eastAsia="Times New Roman" w:hAnsi="Times New Roman"/>
          <w:sz w:val="20"/>
          <w:szCs w:val="20"/>
          <w:color w:val="050505"/>
        </w:rPr>
        <w:t>10.24</w:t>
      </w:r>
      <w:r>
        <w:rPr>
          <w:sz w:val="20"/>
          <w:szCs w:val="20"/>
          <w:color w:val="auto"/>
        </w:rPr>
        <w:tab/>
      </w:r>
      <w:r>
        <w:rPr>
          <w:rFonts w:ascii="Times New Roman" w:cs="Times New Roman" w:eastAsia="Times New Roman" w:hAnsi="Times New Roman"/>
          <w:sz w:val="20"/>
          <w:szCs w:val="20"/>
          <w:color w:val="050505"/>
        </w:rPr>
        <w:t>First Amendment, dated September 4, 2019, to the Lease Agreement, dated February 19, 2019, by and between the Registrant and Silicon Valley Gateway Technology Center, LLC (incorporated by reference to Exhibit 10.1 to the Registrant’s Quarterly Report on Form 10-Q (File No. 001-38693), filed with the SEC on November 5, 2019).</w:t>
      </w:r>
    </w:p>
    <w:p>
      <w:pPr>
        <w:spacing w:after="0" w:line="47" w:lineRule="exact"/>
        <w:rPr>
          <w:sz w:val="20"/>
          <w:szCs w:val="20"/>
          <w:color w:val="auto"/>
        </w:rPr>
      </w:pPr>
    </w:p>
    <w:p>
      <w:pPr>
        <w:ind w:left="700" w:right="60" w:hanging="854"/>
        <w:spacing w:after="0" w:line="250" w:lineRule="auto"/>
        <w:tabs>
          <w:tab w:leader="none" w:pos="680" w:val="left"/>
        </w:tabs>
        <w:rPr>
          <w:sz w:val="20"/>
          <w:szCs w:val="20"/>
          <w:color w:val="auto"/>
        </w:rPr>
      </w:pPr>
      <w:r>
        <w:rPr>
          <w:rFonts w:ascii="Times New Roman" w:cs="Times New Roman" w:eastAsia="Times New Roman" w:hAnsi="Times New Roman"/>
          <w:sz w:val="20"/>
          <w:szCs w:val="20"/>
          <w:color w:val="050505"/>
        </w:rPr>
        <w:t>10.25</w:t>
      </w:r>
      <w:r>
        <w:rPr>
          <w:sz w:val="20"/>
          <w:szCs w:val="20"/>
          <w:color w:val="auto"/>
        </w:rPr>
        <w:tab/>
      </w:r>
      <w:r>
        <w:rPr>
          <w:rFonts w:ascii="Times New Roman" w:cs="Times New Roman" w:eastAsia="Times New Roman" w:hAnsi="Times New Roman"/>
          <w:sz w:val="20"/>
          <w:szCs w:val="20"/>
          <w:color w:val="050505"/>
        </w:rPr>
        <w:t>Second Amendment, dated July 15, 2020, to the Lease Agreement, dated February 19, 2019, by and between the Registrant and Silicon Valley Gateway Technology Center, LLC (incorporated by reference to Exhibit 10.1 to the Registrant’s Quarterly Report on Form 10-Q (File No. 001-38693) for the quarter ended June 30, 2020, filed with the SEC on August 5, 2020).</w:t>
      </w:r>
    </w:p>
    <w:p>
      <w:pPr>
        <w:sectPr>
          <w:pgSz w:w="12240" w:h="15840" w:orient="portrait"/>
          <w:cols w:equalWidth="0" w:num="1">
            <w:col w:w="9740"/>
          </w:cols>
          <w:pgMar w:left="1440" w:top="86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050505"/>
        </w:rPr>
        <w:t>141</w:t>
      </w:r>
    </w:p>
    <w:p>
      <w:pPr>
        <w:sectPr>
          <w:pgSz w:w="12240" w:h="15840" w:orient="portrait"/>
          <w:cols w:equalWidth="0" w:num="1">
            <w:col w:w="9740"/>
          </w:cols>
          <w:pgMar w:left="1440" w:top="868" w:right="1060" w:bottom="0" w:gutter="0" w:footer="0" w:header="0"/>
          <w:type w:val="continuous"/>
        </w:sectPr>
      </w:pPr>
    </w:p>
    <w:bookmarkStart w:id="145" w:name="page146"/>
    <w:bookmarkEnd w:id="145"/>
    <w:tbl>
      <w:tblPr>
        <w:tblLayout w:type="fixed"/>
        <w:tblInd w:w="130" w:type="dxa"/>
        <w:tblCellMar>
          <w:top w:w="0" w:type="dxa"/>
          <w:left w:w="0" w:type="dxa"/>
          <w:bottom w:w="0" w:type="dxa"/>
          <w:right w:w="0" w:type="dxa"/>
        </w:tblCellMar>
      </w:tblPr>
      <w:tr>
        <w:trPr>
          <w:trHeight w:val="23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8"/>
              </w:rPr>
              <w:t>10.26*‡</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Exclusive License Agreement, dated December 14, 2020, by and between the Registrant and Allogene Overland</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Biopharm (CY) Limited (incorporated by reference to Exhibit 10.23 to the Registrant’s Annual Report on Form</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10-K (File No. 001-38693) for the year ended December 31, 2020, filed with the SEC on February 25, 2021).</w:t>
            </w:r>
          </w:p>
        </w:tc>
      </w:tr>
      <w:tr>
        <w:trPr>
          <w:trHeight w:val="27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8"/>
              </w:rPr>
              <w:t>10.27*‡</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First Amendment to the License Agreement, dated May 24, 2024, by and between Allogene Therapeutics Inc.</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and Allogene Overland BioPharm (PRC) Co., Limited (incorporated by reference to Exhibit 10.3 to the</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Registrant's Quarterly Report on Form 10-Q (File No. 001-38693), filed with the SEC on August 7, 2024).</w:t>
            </w:r>
          </w:p>
        </w:tc>
      </w:tr>
      <w:tr>
        <w:trPr>
          <w:trHeight w:val="27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8"/>
              </w:rPr>
              <w:t>10.28*‡</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Share Purchase Agreement, dated December 14, 2020, by and among the Registrant, Overland Pharmaceuticals</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(CY) Inc. and Allogene Overland Biopharm (CY) Limited (incorporated by reference to Exhibit 10.24 to the</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Registrant’s Annual Report on Form 10-K (File No. 001-38693) for the year ended December 31, 2020, filed</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with the SEC on February 25, 2021).</w:t>
            </w:r>
          </w:p>
        </w:tc>
      </w:tr>
      <w:tr>
        <w:trPr>
          <w:trHeight w:val="28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10.29*</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w w:val="99"/>
              </w:rPr>
              <w:t>First Amendment to the Share Purchase Agreement, dated May 11, 2022, by and among the Registrant, Overland</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w w:val="99"/>
              </w:rPr>
              <w:t>Pharmaceuticals (CY) Inc. and Allogene Overland Biopharm (CY) Limited (incorporated by reference to Exhibit</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10.1 to the Registrant’s Quarterly Report on Form 10-Q (File No. 001-38693) for the quarter ended June 30,</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2022, filed with the SEC on August 9, 2022).</w:t>
            </w:r>
          </w:p>
        </w:tc>
      </w:tr>
      <w:tr>
        <w:trPr>
          <w:trHeight w:val="28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8"/>
              </w:rPr>
              <w:t>10.30*‡</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Amended and Restated Shareholders' Agreement, dated May 24, 2024, by and among Allogene Overland</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Biopharm (CY) Limited, Allogene Therapeutics Inc. and HH BioPharma Holdings Ltd. (incorporated by</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reference to Exhibit 10.2 to the Registrant's Quarterly Report on Form 10-Q (File No. 001-38693), filed with the</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SEC on August 7, 2024).</w:t>
            </w:r>
          </w:p>
        </w:tc>
      </w:tr>
      <w:tr>
        <w:trPr>
          <w:trHeight w:val="28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8"/>
              </w:rPr>
              <w:t>10.31*‡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Share Exchange Agreement, dated May 24, 2024, by and among Allogene Overland Biopharm (CY) Limited,</w:t>
            </w:r>
          </w:p>
        </w:tc>
      </w:tr>
      <w:tr>
        <w:trPr>
          <w:trHeight w:val="230"/>
        </w:trPr>
        <w:tc>
          <w:tcPr>
            <w:tcW w:w="880" w:type="dxa"/>
            <w:vAlign w:val="bottom"/>
          </w:tcPr>
          <w:p>
            <w:pPr>
              <w:spacing w:after="0"/>
              <w:rPr>
                <w:sz w:val="20"/>
                <w:szCs w:val="20"/>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Overland Pharmaceuticals (CY) Inc. and Allogene Therapeutics Inc. (incorporated by reference to Exhibit 10.1</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w w:val="99"/>
              </w:rPr>
              <w:t>to the Registrant's Quarterly Report on Form 10-Q (File No. 001-38693), filed with the SEC on August 7, 2024).</w:t>
            </w:r>
          </w:p>
        </w:tc>
      </w:tr>
      <w:tr>
        <w:trPr>
          <w:trHeight w:val="27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19.1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Allogene Therapeutics, Inc. Insider Trading Policy (incorporated by reference to Exhibit 19.1 to the Registrant's</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Annual Report on Form 10-K (File No. 001-38693), filed with the SEC on March 13, 2025)</w:t>
            </w:r>
          </w:p>
        </w:tc>
      </w:tr>
      <w:tr>
        <w:trPr>
          <w:trHeight w:val="29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23.1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Consent of Independent Registered Public Accounting Firm.</w:t>
            </w:r>
          </w:p>
        </w:tc>
      </w:tr>
      <w:tr>
        <w:trPr>
          <w:trHeight w:val="30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24.1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Power of Attorney. Reference is made to the signature page hereto.</w:t>
            </w:r>
          </w:p>
        </w:tc>
      </w:tr>
      <w:tr>
        <w:trPr>
          <w:trHeight w:val="24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31.1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Certification of Principal Executive Officer Pursuant to Rules 13a-14(a) and 15d-14(a) under the Securities</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Exchange Act of 1934, as Adopted Pursuant to Section 302 of the Sarbanes-Oxley Act of 2002.</w:t>
            </w:r>
          </w:p>
        </w:tc>
      </w:tr>
      <w:tr>
        <w:trPr>
          <w:trHeight w:val="23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31.2</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Certification of Principal Financial Officer Pursuant to Rules 13a-14(a) and 15d-14(a) under the Securities</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Exchange Act of 1934, as Adopted Pursuant to Section 302 of the Sarbanes-Oxley Act of 2002.</w:t>
            </w:r>
          </w:p>
        </w:tc>
      </w:tr>
      <w:tr>
        <w:trPr>
          <w:trHeight w:val="23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32.1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Certification of Principal Executive Officer Pursuant to 18 U.S.C. Section 1350, as Adopted Pursuant to Section</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906 of the Sarbanes-Oxley Act of 2002.</w:t>
            </w:r>
          </w:p>
        </w:tc>
      </w:tr>
      <w:tr>
        <w:trPr>
          <w:trHeight w:val="23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32.2</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Certification of Principal Financial Officer Pursuant to 18 U.S.C. Section 1350, as Adopted Pursuant to Section</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906 of the Sarbanes-Oxley Act of 2002.</w:t>
            </w:r>
          </w:p>
        </w:tc>
      </w:tr>
      <w:tr>
        <w:trPr>
          <w:trHeight w:val="23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97.1</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Allogene Therapeutics, Inc. Incentive Compensation Recoupment Policy (incorporated by reference to Exhibit</w:t>
            </w:r>
          </w:p>
        </w:tc>
      </w:tr>
      <w:tr>
        <w:trPr>
          <w:trHeight w:val="200"/>
        </w:trPr>
        <w:tc>
          <w:tcPr>
            <w:tcW w:w="880" w:type="dxa"/>
            <w:vAlign w:val="bottom"/>
          </w:tcPr>
          <w:p>
            <w:pPr>
              <w:spacing w:after="0"/>
              <w:rPr>
                <w:sz w:val="17"/>
                <w:szCs w:val="17"/>
                <w:color w:val="auto"/>
              </w:rPr>
            </w:pPr>
          </w:p>
        </w:tc>
        <w:tc>
          <w:tcPr>
            <w:tcW w:w="918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050505"/>
              </w:rPr>
              <w:t>97.1 to the Registrant’s Annual Report on Form 10-K (File No. 001-38693), filed with the SEC on March 14,</w:t>
            </w:r>
          </w:p>
        </w:tc>
      </w:tr>
      <w:tr>
        <w:trPr>
          <w:trHeight w:val="260"/>
        </w:trPr>
        <w:tc>
          <w:tcPr>
            <w:tcW w:w="880" w:type="dxa"/>
            <w:vAlign w:val="bottom"/>
          </w:tcPr>
          <w:p>
            <w:pPr>
              <w:spacing w:after="0"/>
              <w:rPr>
                <w:sz w:val="22"/>
                <w:szCs w:val="22"/>
                <w:color w:val="auto"/>
              </w:rPr>
            </w:pP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2024).</w:t>
            </w:r>
          </w:p>
        </w:tc>
      </w:tr>
      <w:tr>
        <w:trPr>
          <w:trHeight w:val="305"/>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101.INS</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Inline XBRL Instance Document</w:t>
            </w:r>
          </w:p>
        </w:tc>
      </w:tr>
      <w:tr>
        <w:trPr>
          <w:trHeight w:val="30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7"/>
              </w:rPr>
              <w:t>101.SCH</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Inline XBRL Taxonomy Extension Schema Document</w:t>
            </w:r>
          </w:p>
        </w:tc>
      </w:tr>
      <w:tr>
        <w:trPr>
          <w:trHeight w:val="30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101.CAL</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Inline XBRL Taxonomy Extension Calculation Linkbase Document</w:t>
            </w:r>
          </w:p>
        </w:tc>
      </w:tr>
      <w:tr>
        <w:trPr>
          <w:trHeight w:val="30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w w:val="98"/>
              </w:rPr>
              <w:t>101.DEF</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Inline XBRL Taxonomy Extension Definition Linkbase Document</w:t>
            </w:r>
          </w:p>
        </w:tc>
      </w:tr>
      <w:tr>
        <w:trPr>
          <w:trHeight w:val="30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101.LAB</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Inline XBRL Taxonomy Extension Label Linkbase Document</w:t>
            </w:r>
          </w:p>
        </w:tc>
      </w:tr>
      <w:tr>
        <w:trPr>
          <w:trHeight w:val="300"/>
        </w:trPr>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050505"/>
              </w:rPr>
              <w:t>101.PRE</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Inline XBRL Taxonomy Extension Presentation Linkbase Document</w:t>
            </w:r>
          </w:p>
        </w:tc>
      </w:tr>
      <w:tr>
        <w:trPr>
          <w:trHeight w:val="300"/>
        </w:trPr>
        <w:tc>
          <w:tcPr>
            <w:tcW w:w="8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050505"/>
                <w:w w:val="99"/>
              </w:rPr>
              <w:t>104</w:t>
            </w:r>
          </w:p>
        </w:tc>
        <w:tc>
          <w:tcPr>
            <w:tcW w:w="9180" w:type="dxa"/>
            <w:vAlign w:val="bottom"/>
          </w:tcPr>
          <w:p>
            <w:pPr>
              <w:ind w:left="140"/>
              <w:spacing w:after="0"/>
              <w:rPr>
                <w:sz w:val="20"/>
                <w:szCs w:val="20"/>
                <w:color w:val="auto"/>
              </w:rPr>
            </w:pPr>
            <w:r>
              <w:rPr>
                <w:rFonts w:ascii="Times New Roman" w:cs="Times New Roman" w:eastAsia="Times New Roman" w:hAnsi="Times New Roman"/>
                <w:sz w:val="20"/>
                <w:szCs w:val="20"/>
                <w:color w:val="050505"/>
              </w:rPr>
              <w:t>The cover page of the Company’s Annual Report on Form 10-K has been formatted in Inline XBRL.</w:t>
            </w:r>
          </w:p>
        </w:tc>
      </w:tr>
    </w:tbl>
    <w:p>
      <w:pPr>
        <w:spacing w:after="0" w:line="6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050505"/>
        </w:rPr>
        <w:t>__________________________</w:t>
      </w:r>
    </w:p>
    <w:p>
      <w:pPr>
        <w:spacing w:after="0" w:line="30" w:lineRule="exact"/>
        <w:rPr>
          <w:sz w:val="20"/>
          <w:szCs w:val="20"/>
          <w:color w:val="auto"/>
        </w:rPr>
      </w:pPr>
    </w:p>
    <w:p>
      <w:pPr>
        <w:ind w:left="710" w:hanging="710"/>
        <w:spacing w:after="0"/>
        <w:tabs>
          <w:tab w:leader="none" w:pos="710" w:val="left"/>
        </w:tabs>
        <w:numPr>
          <w:ilvl w:val="0"/>
          <w:numId w:val="52"/>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Indicates management contract or compensatory plan.</w:t>
      </w:r>
    </w:p>
    <w:p>
      <w:pPr>
        <w:spacing w:after="0" w:line="10" w:lineRule="exact"/>
        <w:rPr>
          <w:sz w:val="20"/>
          <w:szCs w:val="20"/>
          <w:color w:val="auto"/>
        </w:rPr>
      </w:pPr>
    </w:p>
    <w:p>
      <w:pPr>
        <w:ind w:left="730" w:hanging="730"/>
        <w:spacing w:after="0" w:line="267" w:lineRule="auto"/>
        <w:tabs>
          <w:tab w:leader="none" w:pos="710" w:val="left"/>
        </w:tabs>
        <w:numPr>
          <w:ilvl w:val="0"/>
          <w:numId w:val="53"/>
        </w:numPr>
        <w:rPr>
          <w:rFonts w:ascii="Times New Roman" w:cs="Times New Roman" w:eastAsia="Times New Roman" w:hAnsi="Times New Roman"/>
          <w:sz w:val="19"/>
          <w:szCs w:val="19"/>
          <w:color w:val="050505"/>
        </w:rPr>
      </w:pPr>
      <w:r>
        <w:rPr>
          <w:rFonts w:ascii="Times New Roman" w:cs="Times New Roman" w:eastAsia="Times New Roman" w:hAnsi="Times New Roman"/>
          <w:sz w:val="19"/>
          <w:szCs w:val="19"/>
          <w:color w:val="050505"/>
        </w:rPr>
        <w:t>Certain portions of this exhibit (indicated by “[***]”) have been omitted pursuant to Item 601(b)(10)(iv) of Regulation S-K because it is both not material and is the type of information that the Registrant treats as private or confidential.</w:t>
      </w:r>
    </w:p>
    <w:p>
      <w:pPr>
        <w:spacing w:after="0" w:line="1" w:lineRule="exact"/>
        <w:rPr>
          <w:sz w:val="20"/>
          <w:szCs w:val="20"/>
          <w:color w:val="auto"/>
        </w:rPr>
      </w:pPr>
    </w:p>
    <w:p>
      <w:pPr>
        <w:ind w:left="690" w:hanging="690"/>
        <w:spacing w:after="0"/>
        <w:tabs>
          <w:tab w:leader="none" w:pos="690" w:val="left"/>
        </w:tabs>
        <w:numPr>
          <w:ilvl w:val="0"/>
          <w:numId w:val="54"/>
        </w:numPr>
        <w:rPr>
          <w:rFonts w:ascii="Times New Roman" w:cs="Times New Roman" w:eastAsia="Times New Roman" w:hAnsi="Times New Roman"/>
          <w:sz w:val="20"/>
          <w:szCs w:val="20"/>
          <w:color w:val="050505"/>
        </w:rPr>
      </w:pPr>
      <w:r>
        <w:rPr>
          <w:rFonts w:ascii="Times New Roman" w:cs="Times New Roman" w:eastAsia="Times New Roman" w:hAnsi="Times New Roman"/>
          <w:sz w:val="20"/>
          <w:szCs w:val="20"/>
          <w:color w:val="050505"/>
        </w:rPr>
        <w:t>Schedules have been omitted pursuant to Item 601(a)(5) of Regulation S-K.</w:t>
      </w: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050505"/>
        </w:rPr>
        <w:t>Item 16. Form 10-K Summary</w:t>
      </w:r>
    </w:p>
    <w:p>
      <w:pPr>
        <w:spacing w:after="0" w:line="29" w:lineRule="exact"/>
        <w:rPr>
          <w:sz w:val="20"/>
          <w:szCs w:val="20"/>
          <w:color w:val="auto"/>
        </w:rPr>
      </w:pPr>
    </w:p>
    <w:p>
      <w:pPr>
        <w:ind w:left="910"/>
        <w:spacing w:after="0"/>
        <w:rPr>
          <w:sz w:val="20"/>
          <w:szCs w:val="20"/>
          <w:color w:val="auto"/>
        </w:rPr>
      </w:pPr>
      <w:r>
        <w:rPr>
          <w:rFonts w:ascii="Times New Roman" w:cs="Times New Roman" w:eastAsia="Times New Roman" w:hAnsi="Times New Roman"/>
          <w:sz w:val="20"/>
          <w:szCs w:val="20"/>
          <w:color w:val="050505"/>
        </w:rPr>
        <w:t>None.</w:t>
      </w:r>
    </w:p>
    <w:p>
      <w:pPr>
        <w:sectPr>
          <w:pgSz w:w="12240" w:h="15840" w:orient="portrait"/>
          <w:cols w:equalWidth="0" w:num="1">
            <w:col w:w="10210"/>
          </w:cols>
          <w:pgMar w:left="990" w:top="86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20"/>
          <w:szCs w:val="20"/>
          <w:color w:val="050505"/>
        </w:rPr>
        <w:t>142</w:t>
      </w:r>
    </w:p>
    <w:p>
      <w:pPr>
        <w:sectPr>
          <w:pgSz w:w="12240" w:h="15840" w:orient="portrait"/>
          <w:cols w:equalWidth="0" w:num="1">
            <w:col w:w="10210"/>
          </w:cols>
          <w:pgMar w:left="990" w:top="868" w:right="1040" w:bottom="0" w:gutter="0" w:footer="0" w:header="0"/>
          <w:type w:val="continuous"/>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20"/>
          <w:szCs w:val="20"/>
          <w:b w:val="1"/>
          <w:bCs w:val="1"/>
          <w:color w:val="050505"/>
        </w:rPr>
        <w:t>SIGNATURES</w:t>
      </w:r>
    </w:p>
    <w:p>
      <w:pPr>
        <w:spacing w:after="0" w:line="257"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20"/>
          <w:szCs w:val="20"/>
          <w:color w:val="050505"/>
        </w:rPr>
        <w:t>Pursuant to the requirements of Section 13 or 15(d) of the Securities Exchange Act of 1934, as amended, the Registrant has duly caused this Report to be signed on its behalf by the undersigned, thereunto duly authorized, in South San Francisco, California, on March 12, 2026.</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050505"/>
        </w:rPr>
        <w:t>Allogene Therapeutics, Inc.</w:t>
      </w:r>
    </w:p>
    <w:p>
      <w:pPr>
        <w:spacing w:after="0" w:line="346" w:lineRule="exact"/>
        <w:rPr>
          <w:sz w:val="20"/>
          <w:szCs w:val="20"/>
          <w:color w:val="auto"/>
        </w:rPr>
      </w:pPr>
    </w:p>
    <w:p>
      <w:pPr>
        <w:ind w:left="5080"/>
        <w:spacing w:after="0"/>
        <w:tabs>
          <w:tab w:leader="none" w:pos="5900" w:val="left"/>
        </w:tabs>
        <w:rPr>
          <w:sz w:val="20"/>
          <w:szCs w:val="20"/>
          <w:color w:val="auto"/>
        </w:rPr>
      </w:pPr>
      <w:r>
        <w:rPr>
          <w:rFonts w:ascii="Times New Roman" w:cs="Times New Roman" w:eastAsia="Times New Roman" w:hAnsi="Times New Roman"/>
          <w:sz w:val="20"/>
          <w:szCs w:val="20"/>
          <w:color w:val="050505"/>
        </w:rPr>
        <w:t>By:</w:t>
      </w:r>
      <w:r>
        <w:rPr>
          <w:sz w:val="20"/>
          <w:szCs w:val="20"/>
          <w:color w:val="auto"/>
        </w:rPr>
        <w:tab/>
      </w:r>
      <w:r>
        <w:rPr>
          <w:rFonts w:ascii="Times New Roman" w:cs="Times New Roman" w:eastAsia="Times New Roman" w:hAnsi="Times New Roman"/>
          <w:sz w:val="20"/>
          <w:szCs w:val="20"/>
          <w:color w:val="050505"/>
        </w:rPr>
        <w:t>/s/ David Chang, M.D.,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3536950</wp:posOffset>
                </wp:positionH>
                <wp:positionV relativeFrom="paragraph">
                  <wp:posOffset>27305</wp:posOffset>
                </wp:positionV>
                <wp:extent cx="297180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5pt,2.15pt" to="512.5pt,2.15pt" o:allowincell="f" strokecolor="#050505" strokeweight="1pt"/>
            </w:pict>
          </mc:Fallback>
        </mc:AlternateContent>
      </w: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50505"/>
        </w:rPr>
        <w:t>David Chang, M.D., Ph.D.</w:t>
      </w:r>
    </w:p>
    <w:p>
      <w:pPr>
        <w:spacing w:after="0" w:line="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50505"/>
        </w:rPr>
        <w:t>President, Chief Executive Officer and Member of the</w:t>
      </w:r>
    </w:p>
    <w:p>
      <w:pPr>
        <w:ind w:left="5620"/>
        <w:spacing w:after="0"/>
        <w:rPr>
          <w:sz w:val="20"/>
          <w:szCs w:val="20"/>
          <w:color w:val="auto"/>
        </w:rPr>
      </w:pPr>
      <w:r>
        <w:rPr>
          <w:rFonts w:ascii="Times New Roman" w:cs="Times New Roman" w:eastAsia="Times New Roman" w:hAnsi="Times New Roman"/>
          <w:sz w:val="20"/>
          <w:szCs w:val="20"/>
          <w:color w:val="050505"/>
        </w:rPr>
        <w:t>Board of Directors</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50505"/>
        </w:rPr>
        <w:t>(</w:t>
      </w:r>
      <w:r>
        <w:rPr>
          <w:rFonts w:ascii="Times New Roman" w:cs="Times New Roman" w:eastAsia="Times New Roman" w:hAnsi="Times New Roman"/>
          <w:sz w:val="20"/>
          <w:szCs w:val="20"/>
          <w:b w:val="1"/>
          <w:bCs w:val="1"/>
          <w:i w:val="1"/>
          <w:iCs w:val="1"/>
          <w:color w:val="050505"/>
        </w:rPr>
        <w:t>Principal Executive Officer</w:t>
      </w:r>
      <w:r>
        <w:rPr>
          <w:rFonts w:ascii="Times New Roman" w:cs="Times New Roman" w:eastAsia="Times New Roman" w:hAnsi="Times New Roman"/>
          <w:sz w:val="16"/>
          <w:szCs w:val="16"/>
          <w:color w:val="050505"/>
        </w:rPr>
        <w:t>)</w:t>
      </w: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050505"/>
        </w:rPr>
        <w:t>POWER OF ATTORNEY</w:t>
      </w:r>
    </w:p>
    <w:p>
      <w:pPr>
        <w:spacing w:after="0" w:line="21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050505"/>
        </w:rPr>
        <w:t>KNOW ALL PERSONS BY THESE PRESENTS, that each person whose signature appears below constitutes and appoints David Chang, M.D., Ph.D. and Geoffrey Parker, and each of them, as his or her true and lawful attorneys-in-fact and agents, each with the full power of substitution, for him or her and in his or her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ectPr>
          <w:pgSz w:w="12240" w:h="15840" w:orient="portrait"/>
          <w:cols w:equalWidth="0" w:num="1">
            <w:col w:w="10180"/>
          </w:cols>
          <w:pgMar w:left="1000" w:top="78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050505"/>
        </w:rPr>
        <w:t>143</w:t>
      </w:r>
    </w:p>
    <w:p>
      <w:pPr>
        <w:sectPr>
          <w:pgSz w:w="12240" w:h="15840" w:orient="portrait"/>
          <w:cols w:equalWidth="0" w:num="1">
            <w:col w:w="10180"/>
          </w:cols>
          <w:pgMar w:left="1000" w:top="786" w:right="1060" w:bottom="0" w:gutter="0" w:footer="0" w:header="0"/>
          <w:type w:val="continuous"/>
        </w:sectPr>
      </w:pPr>
    </w:p>
    <w:bookmarkStart w:id="147" w:name="page148"/>
    <w:bookmarkEnd w:id="147"/>
    <w:p>
      <w:pPr>
        <w:ind w:firstLine="720"/>
        <w:spacing w:after="0"/>
        <w:rPr>
          <w:sz w:val="20"/>
          <w:szCs w:val="20"/>
          <w:color w:val="auto"/>
        </w:rPr>
      </w:pPr>
      <w:r>
        <w:rPr>
          <w:rFonts w:ascii="Times New Roman" w:cs="Times New Roman" w:eastAsia="Times New Roman" w:hAnsi="Times New Roman"/>
          <w:sz w:val="20"/>
          <w:szCs w:val="20"/>
          <w:color w:val="050505"/>
        </w:rPr>
        <w:t>Pursuant to the requirements of the Securities Exchange Act of 1934, as amended, this Report has been signed below by the following persons on behalf of the Registrant in the capacities and on the dates indicated.</w:t>
      </w:r>
    </w:p>
    <w:p>
      <w:pPr>
        <w:spacing w:after="0" w:line="30" w:lineRule="exact"/>
        <w:rPr>
          <w:sz w:val="20"/>
          <w:szCs w:val="20"/>
          <w:color w:val="auto"/>
        </w:rPr>
      </w:pPr>
    </w:p>
    <w:p>
      <w:pPr>
        <w:ind w:left="1040"/>
        <w:spacing w:after="0"/>
        <w:tabs>
          <w:tab w:leader="none" w:pos="5460" w:val="left"/>
          <w:tab w:leader="none" w:pos="9200" w:val="left"/>
        </w:tabs>
        <w:rPr>
          <w:sz w:val="20"/>
          <w:szCs w:val="20"/>
          <w:color w:val="auto"/>
        </w:rPr>
      </w:pPr>
      <w:r>
        <w:rPr>
          <w:rFonts w:ascii="Times New Roman" w:cs="Times New Roman" w:eastAsia="Times New Roman" w:hAnsi="Times New Roman"/>
          <w:sz w:val="16"/>
          <w:szCs w:val="16"/>
          <w:b w:val="1"/>
          <w:bCs w:val="1"/>
          <w:color w:val="050505"/>
        </w:rPr>
        <w:t>Signature</w:t>
      </w:r>
      <w:r>
        <w:rPr>
          <w:sz w:val="20"/>
          <w:szCs w:val="20"/>
          <w:color w:val="auto"/>
        </w:rPr>
        <w:tab/>
      </w:r>
      <w:r>
        <w:rPr>
          <w:rFonts w:ascii="Times New Roman" w:cs="Times New Roman" w:eastAsia="Times New Roman" w:hAnsi="Times New Roman"/>
          <w:sz w:val="16"/>
          <w:szCs w:val="16"/>
          <w:b w:val="1"/>
          <w:bCs w:val="1"/>
          <w:color w:val="050505"/>
        </w:rPr>
        <w:t>Title</w:t>
      </w:r>
      <w:r>
        <w:rPr>
          <w:sz w:val="20"/>
          <w:szCs w:val="20"/>
          <w:color w:val="auto"/>
        </w:rPr>
        <w:tab/>
      </w:r>
      <w:r>
        <w:rPr>
          <w:rFonts w:ascii="Times New Roman" w:cs="Times New Roman" w:eastAsia="Times New Roman" w:hAnsi="Times New Roman"/>
          <w:sz w:val="16"/>
          <w:szCs w:val="16"/>
          <w:b w:val="1"/>
          <w:bCs w:val="1"/>
          <w:color w:val="050505"/>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17526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137.5pt,2.1pt" o:allowincell="f" strokecolor="#050505" strokeweight="1pt"/>
            </w:pict>
          </mc:Fallback>
        </mc:AlternateContent>
        <mc:AlternateContent>
          <mc:Choice Requires="wps">
            <w:drawing>
              <wp:anchor simplePos="0" relativeHeight="251657728" behindDoc="1" locked="0" layoutInCell="0" allowOverlap="1">
                <wp:simplePos x="0" y="0"/>
                <wp:positionH relativeFrom="column">
                  <wp:posOffset>1793875</wp:posOffset>
                </wp:positionH>
                <wp:positionV relativeFrom="paragraph">
                  <wp:posOffset>26670</wp:posOffset>
                </wp:positionV>
                <wp:extent cx="357187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71875"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25pt,2.1pt" to="422.5pt,2.1pt" o:allowincell="f" strokecolor="#050505" strokeweight="1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26670</wp:posOffset>
                </wp:positionV>
                <wp:extent cx="109537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2.1pt" to="512.5pt,2.1pt" o:allowincell="f" strokecolor="#050505" strokeweight="1pt"/>
            </w:pict>
          </mc:Fallback>
        </mc:AlternateContent>
      </w:r>
    </w:p>
    <w:p>
      <w:pPr>
        <w:sectPr>
          <w:pgSz w:w="12240" w:h="15840" w:orient="portrait"/>
          <w:cols w:equalWidth="0" w:num="1">
            <w:col w:w="10060"/>
          </w:cols>
          <w:pgMar w:left="1000" w:top="793" w:right="1180" w:bottom="0" w:gutter="0" w:footer="0" w:header="0"/>
        </w:sectPr>
      </w:pPr>
    </w:p>
    <w:p>
      <w:pPr>
        <w:spacing w:after="0" w:line="34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/s/ David Chang, M.D.,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175260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37.5pt,2.15pt" o:allowincell="f" strokecolor="#050505" strokeweight="1pt"/>
            </w:pict>
          </mc:Fallback>
        </mc:AlternateContent>
      </w:r>
    </w:p>
    <w:p>
      <w:pPr>
        <w:spacing w:after="0" w:line="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David Chang, M.D., Ph.D.</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/s/ Geoffrey Parker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17526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37.5pt,2.15pt" o:allowincell="f" strokecolor="#050505" strokeweight="1pt"/>
            </w:pict>
          </mc:Fallback>
        </mc:AlternateContent>
      </w:r>
    </w:p>
    <w:p>
      <w:pPr>
        <w:spacing w:after="0" w:line="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Geoffrey Parker</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/s/ Annie Yoshiyama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175260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37.5pt,2.15pt" o:allowincell="f" strokecolor="#050505" strokeweight="1pt"/>
            </w:pict>
          </mc:Fallback>
        </mc:AlternateContent>
      </w:r>
    </w:p>
    <w:p>
      <w:pPr>
        <w:spacing w:after="0" w:line="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Annie Yoshiyama</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/s/ Arie Belldegrun,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17526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0" cy="4763"/>
                        </a:xfrm>
                        <a:prstGeom prst="line">
                          <a:avLst/>
                        </a:prstGeom>
                        <a:solidFill>
                          <a:srgbClr val="FFFFFF"/>
                        </a:solidFill>
                        <a:ln w="12700">
                          <a:solidFill>
                            <a:srgbClr val="050505"/>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37.5pt,2.15pt" o:allowincell="f" strokecolor="#050505" strokeweight="1pt"/>
            </w:pict>
          </mc:Fallback>
        </mc:AlternateContent>
      </w:r>
    </w:p>
    <w:p>
      <w:pPr>
        <w:spacing w:after="0" w:line="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050505"/>
        </w:rPr>
        <w:t>Arie Belldegrun, M.D.</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050505"/>
                <w:w w:val="99"/>
              </w:rPr>
              <w:t>President, Chief Executive Officer</w:t>
            </w:r>
          </w:p>
        </w:tc>
        <w:tc>
          <w:tcPr>
            <w:tcW w:w="1880" w:type="dxa"/>
            <w:vAlign w:val="bottom"/>
          </w:tcPr>
          <w:p>
            <w:pPr>
              <w:spacing w:after="0"/>
              <w:rPr>
                <w:sz w:val="19"/>
                <w:szCs w:val="19"/>
                <w:color w:val="auto"/>
              </w:rPr>
            </w:pPr>
          </w:p>
        </w:tc>
      </w:tr>
      <w:tr>
        <w:trPr>
          <w:trHeight w:val="268"/>
        </w:trPr>
        <w:tc>
          <w:tcPr>
            <w:tcW w:w="440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050505"/>
              </w:rPr>
              <w:t>and Member of the Board of Directors</w:t>
            </w:r>
          </w:p>
        </w:tc>
        <w:tc>
          <w:tcPr>
            <w:tcW w:w="1880" w:type="dxa"/>
            <w:vAlign w:val="bottom"/>
          </w:tcPr>
          <w:p>
            <w:pPr>
              <w:ind w:left="62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300"/>
        </w:trPr>
        <w:tc>
          <w:tcPr>
            <w:tcW w:w="440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050505"/>
                <w:w w:val="96"/>
              </w:rPr>
              <w:t>(</w:t>
            </w:r>
            <w:r>
              <w:rPr>
                <w:rFonts w:ascii="Times New Roman" w:cs="Times New Roman" w:eastAsia="Times New Roman" w:hAnsi="Times New Roman"/>
                <w:sz w:val="20"/>
                <w:szCs w:val="20"/>
                <w:b w:val="1"/>
                <w:bCs w:val="1"/>
                <w:i w:val="1"/>
                <w:iCs w:val="1"/>
                <w:color w:val="050505"/>
                <w:w w:val="96"/>
              </w:rPr>
              <w:t>Principal Executive Officer</w:t>
            </w:r>
            <w:r>
              <w:rPr>
                <w:rFonts w:ascii="Times New Roman" w:cs="Times New Roman" w:eastAsia="Times New Roman" w:hAnsi="Times New Roman"/>
                <w:sz w:val="20"/>
                <w:szCs w:val="20"/>
                <w:color w:val="050505"/>
                <w:w w:val="96"/>
              </w:rPr>
              <w:t>)</w:t>
            </w:r>
          </w:p>
        </w:tc>
        <w:tc>
          <w:tcPr>
            <w:tcW w:w="1880" w:type="dxa"/>
            <w:vAlign w:val="bottom"/>
          </w:tcPr>
          <w:p>
            <w:pPr>
              <w:spacing w:after="0"/>
              <w:rPr>
                <w:sz w:val="24"/>
                <w:szCs w:val="24"/>
                <w:color w:val="auto"/>
              </w:rPr>
            </w:pPr>
          </w:p>
        </w:tc>
      </w:tr>
      <w:tr>
        <w:trPr>
          <w:trHeight w:val="362"/>
        </w:trPr>
        <w:tc>
          <w:tcPr>
            <w:tcW w:w="4400" w:type="dxa"/>
            <w:vAlign w:val="bottom"/>
          </w:tcPr>
          <w:p>
            <w:pPr>
              <w:jc w:val="center"/>
              <w:ind w:right="520"/>
              <w:spacing w:after="0"/>
              <w:rPr>
                <w:sz w:val="20"/>
                <w:szCs w:val="20"/>
                <w:color w:val="auto"/>
              </w:rPr>
            </w:pPr>
            <w:r>
              <w:rPr>
                <w:rFonts w:ascii="Times New Roman" w:cs="Times New Roman" w:eastAsia="Times New Roman" w:hAnsi="Times New Roman"/>
                <w:sz w:val="20"/>
                <w:szCs w:val="20"/>
                <w:color w:val="050505"/>
                <w:w w:val="99"/>
              </w:rPr>
              <w:t>Chief Financial Officer</w:t>
            </w:r>
          </w:p>
        </w:tc>
        <w:tc>
          <w:tcPr>
            <w:tcW w:w="1880" w:type="dxa"/>
            <w:vAlign w:val="bottom"/>
          </w:tcPr>
          <w:p>
            <w:pPr>
              <w:ind w:left="62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313"/>
        </w:trPr>
        <w:tc>
          <w:tcPr>
            <w:tcW w:w="440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050505"/>
                <w:w w:val="96"/>
              </w:rPr>
              <w:t>(</w:t>
            </w:r>
            <w:r>
              <w:rPr>
                <w:rFonts w:ascii="Times New Roman" w:cs="Times New Roman" w:eastAsia="Times New Roman" w:hAnsi="Times New Roman"/>
                <w:sz w:val="20"/>
                <w:szCs w:val="20"/>
                <w:b w:val="1"/>
                <w:bCs w:val="1"/>
                <w:i w:val="1"/>
                <w:iCs w:val="1"/>
                <w:color w:val="050505"/>
                <w:w w:val="96"/>
              </w:rPr>
              <w:t>Principal Financial Officer</w:t>
            </w:r>
            <w:r>
              <w:rPr>
                <w:rFonts w:ascii="Times New Roman" w:cs="Times New Roman" w:eastAsia="Times New Roman" w:hAnsi="Times New Roman"/>
                <w:sz w:val="20"/>
                <w:szCs w:val="20"/>
                <w:color w:val="050505"/>
                <w:w w:val="96"/>
              </w:rPr>
              <w:t>)</w:t>
            </w:r>
          </w:p>
        </w:tc>
        <w:tc>
          <w:tcPr>
            <w:tcW w:w="1880" w:type="dxa"/>
            <w:vAlign w:val="bottom"/>
          </w:tcPr>
          <w:p>
            <w:pPr>
              <w:spacing w:after="0"/>
              <w:rPr>
                <w:sz w:val="24"/>
                <w:szCs w:val="24"/>
                <w:color w:val="auto"/>
              </w:rPr>
            </w:pPr>
          </w:p>
        </w:tc>
      </w:tr>
      <w:tr>
        <w:trPr>
          <w:trHeight w:val="362"/>
        </w:trPr>
        <w:tc>
          <w:tcPr>
            <w:tcW w:w="440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050505"/>
                <w:w w:val="99"/>
              </w:rPr>
              <w:t>Senior Vice President and Corporate Controller</w:t>
            </w:r>
          </w:p>
        </w:tc>
        <w:tc>
          <w:tcPr>
            <w:tcW w:w="1880" w:type="dxa"/>
            <w:vAlign w:val="bottom"/>
          </w:tcPr>
          <w:p>
            <w:pPr>
              <w:ind w:left="62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313"/>
        </w:trPr>
        <w:tc>
          <w:tcPr>
            <w:tcW w:w="4400" w:type="dxa"/>
            <w:vAlign w:val="bottom"/>
          </w:tcPr>
          <w:p>
            <w:pPr>
              <w:jc w:val="center"/>
              <w:ind w:right="520"/>
              <w:spacing w:after="0"/>
              <w:rPr>
                <w:sz w:val="20"/>
                <w:szCs w:val="20"/>
                <w:color w:val="auto"/>
              </w:rPr>
            </w:pPr>
            <w:r>
              <w:rPr>
                <w:rFonts w:ascii="Times New Roman" w:cs="Times New Roman" w:eastAsia="Times New Roman" w:hAnsi="Times New Roman"/>
                <w:sz w:val="20"/>
                <w:szCs w:val="20"/>
                <w:b w:val="1"/>
                <w:bCs w:val="1"/>
                <w:i w:val="1"/>
                <w:iCs w:val="1"/>
                <w:color w:val="050505"/>
                <w:w w:val="96"/>
              </w:rPr>
              <w:t>(Principal Accounting Officer)</w:t>
            </w:r>
          </w:p>
        </w:tc>
        <w:tc>
          <w:tcPr>
            <w:tcW w:w="1880" w:type="dxa"/>
            <w:vAlign w:val="bottom"/>
          </w:tcPr>
          <w:p>
            <w:pPr>
              <w:spacing w:after="0"/>
              <w:rPr>
                <w:sz w:val="24"/>
                <w:szCs w:val="24"/>
                <w:color w:val="auto"/>
              </w:rPr>
            </w:pPr>
          </w:p>
        </w:tc>
      </w:tr>
      <w:tr>
        <w:trPr>
          <w:trHeight w:val="362"/>
        </w:trPr>
        <w:tc>
          <w:tcPr>
            <w:tcW w:w="440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050505"/>
              </w:rPr>
              <w:t>Executive Chair of the Board of Directors</w:t>
            </w:r>
          </w:p>
        </w:tc>
        <w:tc>
          <w:tcPr>
            <w:tcW w:w="1880" w:type="dxa"/>
            <w:vAlign w:val="bottom"/>
          </w:tcPr>
          <w:p>
            <w:pPr>
              <w:ind w:left="620"/>
              <w:spacing w:after="0"/>
              <w:rPr>
                <w:sz w:val="20"/>
                <w:szCs w:val="20"/>
                <w:color w:val="auto"/>
              </w:rPr>
            </w:pPr>
            <w:r>
              <w:rPr>
                <w:rFonts w:ascii="Times New Roman" w:cs="Times New Roman" w:eastAsia="Times New Roman" w:hAnsi="Times New Roman"/>
                <w:sz w:val="20"/>
                <w:szCs w:val="20"/>
                <w:color w:val="050505"/>
                <w:w w:val="97"/>
              </w:rPr>
              <w:t>March 12, 2026</w:t>
            </w:r>
          </w:p>
        </w:tc>
      </w:tr>
    </w:tbl>
    <w:p>
      <w:pPr>
        <w:spacing w:after="0" w:line="414" w:lineRule="exact"/>
        <w:rPr>
          <w:sz w:val="20"/>
          <w:szCs w:val="20"/>
          <w:color w:val="auto"/>
        </w:rPr>
      </w:pPr>
    </w:p>
    <w:p>
      <w:pPr>
        <w:sectPr>
          <w:pgSz w:w="12240" w:h="15840" w:orient="portrait"/>
          <w:cols w:equalWidth="0" w:num="2">
            <w:col w:w="3020" w:space="720"/>
            <w:col w:w="6320"/>
          </w:cols>
          <w:pgMar w:left="1000" w:top="793" w:right="1180" w:bottom="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8"/>
              </w:rPr>
              <w:t>/s/ Elizabeth Barrett</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77"/>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8"/>
              </w:rPr>
              <w:t>Elizabeth Barrett</w:t>
            </w:r>
          </w:p>
        </w:tc>
        <w:tc>
          <w:tcPr>
            <w:tcW w:w="5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78"/>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rPr>
              <w:t>/s/ John DeYoung</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64"/>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John DeYoung</w:t>
            </w:r>
          </w:p>
        </w:tc>
        <w:tc>
          <w:tcPr>
            <w:tcW w:w="51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391"/>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rPr>
              <w:t>/s/ Franz Humer, Ph.D.</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64"/>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Franz Humer, Ph.D.</w:t>
            </w:r>
          </w:p>
        </w:tc>
        <w:tc>
          <w:tcPr>
            <w:tcW w:w="51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391"/>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8"/>
              </w:rPr>
              <w:t>/s/ Joshua Kazam</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64"/>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Joshua Kazam</w:t>
            </w:r>
          </w:p>
        </w:tc>
        <w:tc>
          <w:tcPr>
            <w:tcW w:w="51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391"/>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/s/ Stephen Mayo, Ph.D.</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77"/>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Stephen Mayo, Ph.D.</w:t>
            </w:r>
          </w:p>
        </w:tc>
        <w:tc>
          <w:tcPr>
            <w:tcW w:w="5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78"/>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8"/>
              </w:rPr>
              <w:t>/s/ Deborah Messemer</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64"/>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8"/>
              </w:rPr>
              <w:t>Deborah Messemer</w:t>
            </w:r>
          </w:p>
        </w:tc>
        <w:tc>
          <w:tcPr>
            <w:tcW w:w="51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391"/>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rPr>
              <w:t>/s/ Vicki Sato, Ph.D.</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77"/>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Vicki Sato, Ph.D.</w:t>
            </w:r>
          </w:p>
        </w:tc>
        <w:tc>
          <w:tcPr>
            <w:tcW w:w="5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78"/>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w w:val="99"/>
              </w:rPr>
              <w:t>/s/ Todd Sisitsky</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64"/>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w w:val="99"/>
              </w:rPr>
              <w:t>Todd Sisitsky</w:t>
            </w:r>
          </w:p>
        </w:tc>
        <w:tc>
          <w:tcPr>
            <w:tcW w:w="512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391"/>
        </w:trPr>
        <w:tc>
          <w:tcPr>
            <w:tcW w:w="2760" w:type="dxa"/>
            <w:vAlign w:val="bottom"/>
            <w:tcBorders>
              <w:bottom w:val="single" w:sz="8" w:color="050505"/>
            </w:tcBorders>
          </w:tcPr>
          <w:p>
            <w:pPr>
              <w:jc w:val="center"/>
              <w:spacing w:after="0"/>
              <w:rPr>
                <w:sz w:val="20"/>
                <w:szCs w:val="20"/>
                <w:color w:val="auto"/>
              </w:rPr>
            </w:pPr>
            <w:r>
              <w:rPr>
                <w:rFonts w:ascii="Times New Roman" w:cs="Times New Roman" w:eastAsia="Times New Roman" w:hAnsi="Times New Roman"/>
                <w:sz w:val="20"/>
                <w:szCs w:val="20"/>
                <w:color w:val="050505"/>
              </w:rPr>
              <w:t>/s/ Owen Witte, M.D.</w:t>
            </w:r>
          </w:p>
        </w:tc>
        <w:tc>
          <w:tcPr>
            <w:tcW w:w="5120" w:type="dxa"/>
            <w:vAlign w:val="bottom"/>
          </w:tcPr>
          <w:p>
            <w:pPr>
              <w:ind w:left="1500"/>
              <w:spacing w:after="0"/>
              <w:rPr>
                <w:sz w:val="20"/>
                <w:szCs w:val="20"/>
                <w:color w:val="auto"/>
              </w:rPr>
            </w:pPr>
            <w:r>
              <w:rPr>
                <w:rFonts w:ascii="Times New Roman" w:cs="Times New Roman" w:eastAsia="Times New Roman" w:hAnsi="Times New Roman"/>
                <w:sz w:val="20"/>
                <w:szCs w:val="20"/>
                <w:color w:val="050505"/>
              </w:rPr>
              <w:t>Member of the Board of Directors</w:t>
            </w:r>
          </w:p>
        </w:tc>
        <w:tc>
          <w:tcPr>
            <w:tcW w:w="2140" w:type="dxa"/>
            <w:vAlign w:val="bottom"/>
          </w:tcPr>
          <w:p>
            <w:pPr>
              <w:ind w:left="880"/>
              <w:spacing w:after="0"/>
              <w:rPr>
                <w:sz w:val="20"/>
                <w:szCs w:val="20"/>
                <w:color w:val="auto"/>
              </w:rPr>
            </w:pPr>
            <w:r>
              <w:rPr>
                <w:rFonts w:ascii="Times New Roman" w:cs="Times New Roman" w:eastAsia="Times New Roman" w:hAnsi="Times New Roman"/>
                <w:sz w:val="20"/>
                <w:szCs w:val="20"/>
                <w:color w:val="050505"/>
                <w:w w:val="97"/>
              </w:rPr>
              <w:t>March 12, 2026</w:t>
            </w:r>
          </w:p>
        </w:tc>
      </w:tr>
      <w:tr>
        <w:trPr>
          <w:trHeight w:val="264"/>
        </w:trPr>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color w:val="050505"/>
              </w:rPr>
              <w:t>Owen Witte, M.D.</w:t>
            </w:r>
          </w:p>
        </w:tc>
        <w:tc>
          <w:tcPr>
            <w:tcW w:w="5120" w:type="dxa"/>
            <w:vAlign w:val="bottom"/>
          </w:tcPr>
          <w:p>
            <w:pPr>
              <w:spacing w:after="0"/>
              <w:rPr>
                <w:sz w:val="22"/>
                <w:szCs w:val="22"/>
                <w:color w:val="auto"/>
              </w:rPr>
            </w:pPr>
          </w:p>
        </w:tc>
        <w:tc>
          <w:tcPr>
            <w:tcW w:w="21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060"/>
          </w:cols>
          <w:pgMar w:left="1000" w:top="793"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050505"/>
        </w:rPr>
        <w:t>144</w:t>
      </w:r>
    </w:p>
    <w:p>
      <w:pPr>
        <w:sectPr>
          <w:pgSz w:w="12240" w:h="15840" w:orient="portrait"/>
          <w:cols w:equalWidth="0" w:num="1">
            <w:col w:w="10060"/>
          </w:cols>
          <w:pgMar w:left="1000" w:top="793" w:right="1180" w:bottom="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50" w:name="page151"/>
    <w:bookmarkEnd w:id="15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BR019770-0426-10K</w:t>
      </w:r>
    </w:p>
    <w:sectPr>
      <w:pgSz w:w="12240" w:h="15840" w:orient="portrait"/>
      <w:cols w:equalWidth="0" w:num="1">
        <w:col w:w="10360"/>
      </w:cols>
      <w:pgMar w:left="1440" w:top="1440" w:right="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Mincho">
    <w:panose1 w:val="020206090402050803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2"/>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1)"/>
      <w:numFmt w:val="decimal"/>
      <w:start w:val="3"/>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2026-05-02T03:02:01Z</dcterms:created>
  <dcterms:modified xsi:type="dcterms:W3CDTF">2026-05-02T03:02:01Z</dcterms:modified>
</cp:coreProperties>
</file>