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with respect to the shares of common stock, par value $0.001 per share ("Common Stock"), of Allogene Therapeutics, Inc., a Delaware corporation, that were directly held by the Lynx1 Fund; and (ii) Mr. Weston Nichols ("Mr. Nichols"), the sole member of Lynx1 Capital Management GP LLC, the general partner of the Investment Manager, with respect to the shares of Common Stock that were directly held by the Lynx1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1184</Words>
  <Characters>6006</Characters>
  <CharactersWithSpaces>7165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