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260"/>
          </w:cols>
          <w:pgMar w:left="320" w:top="225" w:right="1319" w:bottom="1440" w:gutter="0" w:footer="0" w:header="0"/>
        </w:sectPr>
      </w:pPr>
    </w:p>
    <w:p>
      <w:pPr>
        <w:spacing w:after="0" w:line="357" w:lineRule="exact"/>
        <w:rPr>
          <w:sz w:val="24"/>
          <w:szCs w:val="24"/>
          <w:color w:val="auto"/>
        </w:rPr>
      </w:pPr>
    </w:p>
    <w:tbl>
      <w:tblPr>
        <w:tblLayout w:type="fixed"/>
        <w:tblInd w:w="474" w:type="dxa"/>
        <w:tblCellMar>
          <w:top w:w="0" w:type="dxa"/>
          <w:left w:w="0" w:type="dxa"/>
          <w:bottom w:w="0" w:type="dxa"/>
          <w:right w:w="0" w:type="dxa"/>
        </w:tblCellMar>
      </w:tblPr>
      <w:tr>
        <w:trPr>
          <w:trHeight w:val="68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4338"/>
              </w:rPr>
              <w:t>offers to</w:t>
            </w:r>
          </w:p>
        </w:tc>
      </w:tr>
    </w:tbl>
    <w:p>
      <w:pPr>
        <w:spacing w:after="0" w:line="120" w:lineRule="exact"/>
        <w:rPr>
          <w:sz w:val="24"/>
          <w:szCs w:val="24"/>
          <w:color w:val="auto"/>
        </w:rPr>
      </w:pPr>
    </w:p>
    <w:tbl>
      <w:tblPr>
        <w:tblLayout w:type="fixed"/>
        <w:tblInd w:w="96" w:type="dxa"/>
        <w:tblCellMar>
          <w:top w:w="0" w:type="dxa"/>
          <w:left w:w="0" w:type="dxa"/>
          <w:bottom w:w="0" w:type="dxa"/>
          <w:right w:w="0" w:type="dxa"/>
        </w:tblCellMar>
      </w:tblPr>
      <w:tr>
        <w:trPr>
          <w:trHeight w:val="12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4338"/>
              </w:rPr>
              <w:t>A</w:t>
            </w:r>
          </w:p>
        </w:tc>
      </w:tr>
    </w:tbl>
    <w:p>
      <w:pPr>
        <w:spacing w:after="0" w:line="40" w:lineRule="exact"/>
        <w:rPr>
          <w:sz w:val="24"/>
          <w:szCs w:val="24"/>
          <w:color w:val="auto"/>
        </w:rPr>
      </w:pPr>
    </w:p>
    <w:tbl>
      <w:tblPr>
        <w:tblLayout w:type="fixed"/>
        <w:tblInd w:w="46" w:type="dxa"/>
        <w:tblCellMar>
          <w:top w:w="0" w:type="dxa"/>
          <w:left w:w="0" w:type="dxa"/>
          <w:bottom w:w="0" w:type="dxa"/>
          <w:right w:w="0" w:type="dxa"/>
        </w:tblCellMar>
      </w:tblPr>
      <w:tr>
        <w:trPr>
          <w:trHeight w:val="10740"/>
        </w:trPr>
        <w:tc>
          <w:tcPr>
            <w:tcW w:w="801" w:type="dxa"/>
            <w:vAlign w:val="bottom"/>
            <w:textDirection w:val="btLr"/>
          </w:tcPr>
          <w:p>
            <w:pPr>
              <w:spacing w:after="0" w:line="246" w:lineRule="auto"/>
              <w:rPr>
                <w:sz w:val="20"/>
                <w:szCs w:val="20"/>
                <w:color w:val="auto"/>
              </w:rPr>
            </w:pPr>
            <w:r>
              <w:rPr>
                <w:rFonts w:ascii="Arial" w:cs="Arial" w:eastAsia="Arial" w:hAnsi="Arial"/>
                <w:sz w:val="17"/>
                <w:szCs w:val="17"/>
                <w:b w:val="1"/>
                <w:bCs w:val="1"/>
                <w:color w:val="FF4338"/>
              </w:rPr>
              <w:t>buy these securities in any state or jurisdiction where the offer or sale is not permitted. preliminary prospectus supplement and the accompanying prospectus are not an offer to sell these securities and we are not soliciting registration statement relating to these securities has been filed with the Securities and Exchange Commission and is effective. This The information in this preliminary prospectus supplement and the accompanying prospectus is not complete and may be changed.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333-277951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13, 2026</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25, 2024)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$175,000,000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1671320</wp:posOffset>
            </wp:positionH>
            <wp:positionV relativeFrom="paragraph">
              <wp:posOffset>180975</wp:posOffset>
            </wp:positionV>
            <wp:extent cx="255460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247015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380"/>
        <w:spacing w:after="0"/>
        <w:tabs>
          <w:tab w:leader="none" w:pos="7260" w:val="left"/>
        </w:tabs>
        <w:rPr>
          <w:sz w:val="20"/>
          <w:szCs w:val="20"/>
          <w:color w:val="auto"/>
        </w:rPr>
      </w:pPr>
      <w:r>
        <w:rPr>
          <w:rFonts w:ascii="Times New Roman" w:cs="Times New Roman" w:eastAsia="Times New Roman" w:hAnsi="Times New Roman"/>
          <w:sz w:val="18"/>
          <w:szCs w:val="18"/>
          <w:color w:val="auto"/>
        </w:rPr>
        <w:t xml:space="preserve">We are offering $175,000,000 of shares of our common stock at a purchase price of $          </w:t>
      </w:r>
      <w:r>
        <w:rPr>
          <w:sz w:val="20"/>
          <w:szCs w:val="20"/>
          <w:color w:val="auto"/>
        </w:rPr>
        <w:tab/>
      </w:r>
      <w:r>
        <w:rPr>
          <w:rFonts w:ascii="Times New Roman" w:cs="Times New Roman" w:eastAsia="Times New Roman" w:hAnsi="Times New Roman"/>
          <w:sz w:val="17"/>
          <w:szCs w:val="17"/>
          <w:color w:val="auto"/>
        </w:rPr>
        <w:t>per share.</w:t>
      </w:r>
    </w:p>
    <w:p>
      <w:pPr>
        <w:spacing w:after="0" w:line="225" w:lineRule="exact"/>
        <w:rPr>
          <w:sz w:val="24"/>
          <w:szCs w:val="24"/>
          <w:color w:val="auto"/>
        </w:rPr>
      </w:pPr>
    </w:p>
    <w:p>
      <w:pPr>
        <w:ind w:right="280" w:firstLine="371"/>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“ALLO.” On April 10, 2026, the last reported sale price of our common stock was $2.72 per share. The final public offering price will be determined through negotiation between us and the lead underwriters in the offering and the recent market price used throughout this prospectus supplement may not be indicative of the actual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219710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420" w:firstLine="371"/>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Investing in our common stock involves a high degree of risk. See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i w:val="1"/>
          <w:iCs w:val="1"/>
          <w:color w:val="auto"/>
        </w:rPr>
        <w:t>” beginning on page S-8 of this prospectus supplement and in the documents incorporated by reference into this prospectus supplement and the accompanying prospectus before investing in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201295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both"/>
        <w:ind w:right="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3"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3"/>
                <w:szCs w:val="13"/>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0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Allogene Therapeutics, Inc.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5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1"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See the section entitled “Underwriting” for additional information regarding compensation payable to the underwriters.</w:t>
      </w:r>
    </w:p>
    <w:p>
      <w:pPr>
        <w:spacing w:after="0" w:line="225" w:lineRule="exact"/>
        <w:rPr>
          <w:sz w:val="24"/>
          <w:szCs w:val="24"/>
          <w:color w:val="auto"/>
        </w:rPr>
      </w:pPr>
    </w:p>
    <w:p>
      <w:pPr>
        <w:ind w:right="260" w:firstLine="371"/>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an additional $26,250,000 of shares of our common stock at the price to the public less the underwriting discounts.</w:t>
      </w:r>
    </w:p>
    <w:p>
      <w:pPr>
        <w:spacing w:after="0" w:line="162" w:lineRule="exact"/>
        <w:rPr>
          <w:sz w:val="24"/>
          <w:szCs w:val="24"/>
          <w:color w:val="auto"/>
        </w:rPr>
      </w:pPr>
    </w:p>
    <w:p>
      <w:pPr>
        <w:ind w:right="140" w:firstLine="371"/>
        <w:spacing w:after="0" w:line="282" w:lineRule="auto"/>
        <w:rPr>
          <w:sz w:val="20"/>
          <w:szCs w:val="20"/>
          <w:color w:val="auto"/>
        </w:rPr>
      </w:pPr>
      <w:r>
        <w:rPr>
          <w:rFonts w:ascii="Times New Roman" w:cs="Times New Roman" w:eastAsia="Times New Roman" w:hAnsi="Times New Roman"/>
          <w:sz w:val="18"/>
          <w:szCs w:val="18"/>
          <w:color w:val="auto"/>
        </w:rPr>
        <w:t>We and the underwriters expect to deliver the shares of our common stock against payment in New York, New York on or about April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208280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14" w:lineRule="exact"/>
        <w:rPr>
          <w:sz w:val="24"/>
          <w:szCs w:val="24"/>
          <w:color w:val="auto"/>
        </w:rPr>
      </w:pPr>
    </w:p>
    <w:p>
      <w:pPr>
        <w:ind w:left="260"/>
        <w:spacing w:after="0"/>
        <w:tabs>
          <w:tab w:leader="none" w:pos="4300" w:val="left"/>
          <w:tab w:leader="none" w:pos="7280" w:val="left"/>
        </w:tabs>
        <w:rPr>
          <w:sz w:val="20"/>
          <w:szCs w:val="20"/>
          <w:color w:val="auto"/>
        </w:rPr>
      </w:pP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2"/>
          <w:szCs w:val="22"/>
          <w:b w:val="1"/>
          <w:bCs w:val="1"/>
          <w:color w:val="auto"/>
        </w:rPr>
        <w:t>Jefferies</w:t>
      </w:r>
      <w:r>
        <w:rPr>
          <w:sz w:val="20"/>
          <w:szCs w:val="20"/>
          <w:color w:val="auto"/>
        </w:rPr>
        <w:tab/>
      </w:r>
      <w:r>
        <w:rPr>
          <w:rFonts w:ascii="Times New Roman" w:cs="Times New Roman" w:eastAsia="Times New Roman" w:hAnsi="Times New Roman"/>
          <w:sz w:val="21"/>
          <w:szCs w:val="21"/>
          <w:b w:val="1"/>
          <w:bCs w:val="1"/>
          <w:color w:val="auto"/>
        </w:rPr>
        <w:t>TD Cowen</w:t>
      </w:r>
    </w:p>
    <w:p>
      <w:pPr>
        <w:spacing w:after="0" w:line="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Co-Manager</w:t>
      </w:r>
    </w:p>
    <w:p>
      <w:pPr>
        <w:spacing w:after="0" w:line="1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TPG Capital BD, LLC</w:t>
      </w:r>
    </w:p>
    <w:p>
      <w:pPr>
        <w:spacing w:after="0" w:line="200" w:lineRule="exact"/>
        <w:rPr>
          <w:sz w:val="24"/>
          <w:szCs w:val="24"/>
          <w:color w:val="auto"/>
        </w:rPr>
      </w:pPr>
    </w:p>
    <w:p>
      <w:pPr>
        <w:sectPr>
          <w:pgSz w:w="11900" w:h="16838" w:orient="portrait"/>
          <w:cols w:equalWidth="0" w:num="2">
            <w:col w:w="847" w:space="133"/>
            <w:col w:w="9280"/>
          </w:cols>
          <w:pgMar w:left="320" w:top="225" w:right="1319" w:bottom="1440" w:gutter="0" w:footer="0" w:header="0"/>
          <w:type w:val="continuous"/>
        </w:sectPr>
      </w:pPr>
    </w:p>
    <w:p>
      <w:pPr>
        <w:spacing w:after="0" w:line="1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Prospectus supplement dated April    , 2026</w:t>
      </w:r>
    </w:p>
    <w:p>
      <w:pPr>
        <w:sectPr>
          <w:pgSz w:w="11900" w:h="16838" w:orient="portrait"/>
          <w:cols w:equalWidth="0" w:num="1">
            <w:col w:w="10260"/>
          </w:cols>
          <w:pgMar w:left="320" w:top="225"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8060" w:type="dxa"/>
            <w:vAlign w:val="bottom"/>
            <w:gridSpan w:val="9"/>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15"/>
            <w:vMerge w:val="continue"/>
          </w:tcPr>
          <w:p>
            <w:pPr>
              <w:spacing w:after="0"/>
              <w:rPr>
                <w:sz w:val="14"/>
                <w:szCs w:val="14"/>
                <w:color w:val="auto"/>
              </w:rPr>
            </w:pPr>
          </w:p>
        </w:tc>
        <w:tc>
          <w:tcPr>
            <w:tcW w:w="8060" w:type="dxa"/>
            <w:vAlign w:val="bottom"/>
            <w:gridSpan w:val="9"/>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6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94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w:t>
            </w:r>
          </w:p>
        </w:tc>
        <w:tc>
          <w:tcPr>
            <w:tcW w:w="1260" w:type="dxa"/>
            <w:vAlign w:val="bottom"/>
            <w:tcBorders>
              <w:top w:val="single" w:sz="8" w:color="0000EE"/>
            </w:tcBorders>
            <w:gridSpan w:val="7"/>
          </w:tcPr>
          <w:p>
            <w:pPr>
              <w:spacing w:after="0"/>
              <w:rPr>
                <w:sz w:val="17"/>
                <w:szCs w:val="17"/>
                <w:color w:val="auto"/>
              </w:rPr>
            </w:pPr>
          </w:p>
        </w:tc>
        <w:tc>
          <w:tcPr>
            <w:tcW w:w="83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5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00" w:type="dxa"/>
            <w:vAlign w:val="bottom"/>
            <w:gridSpan w:val="20"/>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you with information different than that which is contained in or incorporated by reference in this prospectus supplement, the accompanying prospectus or in any free writing prospectus that we have authorized for use in connection with this offering. We and the underwriters are not making an offer to sell these securities in any jurisdiction where the offer or sale is not permitted.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April 25, 2024,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or the accompanying prospectus or any sale of our common stock. Our business, financial condition, results of operations and prospects may have changed since that date.</w:t>
      </w:r>
    </w:p>
    <w:p>
      <w:pPr>
        <w:spacing w:after="0" w:line="19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the terms “Allogene,” “the Company,” “we,” “us” and “our” refer to Allogene Therapeutics, Inc.</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does not contain all the information you should consider before investing in our common stock. You should read and consider carefully the more detailed information in this prospectus supplement and the accompanying prospectus, including the factors described under the heading “Risk Factors” in this prospectus supplement, and under similar headings in other documents that are incorporated by reference in this prospectus supplement and the accompanying prospectus,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187" w:lineRule="exact"/>
        <w:rPr>
          <w:sz w:val="20"/>
          <w:szCs w:val="20"/>
          <w:color w:val="auto"/>
        </w:rPr>
      </w:pPr>
    </w:p>
    <w:p>
      <w:pPr>
        <w:ind w:left="300" w:right="180" w:firstLine="426"/>
        <w:spacing w:after="0" w:line="255" w:lineRule="auto"/>
        <w:rPr>
          <w:sz w:val="20"/>
          <w:szCs w:val="20"/>
          <w:color w:val="auto"/>
        </w:rPr>
      </w:pPr>
      <w:r>
        <w:rPr>
          <w:rFonts w:ascii="Times New Roman" w:cs="Times New Roman" w:eastAsia="Times New Roman" w:hAnsi="Times New Roman"/>
          <w:sz w:val="18"/>
          <w:szCs w:val="18"/>
          <w:color w:val="auto"/>
        </w:rPr>
        <w:t>Our most advanced product candidate, cemacabtagene ansegedleucel (cema-cel) is an engineered allogeneic CAR T cell product candidate that targets CD19, a protein expressed on the cell surface of B cells and a validated target for B cell-derived hematological malignancies. We are conducting a pivotal Phase 2 ALPHA3 trial of cema-cel in first-line (1L) consolidation large B-cell lymphoma (LBCL). The 1L LBCL consolidation market is projected to have a total addressable market of approximately $5.0 billion in 2032 with the potential to address more than 14,700 patients per year in the United States, France, Germany, Italy, Spain and the United Kingdom. We estimate that cema-cel’s commercial opportunity, if approved, could be between approximately $2.5 billion to $3.5 billion per year by 2032, with the potential to treat approximately 7,000 to 10,000 patients per year in the United States, France, Germany, Italy, Spain and the United Kingdom.</w:t>
      </w:r>
    </w:p>
    <w:p>
      <w:pPr>
        <w:spacing w:after="0" w:line="189"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On February 13, 2025, we announced long-term follow up data from the Phase 1 ALPHA trial of ALLO-501 and from the Phase 1 ALPHA2 trial of cema-cel in relapsed/refractory (R/R) LBCL which was published in the Journal of Clinical Oncology. We previously terminated further development of ALLO-501 in favor of cema-cel. The ALPHA/ALPHA2 studies were single-arm, multicenter, open-label, Phase 1 trials. As of the data cutoff date (September 26, 2024), 33 CD19 CAR T-naive patients with R/R LBCL were treated in ALPHA/ALPHA2 with cema-cel/ALLO-501 manufactured with the process selected for use in pivotal studies. The overall response rate (ORR) was 58%, the complete response (CR) rate in LBCL in the modified intent to treat (mITT) group was 42%, 30% of the LBCL mITT patients achieved a CR that lasted at least six months and the median duration of response (DOR) was 11.1 months. No cases of graft-versus-host disease (GvHD), immune effector cell–associated neurotoxicity syndrome (ICANS), or grade ≥3 cytokine release syndrome (CRS) were reported. Grade ≥3 neuro events and infections were reported in 9% and 15% of patients, respectively. Of the enrolled patients, three did not receive the intended cell product.</w:t>
      </w:r>
    </w:p>
    <w:p>
      <w:pPr>
        <w:spacing w:after="0" w:line="18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selected Phase 2 regimen (fludarabine/cyclophosphamide lymphodepletion with 90 mg of ALLO-647 (FCA90) followed by a single dose of CAR T cells at 120 x 106 494 CAR+ cells) yielded the highest ORR and CR in LBCL in the mITT group of 67% and 58%, respectively, with 42% of the LBCL mITT patients achieving a CR that lasted at least six months and the median DOR was 23.1 months. No cases of graft-versus-host disease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(GVHD), immune effector cell–associated neurotoxicity syndrome (ICANS), or grade ≥3 cytokine release syndrome (CRS) or neuro events were reported. Grade ≥3 infections were reported in 8% of patients. Of the enrolled patients in this group, one was found to have central nervous system involvement and was excluded.</w:t>
      </w:r>
    </w:p>
    <w:p>
      <w:pPr>
        <w:spacing w:after="0" w:line="176"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 ORR and CR rate in the ALPHA/ALPHA2 trials were comparable with those observed in patients with R/R LBCL after two or more lines of systemic therapy who received treatment with approved autologous CD19 CAR T cell products as further described below. Specifically, in the pivotal Phase 2 trial of KYMRIAH, of the efficacy evaluable population (n=68), 78% had primary diffuse LBCL (DLBCL) not otherwise specified (NOS) and 22% DLBCL following transformation from follicular lymphoma. Among this group, the ORR was 50%, the CR rate was 32%, 29% achieved a CR that lasted at least six months and the median DOR was not estimable. Grade ≥3 CRS, neuro events and infections were reported in 22%, 12% and 20% of patients, respectively. Of the enrolled patients, 33% did not receive the intended cell product including out of spec products.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the pivotal Phase 2 trial of YESCARTA, of the evaluable patient population 76% had DLBC, 16% had transformed follicular lymphoma and 8% had primary mediastinal large B-cell lymphoma. Among this group, the ORR was 72%, the CR rate was 51%, 36% achieved a CR that lasted at least six months and the median DOR was 9.2 months. Grade ≥3 CRS, neuro events and infections were reported in 13%, 31% and 23% of patients, respectively. Of the enrolled patients, 9% did not receive the intended cell product including out of spec products. In the pivotal Phase 2 trial of BREYANZI, of the evaluable patient population, 53% had de novo DLBCL, 25% had DLBCL transformed from indolent lymphoma, 14% had high-grade B-cell lymphoma, 7% had had primary mediastinal large B-cell lymphoma and 1% had grade 3B follicular lymphoma. Among this group, the ORR was 73%, the CR rate was 54%, approximately 40% achieved a CR that lasted at least six months and the median DOR was 16.7 months. Grade ≥3 CRS, neuro events and infections were reported in 4%, 12% and 19% of patients, respectively. Of the enrolled patients, 36% underwent lymphodepletion but did not receive the intended cell product including spec products.</w:t>
      </w:r>
    </w:p>
    <w:p>
      <w:pPr>
        <w:spacing w:after="0" w:line="188"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There have been no head-to-head trials conducted and differences exist between trial designs and subject characteristics. Accordingly, caution should be exercised when comparing data across studies.</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right="720" w:firstLine="426"/>
        <w:spacing w:after="0" w:line="282" w:lineRule="auto"/>
        <w:rPr>
          <w:sz w:val="20"/>
          <w:szCs w:val="20"/>
          <w:color w:val="auto"/>
        </w:rPr>
      </w:pPr>
      <w:r>
        <w:rPr>
          <w:rFonts w:ascii="Times New Roman" w:cs="Times New Roman" w:eastAsia="Times New Roman" w:hAnsi="Times New Roman"/>
          <w:sz w:val="18"/>
          <w:szCs w:val="18"/>
          <w:color w:val="auto"/>
        </w:rPr>
        <w:t>On April 13, 2026, we announced interim futility analysis from our pivotal, Phase 2 ALPHA3 trial of cemacabtagene ansegedleucel (cema-cel) in first-line (1L) consolidation for large B-cell lymphoma (LBCL).</w:t>
      </w:r>
    </w:p>
    <w:p>
      <w:pPr>
        <w:spacing w:after="0" w:line="162" w:lineRule="exact"/>
        <w:rPr>
          <w:sz w:val="20"/>
          <w:szCs w:val="20"/>
          <w:color w:val="auto"/>
        </w:rPr>
      </w:pPr>
    </w:p>
    <w:p>
      <w:pPr>
        <w:ind w:left="300" w:right="80" w:firstLine="426"/>
        <w:spacing w:after="0" w:line="236" w:lineRule="auto"/>
        <w:rPr>
          <w:sz w:val="20"/>
          <w:szCs w:val="20"/>
          <w:color w:val="auto"/>
        </w:rPr>
      </w:pPr>
      <w:r>
        <w:rPr>
          <w:rFonts w:ascii="Times New Roman" w:cs="Times New Roman" w:eastAsia="Times New Roman" w:hAnsi="Times New Roman"/>
          <w:sz w:val="18"/>
          <w:szCs w:val="18"/>
          <w:color w:val="auto"/>
        </w:rPr>
        <w:t>The ALPHA3 trial is the first randomized study in LBCL designed to assess whether minimal residual disease (MRD)-guided intervention with cema-cel before relapse can eliminate residual disease and potentially prevent recurrence. The study identifies high-risk patients using Natera’s investigational CLARITY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MRD assay which is powered by its phased variant MRD technology. In published literature, patients with LBCL who have completed curative-intent treatment in both front-line and later line settings, including autologous CAR T therapy, and who achieve MRD negative status by technology have demonstrated improved progression-free survival (PFS) and event-free survival (EFS) compared to those who do not attain MRD-negative status.</w:t>
      </w:r>
    </w:p>
    <w:p>
      <w:pPr>
        <w:spacing w:after="0" w:line="20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This interim futility analysis was based on the first 24 patients randomized in the two study arms still open to enrollment (12 in the cema-cel arm and 12 in the observation arm) and followed for post-treatment MRD assessment. MRD is assessed on Day 45, Month 3, and every three months during the first year of follow-up. The primary endpoint of EFS, defined as starting new anti-lymphoma therapy, disease progression, or death, along with key secondary endpoints of PFS and overall survival (OS), remains blinded.</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01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7015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Efficacy Data</w:t>
      </w:r>
    </w:p>
    <w:p>
      <w:pPr>
        <w:spacing w:after="0" w:line="119"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At the protocol-defined data cutoff date, 58.3% (7/12) of patients in the cema-cel arm had tested MRD negative at their last assessment compared to 16.7% (2/12) in the observation arm. This represents a 41.6% absolute difference in MRD clearance between the two arms. Based on literature, we believe an absolute difference of 25-30% in MRD clearance could translate into meaningful clinical benefit at study completion. In these initial patients, the clearance of MRD generally occurred rapidly post infusion. At the first MRD assessment (Day 45), plasma ctDNA levels decreased from baseline by a median of 97.7% in the cema-cel arm compared to a 26.6% median increase in the observation arm. We believe these interim data provide initial support for cema-cel’s potential as a novel strategy for treating high-risk patients at the end of first-line treatment.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Safety Data</w:t>
      </w:r>
    </w:p>
    <w:p>
      <w:pPr>
        <w:spacing w:after="0" w:line="119"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Cema-cel has been generally well-tolerated as of the data cutoff with no serious adverse events related to treatment. There were no cases of cytokine release syndrome (CRS), immune effector cell-associated neurotoxicity syndrome (ICANS) or graft-versus-host disease (GvHD) in the Treatment Emergent Adverse Event (TEAE) of Special Interest category, which captures adverse events associated with CAR T.</w:t>
      </w:r>
    </w:p>
    <w:p>
      <w:pPr>
        <w:spacing w:after="0" w:line="196" w:lineRule="exact"/>
        <w:rPr>
          <w:sz w:val="20"/>
          <w:szCs w:val="20"/>
          <w:color w:val="auto"/>
        </w:rPr>
      </w:pPr>
    </w:p>
    <w:tbl>
      <w:tblPr>
        <w:tblLayout w:type="fixed"/>
        <w:tblInd w:w="1580" w:type="dxa"/>
        <w:tblCellMar>
          <w:top w:w="0" w:type="dxa"/>
          <w:left w:w="0" w:type="dxa"/>
          <w:bottom w:w="0" w:type="dxa"/>
          <w:right w:w="0" w:type="dxa"/>
        </w:tblCellMar>
      </w:tblPr>
      <w:tr>
        <w:trPr>
          <w:trHeight w:val="193"/>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TEAEs of Special Interest</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Cema-cel Arm (N=12) n(%)</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Observation Arm (N=12) n(%)</w:t>
            </w:r>
          </w:p>
        </w:tc>
      </w:tr>
      <w:tr>
        <w:trPr>
          <w:trHeight w:val="203"/>
        </w:trPr>
        <w:tc>
          <w:tcPr>
            <w:tcW w:w="15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CRS (Any Grade)</w:t>
            </w:r>
          </w:p>
        </w:tc>
        <w:tc>
          <w:tcPr>
            <w:tcW w:w="16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7"/>
                <w:szCs w:val="17"/>
                <w:color w:val="auto"/>
                <w:w w:val="70"/>
              </w:rPr>
              <w:t>0</w:t>
            </w:r>
          </w:p>
        </w:tc>
        <w:tc>
          <w:tcPr>
            <w:tcW w:w="12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ICANS (Any Grade)</w:t>
            </w:r>
          </w:p>
        </w:tc>
        <w:tc>
          <w:tcPr>
            <w:tcW w:w="28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GvHD (Any Grade)</w:t>
            </w:r>
          </w:p>
        </w:tc>
        <w:tc>
          <w:tcPr>
            <w:tcW w:w="28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Infection*</w:t>
            </w:r>
          </w:p>
        </w:tc>
        <w:tc>
          <w:tcPr>
            <w:tcW w:w="2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 (16.7%)</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(16.7%)</w:t>
            </w:r>
          </w:p>
        </w:tc>
      </w:tr>
      <w:tr>
        <w:trPr>
          <w:trHeight w:val="216"/>
        </w:trPr>
        <w:tc>
          <w:tcPr>
            <w:tcW w:w="3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Infection (Grade ≥3)</w:t>
            </w:r>
          </w:p>
        </w:tc>
        <w:tc>
          <w:tcPr>
            <w:tcW w:w="28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Neurologic Events**</w:t>
            </w:r>
          </w:p>
        </w:tc>
        <w:tc>
          <w:tcPr>
            <w:tcW w:w="2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6 (50.0%)</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(8.3%)</w:t>
            </w:r>
          </w:p>
        </w:tc>
      </w:tr>
      <w:tr>
        <w:trPr>
          <w:trHeight w:val="198"/>
        </w:trPr>
        <w:tc>
          <w:tcPr>
            <w:tcW w:w="32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Neurologic Events</w:t>
            </w: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32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(Grade ≥3)</w:t>
            </w:r>
          </w:p>
        </w:tc>
        <w:tc>
          <w:tcPr>
            <w:tcW w:w="28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49" w:lineRule="exact"/>
        <w:rPr>
          <w:sz w:val="20"/>
          <w:szCs w:val="20"/>
          <w:color w:val="auto"/>
        </w:rPr>
      </w:pPr>
    </w:p>
    <w:p>
      <w:pPr>
        <w:ind w:left="720" w:hanging="422"/>
        <w:spacing w:after="0"/>
        <w:tabs>
          <w:tab w:leader="none" w:pos="720" w:val="left"/>
        </w:tabs>
        <w:numPr>
          <w:ilvl w:val="0"/>
          <w:numId w:val="1"/>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Infection events were low grade and limited to urinary tract infection, subcutaneous abscess, COVID19, and skin infection</w:t>
      </w:r>
    </w:p>
    <w:p>
      <w:pPr>
        <w:ind w:left="720" w:hanging="422"/>
        <w:spacing w:after="0" w:line="180" w:lineRule="auto"/>
        <w:tabs>
          <w:tab w:leader="none" w:pos="720" w:val="left"/>
        </w:tabs>
        <w:numPr>
          <w:ilvl w:val="0"/>
          <w:numId w:val="2"/>
        </w:numPr>
        <w:rPr>
          <w:rFonts w:ascii="Times New Roman" w:cs="Times New Roman" w:eastAsia="Times New Roman" w:hAnsi="Times New Roman"/>
          <w:sz w:val="25"/>
          <w:szCs w:val="25"/>
          <w:i w:val="1"/>
          <w:iCs w:val="1"/>
          <w:color w:val="auto"/>
          <w:vertAlign w:val="superscript"/>
        </w:rPr>
      </w:pPr>
      <w:r>
        <w:rPr>
          <w:rFonts w:ascii="Times New Roman" w:cs="Times New Roman" w:eastAsia="Times New Roman" w:hAnsi="Times New Roman"/>
          <w:sz w:val="17"/>
          <w:szCs w:val="17"/>
          <w:i w:val="1"/>
          <w:iCs w:val="1"/>
          <w:color w:val="auto"/>
        </w:rPr>
        <w:t>Other neurologic events were low grade and limited to headache, dizziness, numbness or tingling in the hands or feet, and altered taste</w:t>
      </w:r>
    </w:p>
    <w:p>
      <w:pPr>
        <w:spacing w:after="0" w:line="19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Ten of 12 patients who received cema-cel were managed entirely outpatient post-infusion. The remaining two patients were briefly hospitalized for events deemed unrelated to cema-cel treatment (atrial fibrillation and non-cardiac chest pain). One patient in the observation arm was hospitalized for febrile neutropenia. This contrasts with the broader CAR T experience where hospitalization for toxicity management remains common, even in outpatient programs, with approximately 70–90% of patients requiring admission and roughly 75% hospitalized for adverse events within 30 days.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0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Patient Characteristics</w:t>
      </w:r>
    </w:p>
    <w:p>
      <w:pPr>
        <w:spacing w:after="0" w:line="119"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Both study arms consisted of patients with high-risk, aggressive lymphomas. Although limited by the small sample size, baseline characteristics show that a numerically greater number of patients in the cema-cel arm had more aggressive disease features, specifically stage III-IV disease and higher International Prognostic Index (IPI) scores, compared to the observation arm.</w:t>
      </w:r>
    </w:p>
    <w:p>
      <w:pPr>
        <w:spacing w:after="0" w:line="198" w:lineRule="exact"/>
        <w:rPr>
          <w:sz w:val="20"/>
          <w:szCs w:val="20"/>
          <w:color w:val="auto"/>
        </w:rPr>
      </w:pPr>
    </w:p>
    <w:tbl>
      <w:tblPr>
        <w:tblLayout w:type="fixed"/>
        <w:tblInd w:w="1580" w:type="dxa"/>
        <w:tblCellMar>
          <w:top w:w="0" w:type="dxa"/>
          <w:left w:w="0" w:type="dxa"/>
          <w:bottom w:w="0" w:type="dxa"/>
          <w:right w:w="0" w:type="dxa"/>
        </w:tblCellMar>
      </w:tblPr>
      <w:tr>
        <w:trPr>
          <w:trHeight w:val="191"/>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At Original Diagnosis</w:t>
            </w:r>
          </w:p>
        </w:tc>
        <w:tc>
          <w:tcPr>
            <w:tcW w:w="1880" w:type="dxa"/>
            <w:vAlign w:val="bottom"/>
          </w:tcPr>
          <w:p>
            <w:pPr>
              <w:spacing w:after="0"/>
              <w:rPr>
                <w:sz w:val="16"/>
                <w:szCs w:val="16"/>
                <w:color w:val="auto"/>
              </w:rPr>
            </w:pPr>
          </w:p>
        </w:tc>
        <w:tc>
          <w:tcPr>
            <w:tcW w:w="288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color w:val="auto"/>
              </w:rPr>
              <w:t>Cema-cel Arm (N=12) n(%)</w:t>
            </w:r>
          </w:p>
        </w:tc>
        <w:tc>
          <w:tcPr>
            <w:tcW w:w="2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Observation Arm (N=12) n(%)</w:t>
            </w:r>
          </w:p>
        </w:tc>
      </w:tr>
      <w:tr>
        <w:trPr>
          <w:trHeight w:val="171"/>
        </w:trPr>
        <w:tc>
          <w:tcPr>
            <w:tcW w:w="31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History of Bone Marrow</w:t>
            </w:r>
          </w:p>
        </w:tc>
        <w:tc>
          <w:tcPr>
            <w:tcW w:w="16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Involvement</w:t>
            </w:r>
          </w:p>
        </w:tc>
        <w:tc>
          <w:tcPr>
            <w:tcW w:w="28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 (33.3%)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Disease Stage</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 - II</w:t>
            </w:r>
          </w:p>
        </w:tc>
        <w:tc>
          <w:tcPr>
            <w:tcW w:w="28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III - IV</w:t>
            </w:r>
          </w:p>
        </w:tc>
        <w:tc>
          <w:tcPr>
            <w:tcW w:w="28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12 (100%)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IPI Score</w:t>
            </w:r>
          </w:p>
        </w:tc>
        <w:tc>
          <w:tcPr>
            <w:tcW w:w="1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 to 1</w:t>
            </w:r>
          </w:p>
        </w:tc>
        <w:tc>
          <w:tcPr>
            <w:tcW w:w="288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3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 to 3</w:t>
            </w:r>
          </w:p>
        </w:tc>
        <w:tc>
          <w:tcPr>
            <w:tcW w:w="28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 (58.3%)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 to 5</w:t>
            </w:r>
          </w:p>
        </w:tc>
        <w:tc>
          <w:tcPr>
            <w:tcW w:w="28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 (41.7%)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Unknown</w:t>
            </w:r>
          </w:p>
        </w:tc>
        <w:tc>
          <w:tcPr>
            <w:tcW w:w="28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 (8.3%)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Alterations/Over Expression</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Double Hit</w:t>
            </w:r>
          </w:p>
        </w:tc>
        <w:tc>
          <w:tcPr>
            <w:tcW w:w="28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6 (50.0%)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Triple Hit</w:t>
            </w:r>
          </w:p>
        </w:tc>
        <w:tc>
          <w:tcPr>
            <w:tcW w:w="288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Double Expressor</w:t>
            </w:r>
          </w:p>
        </w:tc>
        <w:tc>
          <w:tcPr>
            <w:tcW w:w="28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 (16.7%)</w:t>
            </w:r>
          </w:p>
        </w:tc>
        <w:tc>
          <w:tcPr>
            <w:tcW w:w="1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 high-intensity variant of R-CHOP, DA-EPOCH-R, was the most commonly administered first-line therapy across both arms, with a slightly higher proportion of patients in the cema-cel arm receiving this first line treatment regimen (58.3% vs. 41.7%). Twenty-five percent of patients in each arm entered the study after achieving a partial remission to 1L therapy.</w:t>
      </w:r>
    </w:p>
    <w:p>
      <w:pPr>
        <w:spacing w:after="0" w:line="19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86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color w:val="auto"/>
              </w:rPr>
              <w:t>Cema-cel Arm (N=12) n(%)</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Observation Arm (N=12) n(%)</w:t>
            </w: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First-Line Treatment</w:t>
            </w:r>
          </w:p>
        </w:tc>
        <w:tc>
          <w:tcPr>
            <w:tcW w:w="16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R-CHOP</w:t>
            </w:r>
          </w:p>
        </w:tc>
        <w:tc>
          <w:tcPr>
            <w:tcW w:w="28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 (16.7%)</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(25.0%)</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R-Pola-CHP</w:t>
            </w:r>
          </w:p>
        </w:tc>
        <w:tc>
          <w:tcPr>
            <w:tcW w:w="2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 (16.7%)</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(16.7%)</w:t>
            </w: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DA-EPOCH-R</w:t>
            </w:r>
          </w:p>
        </w:tc>
        <w:tc>
          <w:tcPr>
            <w:tcW w:w="28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7 (58.3%)</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(41.7%)</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R-miniCHOP</w:t>
            </w:r>
          </w:p>
        </w:tc>
        <w:tc>
          <w:tcPr>
            <w:tcW w:w="2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 (8.3%)</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(16.7%)</w:t>
            </w:r>
          </w:p>
        </w:tc>
      </w:tr>
      <w:tr>
        <w:trPr>
          <w:trHeight w:val="216"/>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Most Recent PET/CT Response Before Randomization</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w:t>
            </w:r>
          </w:p>
        </w:tc>
        <w:tc>
          <w:tcPr>
            <w:tcW w:w="2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9 (75.0%)</w:t>
            </w: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 (75.0%)</w:t>
            </w:r>
          </w:p>
        </w:tc>
      </w:tr>
      <w:tr>
        <w:trPr>
          <w:trHeight w:val="234"/>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w:t>
            </w:r>
          </w:p>
        </w:tc>
        <w:tc>
          <w:tcPr>
            <w:tcW w:w="28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 (25.0%)</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(25.0%)</w:t>
            </w:r>
          </w:p>
        </w:tc>
      </w:tr>
    </w:tbl>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Planned Activities</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ALPHA3 trial is enrolling across more than 60 sites, with additional sites coming online, and is expected to enroll approximately 220 patients. Study accrual is anticipated to be complete by the end of 2027. The study is powered to detect a 50% reduction in the risk of EFS events. We anticipate an interim EFS analysis in mid-2027 and the primary EFS analysis in mid-2028. If positive, these results could support a Biologics License Application submission.</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November 2017. Our principal executive offices are located at 210 East Grand Avenue, South San Francisco, California 94080, and our telephone number is (650) 457-2700.</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9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09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www.allogene.com. Information contained on or accessible through our website is not part of this prospectus, and the inclusion of our website address in this prospectus is an inactive textual reference only.</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1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4660" w:type="dxa"/>
            <w:vAlign w:val="bottom"/>
          </w:tcPr>
          <w:p>
            <w:pPr>
              <w:spacing w:after="0"/>
              <w:rPr>
                <w:sz w:val="20"/>
                <w:szCs w:val="20"/>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from the date of this</w:t>
            </w:r>
          </w:p>
        </w:tc>
      </w:tr>
      <w:tr>
        <w:trPr>
          <w:trHeight w:val="234"/>
        </w:trPr>
        <w:tc>
          <w:tcPr>
            <w:tcW w:w="3360" w:type="dxa"/>
            <w:vAlign w:val="bottom"/>
          </w:tcPr>
          <w:p>
            <w:pPr>
              <w:spacing w:after="0"/>
              <w:rPr>
                <w:sz w:val="20"/>
                <w:szCs w:val="20"/>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prospectus supplement to purchase up to          additional shares.</w:t>
            </w:r>
          </w:p>
        </w:tc>
      </w:tr>
      <w:tr>
        <w:trPr>
          <w:trHeight w:val="31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Common stock to be outstanding immediately after this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shares (or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w:t>
            </w:r>
          </w:p>
        </w:tc>
      </w:tr>
      <w:tr>
        <w:trPr>
          <w:trHeight w:val="234"/>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offering</w:t>
            </w: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purchase additional shares).</w:t>
            </w:r>
          </w:p>
        </w:tc>
      </w:tr>
      <w:tr>
        <w:trPr>
          <w:trHeight w:val="3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w w:val="99"/>
              </w:rPr>
              <w:t>We estimate that the net proceeds to us from this offering, after deducting the underwriting</w:t>
            </w:r>
          </w:p>
        </w:tc>
      </w:tr>
      <w:tr>
        <w:trPr>
          <w:trHeight w:val="216"/>
        </w:trPr>
        <w:tc>
          <w:tcPr>
            <w:tcW w:w="3360" w:type="dxa"/>
            <w:vAlign w:val="bottom"/>
          </w:tcPr>
          <w:p>
            <w:pPr>
              <w:spacing w:after="0"/>
              <w:rPr>
                <w:sz w:val="18"/>
                <w:szCs w:val="18"/>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will be</w:t>
            </w:r>
          </w:p>
        </w:tc>
      </w:tr>
      <w:tr>
        <w:trPr>
          <w:trHeight w:val="216"/>
        </w:trPr>
        <w:tc>
          <w:tcPr>
            <w:tcW w:w="336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million (or $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million if the underwriters exercise in full their option to</w:t>
            </w:r>
          </w:p>
        </w:tc>
      </w:tr>
      <w:tr>
        <w:trPr>
          <w:trHeight w:val="234"/>
        </w:trPr>
        <w:tc>
          <w:tcPr>
            <w:tcW w:w="3360" w:type="dxa"/>
            <w:vAlign w:val="bottom"/>
          </w:tcPr>
          <w:p>
            <w:pPr>
              <w:spacing w:after="0"/>
              <w:rPr>
                <w:sz w:val="20"/>
                <w:szCs w:val="20"/>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purchase additional shares).</w:t>
            </w:r>
          </w:p>
        </w:tc>
      </w:tr>
      <w:tr>
        <w:trPr>
          <w:trHeight w:val="319"/>
        </w:trPr>
        <w:tc>
          <w:tcPr>
            <w:tcW w:w="3360" w:type="dxa"/>
            <w:vAlign w:val="bottom"/>
          </w:tcPr>
          <w:p>
            <w:pPr>
              <w:spacing w:after="0"/>
              <w:rPr>
                <w:sz w:val="24"/>
                <w:szCs w:val="24"/>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w w:val="99"/>
              </w:rPr>
              <w:t>We intend to use the net proceeds from this offering for general corporate purposes, which</w:t>
            </w:r>
          </w:p>
        </w:tc>
      </w:tr>
      <w:tr>
        <w:trPr>
          <w:trHeight w:val="216"/>
        </w:trPr>
        <w:tc>
          <w:tcPr>
            <w:tcW w:w="3360" w:type="dxa"/>
            <w:vAlign w:val="bottom"/>
          </w:tcPr>
          <w:p>
            <w:pPr>
              <w:spacing w:after="0"/>
              <w:rPr>
                <w:sz w:val="18"/>
                <w:szCs w:val="18"/>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may include clinical trial expenses, research and development expenses, general and</w:t>
            </w:r>
          </w:p>
        </w:tc>
      </w:tr>
      <w:tr>
        <w:trPr>
          <w:trHeight w:val="234"/>
        </w:trPr>
        <w:tc>
          <w:tcPr>
            <w:tcW w:w="3360" w:type="dxa"/>
            <w:vAlign w:val="bottom"/>
          </w:tcPr>
          <w:p>
            <w:pPr>
              <w:spacing w:after="0"/>
              <w:rPr>
                <w:sz w:val="20"/>
                <w:szCs w:val="20"/>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administrative expenses, and capital expenditures. See “Use of Proceeds.”</w:t>
            </w:r>
          </w:p>
        </w:tc>
      </w:tr>
      <w:tr>
        <w:trPr>
          <w:trHeight w:val="31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 risk. See “Risk Factors” sections</w:t>
            </w:r>
          </w:p>
        </w:tc>
      </w:tr>
      <w:tr>
        <w:trPr>
          <w:trHeight w:val="216"/>
        </w:trPr>
        <w:tc>
          <w:tcPr>
            <w:tcW w:w="3360" w:type="dxa"/>
            <w:vAlign w:val="bottom"/>
          </w:tcPr>
          <w:p>
            <w:pPr>
              <w:spacing w:after="0"/>
              <w:rPr>
                <w:sz w:val="18"/>
                <w:szCs w:val="18"/>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of this prospectus supplement and the documents incorporated by reference herein for a</w:t>
            </w:r>
          </w:p>
        </w:tc>
      </w:tr>
      <w:tr>
        <w:trPr>
          <w:trHeight w:val="216"/>
        </w:trPr>
        <w:tc>
          <w:tcPr>
            <w:tcW w:w="3360" w:type="dxa"/>
            <w:vAlign w:val="bottom"/>
          </w:tcPr>
          <w:p>
            <w:pPr>
              <w:spacing w:after="0"/>
              <w:rPr>
                <w:sz w:val="18"/>
                <w:szCs w:val="18"/>
                <w:color w:val="auto"/>
              </w:rPr>
            </w:pPr>
          </w:p>
        </w:tc>
        <w:tc>
          <w:tcPr>
            <w:tcW w:w="7200" w:type="dxa"/>
            <w:vAlign w:val="bottom"/>
            <w:gridSpan w:val="6"/>
          </w:tcPr>
          <w:p>
            <w:pPr>
              <w:ind w:left="680"/>
              <w:spacing w:after="0"/>
              <w:rPr>
                <w:sz w:val="20"/>
                <w:szCs w:val="20"/>
                <w:color w:val="auto"/>
              </w:rPr>
            </w:pPr>
            <w:r>
              <w:rPr>
                <w:rFonts w:ascii="Times New Roman" w:cs="Times New Roman" w:eastAsia="Times New Roman" w:hAnsi="Times New Roman"/>
                <w:sz w:val="18"/>
                <w:szCs w:val="18"/>
                <w:color w:val="auto"/>
              </w:rPr>
              <w:t>discussion of factors you should consider carefully before deciding to invest in our</w:t>
            </w:r>
          </w:p>
        </w:tc>
      </w:tr>
      <w:tr>
        <w:trPr>
          <w:trHeight w:val="234"/>
        </w:trPr>
        <w:tc>
          <w:tcPr>
            <w:tcW w:w="3360" w:type="dxa"/>
            <w:vAlign w:val="bottom"/>
          </w:tcPr>
          <w:p>
            <w:pPr>
              <w:spacing w:after="0"/>
              <w:rPr>
                <w:sz w:val="20"/>
                <w:szCs w:val="20"/>
                <w:color w:val="auto"/>
              </w:rPr>
            </w:pP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3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“ALLO.”</w:t>
            </w:r>
          </w:p>
        </w:tc>
        <w:tc>
          <w:tcPr>
            <w:tcW w:w="2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1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to be outstanding immediately after this offering is based on 229,413,523 shares of our common stock outstanding as of December 31, 2025 and excludes as of that date:</w:t>
      </w:r>
    </w:p>
    <w:p>
      <w:pPr>
        <w:spacing w:after="0" w:line="67" w:lineRule="exact"/>
        <w:rPr>
          <w:sz w:val="20"/>
          <w:szCs w:val="20"/>
          <w:color w:val="auto"/>
        </w:rPr>
      </w:pPr>
    </w:p>
    <w:p>
      <w:pPr>
        <w:ind w:left="1240" w:right="80" w:hanging="415"/>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12,476,533 shares of our common stock issued subsequent to December 31, 2025 under a sales agreement with TD Securities (USA) LLC (f/k/a Cowen and Company, LLC) through at-the-market offerings, at a weighted-average selling price of $1.68 per share;</w:t>
      </w:r>
    </w:p>
    <w:p>
      <w:pPr>
        <w:spacing w:after="0" w:line="45" w:lineRule="exact"/>
        <w:rPr>
          <w:rFonts w:ascii="Times New Roman" w:cs="Times New Roman" w:eastAsia="Times New Roman" w:hAnsi="Times New Roman"/>
          <w:sz w:val="17"/>
          <w:szCs w:val="17"/>
          <w:color w:val="auto"/>
        </w:rPr>
      </w:pPr>
    </w:p>
    <w:p>
      <w:pPr>
        <w:ind w:left="1240" w:right="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31,138,077 shares of our common stock issuable upon the exercise of outstanding stock options, at a weighted-average exercise price of $6.31 per share;</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7,006,632 shares of our common stock issuable upon the exercise of stock options granted subsequent to December 31, 2025, at a weighted-average exercise price of $1.87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16,528,226 shares of our common stock issuable upon vesting and settlement of restricted stock units;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238,500 shares of our common stock issuable to certain non-employee directors who have deferred receipt of vested restricted stock units until the earlier of the director’s separation from service or on the date of a change of control under Section 409A of the Internal Revenue Code;</w:t>
      </w:r>
    </w:p>
    <w:p>
      <w:pPr>
        <w:spacing w:after="0" w:line="81" w:lineRule="exact"/>
        <w:rPr>
          <w:rFonts w:ascii="Times New Roman" w:cs="Times New Roman" w:eastAsia="Times New Roman" w:hAnsi="Times New Roman"/>
          <w:sz w:val="18"/>
          <w:szCs w:val="18"/>
          <w:color w:val="auto"/>
        </w:rPr>
      </w:pPr>
    </w:p>
    <w:p>
      <w:pPr>
        <w:ind w:left="1240" w:right="8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3,882,739 shares of our common stock issuable upon vesting and settlement of restricted stock units granted subsequent to December 31, 2025;</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6,187,819 shares of common stock authorized for future issuance under our 2018 equity incentive plan (2018 Plan), plus 11,470,676 shares that were automatically added to the 2018 Plan on January 1, 2026 pursuant to an evergreen provision in the 2018 Plan, as well as any future annual automatic increases in the number of shares of our common stock authorized for issuance under the 2018 Plan; and</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058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9,101,120 shares of our common stock reserved for issuance under our 2018 employee stock purchase plan (ESPP), plus 2,294,135 shares that were automatically added to the ESPP on January 1, 2026 pursuant to an evergreen provision in the ESPP, as well as any future annual automatic increases in the number of shares of our common stock authorized for issuance under the ESPP.</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settlement of the outstanding restricted stock units described above and no exercise by the underwriters of their option to purchase additional shares.</w:t>
      </w:r>
    </w:p>
    <w:p>
      <w:pPr>
        <w:spacing w:after="0" w:line="28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00"/>
          </w:cols>
          <w:pgMar w:left="320" w:top="455" w:right="7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and in the documents incorporated by reference in this prospectus supplement and the accompanying prospectus, as well as other risks not currently known to us or that we currently consider immaterial. The trading price of our common stock could decline due to any of these risks, and you may lose all or part of your investment. You should consider carefully the risks described below and discussed in our Annual Report on Form 10-K filed on March 12, 2026, which is incorporated by reference in this prospectus supplement in its entirety, together with the information contained in the other documents incorporated by reference into this prospectus supplement and the accompanying prospectus in their entirety, and other documents that we file from time to time with the SEC.</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we may not use the proceeds effectively.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we receive from this offering, including for any of the purposes described in the section of this prospectus supplement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the common stock sold in this offering, you will experience immediate and substantial dilution in your investment. You will experience further dilution if we issue additional equity securities in the future. Sales of a substantial number of shares of our common stock by our existing stockholders in the public market could cause our stock price to fall.</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substantial dilution with respect to the net tangible book value of the common stock you purchase in this offering. Based on the public offering price of $      per share, and our net tangible book value as of December 31, 2025, if you purchase shares of common stock in this offering, you will suffer immediate and substantial dilution of $      per share with respect to the net tangible book value of the common stock. See “Dilution” for a more detailed discussion of the dilution you will incur if you purchase common stock in this offering.</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a significant number of stock options and restricted stock units outstanding. To the extent that outstanding stock options have been or may be exercised or restricted stock units have been or may be settled, or other shares are issued, investors purchasing our common stock in this offering may experience further dilution.</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outstanding common stock in the public market could occur at any time. Significant portions of our outstanding shares of common stock are held by a relatively small number of stockholders. Sales by our stockholders of a substantial number of shares, or the expectation that such sales may occur, could significantly reduce the market price of our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7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this offering, we may have limited ability to issue additional securities or grant new equity awards under our 2018 Plan absent stockholder approval of an amendment to our certificate of incorporation to increase our authorized shares of common stock, which could materially and adversely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this offering, we anticipate that the number of remaining unissued and unreserved authorized shares of common stock, after accounting for shares reserved for issuance upon exercise or settlement of outstanding options and restricted stock units and for purchases under our ESPP, will be limited or exhausted. As a result, our ability to issue additional securities or grant new equity awards under our 2018 Plan will be significantly constrained. To increase the number of authorized shares of our common stock, we would need to obtain stockholder approval of an amendment to our certificate of incorporation (Charter). There can be no assurance that our stockholders will approve such an amendment or as to the timing of any such approval. Until our stockholders approve an amendment to our Charter and such amendment is filed with the Secretary of State of the State of Delaware, we will be unable to, or limited in our ability to, issue additional securities or grant new equity awards under our 2018 Plan. Our success depends in part on our continued ability to attract, retain and motivate highly qualified management and key personnel. If our stockholders do not approve such an amendment in a timely manner, or at all, the resulting lack of available authorized shares of common stock for future equity incentive awards could adversely affect our ability to attract, retain and motivate employees and other key personnel. In addition, we may be unable to access the capital markets, consummate corporate collaborations or partnerships, or pursue other business opportunities that are integral to our growth and success, at a time when it would be advantageous to do so, or at all. Any of the foregoing could materially and adversely affect our business.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Statements contained in this prospectus supplement, the accompanying prospectus and the documents incorporated by reference herein that are not strictly historical in nature are forward-looking statements within the meaning of Section 27A of the Securities Act of 1933, as amended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timing and potential indications of our product development activities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enrollment and completion of planned clinical trials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in any of the indications for which we plan to develop them,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the clinical trials of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to research, develop, manufacture and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collaborators with development, regulatory and commercialization expertise;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commercial opportunities and patient populations for our product candidates, and our ability to serve those markets and patients;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sales and marketing capabilities, whether alone or with potential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the performance of our and our collaborators’ third-party suppliers and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operate our own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unissued and unreserved authorized shares of common stock following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expected net proceeds from this offering;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 and our ability to operate our business without infringing on the intellectual property rights of others.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“designed to,” “estimates,” “expects,” “goal,” “intends,” “may,” “plans,” “potential,” “predicts,” “projects,” “should,” “suggest,”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the accompanying prospectus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the accompanying prospectus and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the accompanying prospectus, any free writing prospectus we authorize for use in connection with this offering and the documents incorporated by reference.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from the sale of shares of our common stock offered by us in this offering, after deducting the underwriting discounts and commissions and estimated offering expenses payable by us. If the underwriters exercise their option to purchase additional shares of our common stock in full, we estimate that the net proceeds to us will be approximately $      million, after deducting the underwriting discounts and commissions and estimated offering expenses payable by us.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w:t>
      </w:r>
    </w:p>
    <w:p>
      <w:pPr>
        <w:spacing w:after="0" w:line="180" w:lineRule="exact"/>
        <w:rPr>
          <w:sz w:val="20"/>
          <w:szCs w:val="20"/>
          <w:color w:val="auto"/>
        </w:rPr>
      </w:pPr>
    </w:p>
    <w:p>
      <w:pPr>
        <w:jc w:val="both"/>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amounts and timing of these expenditures will depend on a number of factors, such as the timing and progress of our clinical trials and our other research and development efforts, the timing and progress of any partnering efforts and the competitive environment for our product candidates. As of the date of this prospectus supplement, we cannot specify with certainty all of the particular uses of the net proceeds from this offering.</w:t>
      </w:r>
    </w:p>
    <w:p>
      <w:pPr>
        <w:spacing w:after="0" w:line="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Accordingly, we will retain broad discretion over the use of such proceeds. Pending the use of the net proceeds from this offering as described above, we intend to invest the net proceeds in investment-grade, interest-bearing instruments.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Investors purchasing shares of our common stock in this offering will experience immediate and substantial dilution in the pro forma net tangible book value of their shares of common stock. Dilution in net tangible book value represents the difference between the public offering price per share and the adjusted net tangible book value per share of our common stock immediately after this offering.</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historical net tangible book value of our common stock as of December 31, 2025 was $292.5 million, or $1.28 per share. Historical net tangible book value per share of our common stock represents our total tangible assets (total assets less intangible assets) less total liabilities, divided by the number of shares of common stock outstanding as of that date.</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the issuance of       shares of our common stock at the public offering price of $      per share, and after deducting the underwriting discounts and commissions and estimated offering expenses payable by us, our as adjusted net tangible book value as of December 31, 2025 would have been approximately $      million, or $      per share of common stock. This represents an immediate increase in net tangible</w:t>
      </w:r>
    </w:p>
    <w:tbl>
      <w:tblPr>
        <w:tblLayout w:type="fixed"/>
        <w:tblInd w:w="120" w:type="dxa"/>
        <w:tblCellMar>
          <w:top w:w="0" w:type="dxa"/>
          <w:left w:w="0" w:type="dxa"/>
          <w:bottom w:w="0" w:type="dxa"/>
          <w:right w:w="0" w:type="dxa"/>
        </w:tblCellMar>
      </w:tblPr>
      <w:tr>
        <w:trPr>
          <w:trHeight w:val="199"/>
        </w:trPr>
        <w:tc>
          <w:tcPr>
            <w:tcW w:w="68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book value of $         per share to existing stockholders and an immediate dilution of $       </w:t>
            </w:r>
          </w:p>
        </w:tc>
        <w:tc>
          <w:tcPr>
            <w:tcW w:w="3760" w:type="dxa"/>
            <w:vAlign w:val="bottom"/>
            <w:gridSpan w:val="5"/>
          </w:tcPr>
          <w:p>
            <w:pPr>
              <w:ind w:left="100"/>
              <w:spacing w:after="0" w:line="199" w:lineRule="exact"/>
              <w:rPr>
                <w:sz w:val="20"/>
                <w:szCs w:val="20"/>
                <w:color w:val="auto"/>
              </w:rPr>
            </w:pPr>
            <w:r>
              <w:rPr>
                <w:rFonts w:ascii="Times New Roman" w:cs="Times New Roman" w:eastAsia="Times New Roman" w:hAnsi="Times New Roman"/>
                <w:sz w:val="18"/>
                <w:szCs w:val="18"/>
                <w:color w:val="auto"/>
                <w:w w:val="99"/>
              </w:rPr>
              <w:t>per share to new investors purchasing our common</w:t>
            </w: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in this offering.</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6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13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820" w:type="dxa"/>
            <w:vAlign w:val="bottom"/>
            <w:tcBorders>
              <w:right w:val="single" w:sz="8" w:color="CCEEFF"/>
            </w:tcBorders>
            <w:gridSpan w:val="4"/>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2025</w:t>
            </w:r>
          </w:p>
        </w:tc>
        <w:tc>
          <w:tcPr>
            <w:tcW w:w="22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8360" w:type="dxa"/>
            <w:vAlign w:val="bottom"/>
            <w:tcBorders>
              <w:right w:val="single" w:sz="8" w:color="CCEEFF"/>
            </w:tcBorders>
            <w:gridSpan w:val="5"/>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w:t>
            </w:r>
          </w:p>
        </w:tc>
        <w:tc>
          <w:tcPr>
            <w:tcW w:w="940" w:type="dxa"/>
            <w:vAlign w:val="bottom"/>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of our common stock in this offering</w:t>
            </w:r>
          </w:p>
        </w:tc>
        <w:tc>
          <w:tcPr>
            <w:tcW w:w="14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132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in full to purchase an additional       shares of our common stock in this offering, the as adjusted net tangible book value per share after the offering would be $      per share, the increase in net tangible book value per share to existing stockholders would be $      per share and the dilution to new investors purchasing our common stock in this offering would be $      per share.</w:t>
      </w:r>
    </w:p>
    <w:p>
      <w:pPr>
        <w:spacing w:after="0" w:line="176" w:lineRule="exact"/>
        <w:rPr>
          <w:sz w:val="20"/>
          <w:szCs w:val="20"/>
          <w:color w:val="auto"/>
        </w:rPr>
      </w:pPr>
    </w:p>
    <w:p>
      <w:pPr>
        <w:jc w:val="both"/>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229,413,523 shares of our common stock outstanding as of December 31, 2025, and excludes as of that date:</w:t>
      </w:r>
    </w:p>
    <w:p>
      <w:pPr>
        <w:spacing w:after="0" w:line="67" w:lineRule="exact"/>
        <w:rPr>
          <w:sz w:val="20"/>
          <w:szCs w:val="20"/>
          <w:color w:val="auto"/>
        </w:rPr>
      </w:pPr>
    </w:p>
    <w:p>
      <w:pPr>
        <w:ind w:left="1080" w:right="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12,476,533 shares of our common stock issued subsequent to December 31, 2025 under a sales agreement with TD Securities (USA) LLC (f/k/a Cowen and Company, LLC) through at-the-market offerings, at a weighted-average selling price of $1.68 per share;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31,138,077 shares of our common stock issuable upon the exercise of outstanding stock options, at a weighted-average exercise price of $6.31 per share;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7,006,632 shares of our common stock issuable upon the exercise of stock options granted subsequent to December 31, 2025, at a weighted-average exercise price of $1.87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16,528,226 shares of our common stock issuable upon vesting and settlement of restricted stock units;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238,500 shares of our common stock issuable to certain non-employee directors who have deferred receipt of vested restricted stock units until the earlier of the director’s separation from service or on the date of a change of control under Section 409A of the Internal Revenue Code;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3,882,739 shares of our common stock issuable upon vesting and settlement of restricted stock units granted subsequent to December 31, 2025;</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6,187,819 shares of common stock authorized for future issuance under the 2018 Plan, plus 11,470,676 shares that were automatically added to the 2018 Plan on January 1, 2026 pursuant to an evergreen provision in the 2018 Plan, as well as any future annual automatic increases in the number of shares of our common stock authorized for issuance under the 2018 Plan; and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9,101,120 shares of our common stock reserved for issuance under the ESPP, plus 2,294,135 shares that were automatically added to the ESPP on January 1, 2026 pursuant to an evergreen provision in the ESPP, as well as any future annual automatic increases in the number of shares of our common stock authorized for issuance under the ESPP.</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debt, your ownership will be further diluted.</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existing options are exercised or restricted stock units vest, new options or restricted stock units are issued under our share-based compensation plans or we issue additional shares of common stock under the ESPP in the future, there will be further dilution to investors participating in this offering.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Jefferies LLC and TD Securities (USA) LLC are the representatives of the underwriters.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460" w:type="dxa"/>
            <w:vAlign w:val="bottom"/>
          </w:tcPr>
          <w:p>
            <w:pPr>
              <w:spacing w:after="0"/>
              <w:rPr>
                <w:sz w:val="16"/>
                <w:szCs w:val="16"/>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89"/>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Goldman Sachs &amp; Co. LLC</w:t>
            </w: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TPG Capital BD, LLC</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shown assuming both no exercise and full exercise of the underwriters’ option to purchase up to    </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additional shares.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3"/>
        </w:trPr>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4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3"/>
        </w:trPr>
        <w:tc>
          <w:tcPr>
            <w:tcW w:w="13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and our directors and our executive officers have agreed with the underwriters, subject to certain limited exceptions, not to dispose of or hedge any of their common stock or securities convertible into or exchangeable for shares of common stock during the period from the date of this prospectus supplement continuing through the date 45 days after the date of this prospectus supplement, except with the prior written consent of representatives.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“ALLO.”</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TD Securities (USA) LLC is the sales agent under our at-the-market offering sales agreement, pursuant to which we may offer and sell, from time to time, shares of our common stock by any method that is deemed to be an “at the market offering” under Rule 415(a)(4) under the Securities Act.</w:t>
      </w:r>
    </w:p>
    <w:p>
      <w:pPr>
        <w:spacing w:after="0" w:line="14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Todd Sisitsky, a member or our board of directors, has served as President and on the board of directors of TPG Inc., an affiliate of TPG Capital BD, LLC, since TPG Inc.’s inception.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no securities have been offered or will be offered pursuant to the offering to the public in that Relevant Member prior to the publication of a prospectus in relation to the securities which has been approved by the competent authority in that Relevant Member or, where appropriate, approved in another Relevant Member and notified to the competent authority in that Relevant Member, all in accordance with the Prospectus Regulation, except that the securities may be offered to the public in that Relevant Member at any time:</w:t>
      </w:r>
    </w:p>
    <w:p>
      <w:pPr>
        <w:spacing w:after="0" w:line="89"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of the underwriters or any of their respective affiliates to publish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Article 3 of the Prospectus Regulation or supplement a prospectus pursuant to Article 23 of the Prospectus Regulation.</w:t>
      </w:r>
    </w:p>
    <w:p>
      <w:pPr>
        <w:spacing w:after="0" w:line="160"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3"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us or any underwriter or any of their respective affiliates to publish a prospectus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85 of the FSMA or supplement a prospectus pursuant to Article 23 of the UK Prospectus Regulation.</w:t>
      </w:r>
    </w:p>
    <w:p>
      <w:pPr>
        <w:spacing w:after="0" w:line="16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(1) to an institutional investor under Section 274 of the SFA or to a relevant person (as defined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in that corporation’s securities pursuant to Section 275(1A) of the SFA,</w:t>
      </w:r>
    </w:p>
    <w:p>
      <w:pPr>
        <w:spacing w:after="0" w:line="27" w:lineRule="exact"/>
        <w:rPr>
          <w:sz w:val="20"/>
          <w:szCs w:val="20"/>
          <w:color w:val="auto"/>
        </w:rPr>
      </w:pPr>
    </w:p>
    <w:p>
      <w:pPr>
        <w:ind w:left="120" w:right="20" w:hanging="4"/>
        <w:spacing w:after="0" w:line="255"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securities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the CMP Regulations 2018),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supplement have not and will not be approved, and may not be licensable,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supplement and any other materials relating to the securities are strictly personal and confidential to each offeree and do not constitute an offer to any other person. This prospectus supplement may only be used by those qualified investors to whom it has been handed out in connection with the offer described in this prospectus supplement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supplement does not constitute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supplement does not necessarily comply with the information standards set out in the listing rules of the SIX Swiss Exchange and corresponding prospectus schemes annexed to the listing rules of the SIX Swiss Exchange.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in this prospectus supplement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profaessional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Cooley LLP will pass upon the validity of the shares of common stock being offered by this prospectus supplement. The underwriters are being represented by Latham &amp; Watkins LLP.</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0"/>
          </w:cols>
          <w:pgMar w:left="320" w:top="455"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made by us with the SEC under Sections 13(a), 13(c), 14 or 15(d) of the Exchange Act after the date of this prospectus supplement until the termination of the offering of the shares covered by this prospectus supplement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w:t>
      </w:r>
    </w:p>
    <w:p>
      <w:pPr>
        <w:spacing w:after="0" w:line="8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46">
        <w:r>
          <w:rPr>
            <w:rFonts w:ascii="Times New Roman" w:cs="Times New Roman" w:eastAsia="Times New Roman" w:hAnsi="Times New Roman"/>
            <w:sz w:val="18"/>
            <w:szCs w:val="18"/>
            <w:u w:val="single" w:color="auto"/>
            <w:color w:val="0000EE"/>
          </w:rPr>
          <w:t>March 12,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from our definitive proxy statement on Schedule 14A, filed with the SEC on </w:t>
      </w:r>
      <w:hyperlink r:id="rId48">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9">
        <w:r>
          <w:rPr>
            <w:rFonts w:ascii="Times New Roman" w:cs="Times New Roman" w:eastAsia="Times New Roman" w:hAnsi="Times New Roman"/>
            <w:sz w:val="18"/>
            <w:szCs w:val="18"/>
            <w:u w:val="single" w:color="auto"/>
            <w:color w:val="0000EE"/>
          </w:rPr>
          <w:t>April 13,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0">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5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February 28, 2023, including all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(other than exhibits, unless they are specifically incorporated by reference in the documents) at no cost, by contacting us at the following address or telephone number:</w:t>
      </w:r>
    </w:p>
    <w:p>
      <w:pPr>
        <w:spacing w:after="0" w:line="16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Allogene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 East Grand Avenue</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(650) 457-2700</w:t>
      </w:r>
    </w:p>
    <w:p>
      <w:pPr>
        <w:spacing w:after="0" w:line="207"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173990</wp:posOffset>
            </wp:positionV>
            <wp:extent cx="181737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8173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$500,000,000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“ALLO.” On March 12, 2024, the last reported sale price of our common stock was $4.90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2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 as well as those contained in the applicable prospectus supplement and any related free writing prospectus, and under similar headings in the other documents that are incorporated by reference into this prospectus.</w:t>
      </w:r>
    </w:p>
    <w:p>
      <w:pPr>
        <w:spacing w:after="0" w:line="181"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25, 2024</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60" w:type="dxa"/>
            <w:vAlign w:val="bottom"/>
            <w:gridSpan w:val="15"/>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5"/>
          </w:tcPr>
          <w:p>
            <w:pPr>
              <w:spacing w:after="0"/>
              <w:rPr>
                <w:sz w:val="17"/>
                <w:szCs w:val="17"/>
                <w:color w:val="auto"/>
              </w:rPr>
            </w:pPr>
          </w:p>
        </w:tc>
        <w:tc>
          <w:tcPr>
            <w:tcW w:w="84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9"/>
          </w:tcPr>
          <w:p>
            <w:pPr>
              <w:spacing w:after="0"/>
              <w:rPr>
                <w:sz w:val="17"/>
                <w:szCs w:val="17"/>
                <w:color w:val="auto"/>
              </w:rPr>
            </w:pP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U.S. Securities and Exchange Commission (SEC) utilizing a “shelf” registration process under the Securities Act of 1933, as amended (the Securities Act). Under this shelf registration process, we may offer and sell from time to time in one or more offerings the securities described in this prospectus up to a total dollar amount of $500,000,000.</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60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the “Company,” “Allogene,” “we,” “us” and “our” refer to Allogene Therapeutics, Inc.</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November 2017. Our principal executive offices are located at 210 East Grand Avenue, South San Francisco, California 94080, and our telephone number is (650) 457-2700. Our corporate website address is www.allogene.com. Information contained on or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ind w:left="120" w:right="8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shares of our preferred stock, debt securities and warrants to purchase any of such securities, up to a total aggregate amount of $500,000,000,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 the specific amounts, prices and other important terms of the securities, including, to the extent applicable:</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shares of our common stock from time to time. Holders of our common stock are entitled to one vote per share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8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shares of our preferred stock from time to time, in one or more series. Under our amended and restated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incorporation, our board of directors has the authority, without further</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debt securities from time to time, in one or more series, as either senior or subordinated debt or as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w:t>
      </w:r>
    </w:p>
    <w:p>
      <w:pPr>
        <w:spacing w:after="0" w:line="70"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timing and potential indications of our product development activities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enrollment and completion of planned clinical trials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in any of the indications for which we plan to develop them,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the clinical trials of any of our product candidates;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our disputes with Servier, including disagreements relating to development cost contributions and the timeframe during which we have the right to elect a license to CD19 Products outside of the United States subsequent to Servier’s discontinuation of its involvement in the development of all CD19 products pursuant to our Exclusive License and Collaboration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to research, develop, manufacture and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collaborators with development, regulatory and commercialization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sales and marketing capabilities, whether alone or with potential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the performance of our and our collaborators’ third-party suppliers and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operate our own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 and our ability to operate our business without infringing on the intellectual property rights of others.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in any prospectus supplement or in any related free writing prospectus that we may authorize to be provided to you, we currently intend to use the net proceeds from the sale of securities under this prospectus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investment-grade, interest-bearing instruments.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400,000,000 shares of common stock, $0.001 par value, and 10,000,000 shares of preferred stock, $0.001 par value. All of our authorized preferred stock is undesignated.</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amended and restated certificate of incorporation, and amended and restated bylaws and the applicable provisions of the Delaware General Corporation Law (DGCL). This information is qualified entirely by reference to the applicable provisions of our amended and restated certificate of incorporation, amended and restated bylaws and the DGCL. For information on how to obtain copies of our amended and restated certificate of incorporation and amended and restated bylaws, which are exhibits to the registration statement of which this prospectus is a part, see “Where You Can Find More Information” and “Incorporation of Certain Information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Our common stock is entitled to one vote for each share held of record on all matters submitted to a vote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election of directors, and does not have cumulative voting rights. Accordingly, the holders of a majority of the shares of our common stock entitled to vote in any election of directors can elect all of the directors standing for election.</w:t>
      </w:r>
    </w:p>
    <w:p>
      <w:pPr>
        <w:spacing w:after="0" w:line="17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the holders of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dividends, if any, as may be declared from time to time by our board of directors out of legally available funds.</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or Winding Up</w:t>
      </w:r>
      <w:r>
        <w:rPr>
          <w:rFonts w:ascii="Times New Roman" w:cs="Times New Roman" w:eastAsia="Times New Roman" w:hAnsi="Times New Roman"/>
          <w:sz w:val="18"/>
          <w:szCs w:val="18"/>
          <w:color w:val="auto"/>
        </w:rPr>
        <w:t>. In the event of our liquidation, dissolution or winding up,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Holders of our common stock have no preemptive, conversion or subscription rights, and there are no redemption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our outstanding shares of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further action by the stockholders, to issue up to 10,000,000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payment date or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or other securities of ours, and, if applicable, the exchange price, or how it will be calculated, and under what circumstances it may be adjusted,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limitations of, or restrictions on the preferred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issue shares of preferred stock under this prospectus, the shares will be fully paid and non-assessable.</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that the holders of preferred stock will have the right to vote separately as a class (or, in some cases, as a series) on an amendment to our certificate of incorporation if the amendment would change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28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45" w:lineRule="exact"/>
        <w:rPr>
          <w:sz w:val="20"/>
          <w:szCs w:val="20"/>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of the DGCL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w:t>
      </w:r>
    </w:p>
    <w:p>
      <w:pPr>
        <w:spacing w:after="0" w:line="89" w:lineRule="exact"/>
        <w:rPr>
          <w:sz w:val="20"/>
          <w:szCs w:val="20"/>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our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or any individual director may only be removed with cause and the affirmative vote of the holders of at least 66-2/3% of the voting power of all of our then outstanding common stock;</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67"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our Chief Executive Officer or by the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to the fullest extent permitted by law the Court of Chancery of the State of Delaware will be the sole and exclusive forum for</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derivative action or 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certificate of incorporation or bylaws, and (iv) any action asserting a claim against us governed by the internal affairs doctrine. The provision would not apply to suits brought to enforce a duty or liability created by the Securities Act or the Exchange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6201 15th Avenue, Brooklyn, NY 11219.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“ALLO.”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of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320" w:top="455" w:right="5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67" w:lineRule="exact"/>
        <w:rPr>
          <w:sz w:val="20"/>
          <w:szCs w:val="20"/>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Global Select Market or such other securities exchanges or quotation or trading services.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agents and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w:t>
      </w:r>
    </w:p>
    <w:p>
      <w:pPr>
        <w:spacing w:after="0" w:line="176"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with respect to any given offering will be described in the applicable prospectus supplement. 27</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Allogene. The address of the SEC website is www.sec.gov.</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www.allogene.com. Information contained in or accessible through our website does not constitute a part of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w:t>
      </w:r>
    </w:p>
    <w:p>
      <w:pPr>
        <w:spacing w:after="0" w:line="100" w:lineRule="exact"/>
        <w:rPr>
          <w:sz w:val="20"/>
          <w:szCs w:val="20"/>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as amended, for the year ended December 31, 2022 from our Definitive Proxy Statement on Schedule 14A, filed with the SEC on </w:t>
      </w:r>
      <w:hyperlink r:id="rId88">
        <w:r>
          <w:rPr>
            <w:rFonts w:ascii="Times New Roman" w:cs="Times New Roman" w:eastAsia="Times New Roman" w:hAnsi="Times New Roman"/>
            <w:sz w:val="18"/>
            <w:szCs w:val="18"/>
            <w:u w:val="single" w:color="auto"/>
            <w:color w:val="0000EE"/>
          </w:rPr>
          <w:t>April 24, 2023</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89">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0">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January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2">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5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February 28, 2023, including all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210 East Grand Avenue, South San Francisco, California 94080, or by telephoning us at (650) 457-2700.</w:t>
      </w:r>
    </w:p>
    <w:p>
      <w:pPr>
        <w:spacing w:after="0" w:line="180" w:lineRule="exact"/>
        <w:rPr>
          <w:rFonts w:ascii="Times New Roman" w:cs="Times New Roman" w:eastAsia="Times New Roman" w:hAnsi="Times New Roman"/>
          <w:sz w:val="18"/>
          <w:szCs w:val="18"/>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180975</wp:posOffset>
            </wp:positionV>
            <wp:extent cx="2554605" cy="608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255460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1027430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09" w:lineRule="exact"/>
        <w:rPr>
          <w:sz w:val="20"/>
          <w:szCs w:val="20"/>
          <w:color w:val="auto"/>
        </w:rPr>
      </w:pPr>
    </w:p>
    <w:p>
      <w:pPr>
        <w:ind w:left="720"/>
        <w:spacing w:after="0"/>
        <w:tabs>
          <w:tab w:leader="none" w:pos="5200" w:val="left"/>
          <w:tab w:leader="none" w:pos="8600" w:val="left"/>
        </w:tabs>
        <w:rPr>
          <w:sz w:val="20"/>
          <w:szCs w:val="20"/>
          <w:color w:val="auto"/>
        </w:rPr>
      </w:pPr>
      <w:r>
        <w:rPr>
          <w:rFonts w:ascii="Times New Roman" w:cs="Times New Roman" w:eastAsia="Times New Roman" w:hAnsi="Times New Roman"/>
          <w:sz w:val="23"/>
          <w:szCs w:val="23"/>
          <w:b w:val="1"/>
          <w:bCs w:val="1"/>
          <w:color w:val="auto"/>
        </w:rPr>
        <w:t>Goldman Sachs &amp; Co. LLC</w:t>
      </w:r>
      <w:r>
        <w:rPr>
          <w:sz w:val="20"/>
          <w:szCs w:val="20"/>
          <w:color w:val="auto"/>
        </w:rPr>
        <w:tab/>
      </w:r>
      <w:r>
        <w:rPr>
          <w:rFonts w:ascii="Times New Roman" w:cs="Times New Roman" w:eastAsia="Times New Roman" w:hAnsi="Times New Roman"/>
          <w:sz w:val="23"/>
          <w:szCs w:val="23"/>
          <w:b w:val="1"/>
          <w:bCs w:val="1"/>
          <w:color w:val="auto"/>
        </w:rPr>
        <w:t>Jefferies</w:t>
      </w:r>
      <w:r>
        <w:rPr>
          <w:sz w:val="20"/>
          <w:szCs w:val="20"/>
          <w:color w:val="auto"/>
        </w:rPr>
        <w:tab/>
      </w:r>
      <w:r>
        <w:rPr>
          <w:rFonts w:ascii="Times New Roman" w:cs="Times New Roman" w:eastAsia="Times New Roman" w:hAnsi="Times New Roman"/>
          <w:sz w:val="23"/>
          <w:szCs w:val="23"/>
          <w:b w:val="1"/>
          <w:bCs w:val="1"/>
          <w:color w:val="auto"/>
        </w:rPr>
        <w:t>TD Cowen</w:t>
      </w:r>
    </w:p>
    <w:p>
      <w:pPr>
        <w:spacing w:after="0" w:line="2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i w:val="1"/>
          <w:iCs w:val="1"/>
          <w:color w:val="auto"/>
        </w:rPr>
        <w:t>Co-Manager</w:t>
      </w:r>
    </w:p>
    <w:p>
      <w:pPr>
        <w:spacing w:after="0" w:line="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3"/>
          <w:szCs w:val="23"/>
          <w:b w:val="1"/>
          <w:bCs w:val="1"/>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420370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3"/>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jpe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jpe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46" Type="http://schemas.openxmlformats.org/officeDocument/2006/relationships/hyperlink" Target="http://www.sec.gov/ix?doc=/Archives/edgar/data/0001737287/000162828026017242/allo-20251231.htm" TargetMode="External"/><Relationship Id="rId47" Type="http://schemas.openxmlformats.org/officeDocument/2006/relationships/hyperlink" Target="http://www.sec.gov/ix?doc=/Archives/edgar/data/1737287/000173728725000036/allo-20241231.htm" TargetMode="External"/><Relationship Id="rId48" Type="http://schemas.openxmlformats.org/officeDocument/2006/relationships/hyperlink" Target="http://www.sec.gov/ix?doc=/Archives/edgar/data/1737287/000173728725000049/allo-20250429.htm" TargetMode="External"/><Relationship Id="rId49" Type="http://schemas.openxmlformats.org/officeDocument/2006/relationships/hyperlink" Target="http://www.sec.gov/ix?doc=/Archives/edgar/data/1737287/000119312526151999/d49895d8k.htm" TargetMode="External"/><Relationship Id="rId50" Type="http://schemas.openxmlformats.org/officeDocument/2006/relationships/hyperlink" Target="http://www.sec.gov/ix?doc=/Archives/edgar/data/1737287/000119312526152866/d249901d8k.htm" TargetMode="External"/><Relationship Id="rId51" Type="http://schemas.openxmlformats.org/officeDocument/2006/relationships/hyperlink" Target="http://www.sec.gov/Archives/edgar/data/1737287/000173728723000018/allo-20221231xex43.htm" TargetMode="External"/><Relationship Id="rId88" Type="http://schemas.openxmlformats.org/officeDocument/2006/relationships/hyperlink" Target="http://www.sec.gov/ix?doc=/Archives/edgar/data/0001737287/000173728723000041/allo-20230422.htm" TargetMode="External"/><Relationship Id="rId89" Type="http://schemas.openxmlformats.org/officeDocument/2006/relationships/hyperlink" Target="http://www.sec.gov/ix?doc=/Archives/edgar/data/1737287/000173728724000021/allo-20231231.htm" TargetMode="External"/><Relationship Id="rId90" Type="http://schemas.openxmlformats.org/officeDocument/2006/relationships/hyperlink" Target="http://www.sec.gov/ix?doc=/Archives/edgar/data/0001737287/000119312524002888/d103673d8k.htm" TargetMode="External"/><Relationship Id="rId91" Type="http://schemas.openxmlformats.org/officeDocument/2006/relationships/hyperlink" Target="http://www.sec.gov/ix?doc=/Archives/edgar/data/0001737287/000173728724000003/allo-20240125.htm" TargetMode="External"/><Relationship Id="rId92" Type="http://schemas.openxmlformats.org/officeDocument/2006/relationships/hyperlink" Target="http://www.sec.gov/ix?doc=/Archives/edgar/data/0001737287/000119312524038107/d75435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2026-04-13T15:52:26Z</dcterms:created>
  <dcterms:modified xsi:type="dcterms:W3CDTF">2026-04-13T15:52:26Z</dcterms:modified>
</cp:coreProperties>
</file>