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453390</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478155</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9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94"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w:t>
      </w:r>
    </w:p>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2" w:lineRule="exact"/>
        <w:rPr>
          <w:sz w:val="24"/>
          <w:szCs w:val="24"/>
          <w:color w:val="auto"/>
        </w:rPr>
      </w:pPr>
    </w:p>
    <w:p>
      <w:pPr>
        <w:ind w:left="460" w:hanging="370"/>
        <w:spacing w:after="0"/>
        <w:tabs>
          <w:tab w:leader="none" w:pos="46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September 30, 2024</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42" w:lineRule="exact"/>
        <w:rPr>
          <w:sz w:val="24"/>
          <w:szCs w:val="24"/>
          <w:color w:val="auto"/>
        </w:rPr>
      </w:pPr>
    </w:p>
    <w:p>
      <w:pPr>
        <w:ind w:left="460" w:hanging="370"/>
        <w:spacing w:after="0"/>
        <w:tabs>
          <w:tab w:leader="none" w:pos="46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74" w:lineRule="exact"/>
        <w:rPr>
          <w:sz w:val="24"/>
          <w:szCs w:val="24"/>
          <w:color w:val="auto"/>
        </w:rPr>
      </w:pPr>
    </w:p>
    <w:p>
      <w:pPr>
        <w:ind w:left="3480"/>
        <w:spacing w:after="0"/>
        <w:tabs>
          <w:tab w:leader="none" w:pos="668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3673475</wp:posOffset>
            </wp:positionH>
            <wp:positionV relativeFrom="paragraph">
              <wp:posOffset>-2540</wp:posOffset>
            </wp:positionV>
            <wp:extent cx="1256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001-38693</w:t>
      </w:r>
    </w:p>
    <w:p>
      <w:pPr>
        <w:spacing w:after="0" w:line="124"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Allogene Therapeutics,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24"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w:t>
      </w:r>
    </w:p>
    <w:p>
      <w:pPr>
        <w:sectPr>
          <w:pgSz w:w="11900" w:h="16838" w:orient="portrait"/>
          <w:cols w:equalWidth="0" w:num="1">
            <w:col w:w="11240"/>
          </w:cols>
          <w:pgMar w:left="320" w:top="226" w:right="339" w:bottom="1440" w:gutter="0" w:footer="0" w:header="0"/>
        </w:sectPr>
      </w:pPr>
    </w:p>
    <w:p>
      <w:pPr>
        <w:spacing w:after="0" w:line="37"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82-3562771</w:t>
      </w:r>
    </w:p>
    <w:p>
      <w:pPr>
        <w:spacing w:after="0" w:line="29" w:lineRule="exact"/>
        <w:rPr>
          <w:sz w:val="24"/>
          <w:szCs w:val="24"/>
          <w:color w:val="auto"/>
        </w:rPr>
      </w:pPr>
    </w:p>
    <w:p>
      <w:pPr>
        <w:sectPr>
          <w:pgSz w:w="11900" w:h="16838" w:orient="portrait"/>
          <w:cols w:equalWidth="0" w:num="2">
            <w:col w:w="8300" w:space="720"/>
            <w:col w:w="2220"/>
          </w:cols>
          <w:pgMar w:left="320" w:top="226" w:right="339" w:bottom="1440" w:gutter="0" w:footer="0" w:header="0"/>
          <w:type w:val="continuous"/>
        </w:sectPr>
      </w:pPr>
    </w:p>
    <w:p>
      <w:pPr>
        <w:ind w:left="9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87" w:lineRule="exact"/>
        <w:rPr>
          <w:sz w:val="24"/>
          <w:szCs w:val="24"/>
          <w:color w:val="auto"/>
        </w:rPr>
      </w:pPr>
    </w:p>
    <w:p>
      <w:pPr>
        <w:sectPr>
          <w:pgSz w:w="11900" w:h="16838" w:orient="portrait"/>
          <w:cols w:equalWidth="0" w:num="2">
            <w:col w:w="8140" w:space="720"/>
            <w:col w:w="2380"/>
          </w:cols>
          <w:pgMar w:left="320" w:top="226"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210 East Grand Avenue, South San Francisco, California 94080</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including zip code)</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(650) 457-2700</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2240280</wp:posOffset>
            </wp:positionH>
            <wp:positionV relativeFrom="paragraph">
              <wp:posOffset>-114300</wp:posOffset>
            </wp:positionV>
            <wp:extent cx="2670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0175" cy="8255"/>
                    </a:xfrm>
                    <a:prstGeom prst="rect">
                      <a:avLst/>
                    </a:prstGeom>
                    <a:noFill/>
                  </pic:spPr>
                </pic:pic>
              </a:graphicData>
            </a:graphic>
          </wp:anchor>
        </w:drawing>
      </w:r>
    </w:p>
    <w:p>
      <w:pPr>
        <w:spacing w:after="0" w:line="71"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3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3600" w:type="dxa"/>
            <w:vAlign w:val="bottom"/>
          </w:tcPr>
          <w:p>
            <w:pPr>
              <w:spacing w:after="0"/>
              <w:rPr>
                <w:sz w:val="18"/>
                <w:szCs w:val="18"/>
                <w:color w:val="auto"/>
              </w:rPr>
            </w:pPr>
          </w:p>
        </w:tc>
      </w:tr>
      <w:tr>
        <w:trPr>
          <w:trHeight w:val="238"/>
        </w:trPr>
        <w:tc>
          <w:tcPr>
            <w:tcW w:w="36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4040" w:type="dxa"/>
            <w:vAlign w:val="bottom"/>
            <w:gridSpan w:val="3"/>
          </w:tcPr>
          <w:p>
            <w:pPr>
              <w:jc w:val="center"/>
              <w:ind w:right="560"/>
              <w:spacing w:after="0"/>
              <w:rPr>
                <w:sz w:val="20"/>
                <w:szCs w:val="20"/>
                <w:color w:val="auto"/>
              </w:rPr>
            </w:pPr>
            <w:r>
              <w:rPr>
                <w:rFonts w:ascii="Times New Roman" w:cs="Times New Roman" w:eastAsia="Times New Roman" w:hAnsi="Times New Roman"/>
                <w:sz w:val="16"/>
                <w:szCs w:val="16"/>
                <w:b w:val="1"/>
                <w:bCs w:val="1"/>
                <w:color w:val="auto"/>
                <w:w w:val="96"/>
              </w:rPr>
              <w:t>Trading Symbol(s)</w:t>
            </w:r>
          </w:p>
        </w:tc>
        <w:tc>
          <w:tcPr>
            <w:tcW w:w="3600" w:type="dxa"/>
            <w:vAlign w:val="bottom"/>
          </w:tcPr>
          <w:p>
            <w:pPr>
              <w:jc w:val="center"/>
              <w:ind w:right="401"/>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1"/>
        </w:trPr>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Common Stock, $0.001 par value per share</w:t>
            </w:r>
          </w:p>
        </w:tc>
        <w:tc>
          <w:tcPr>
            <w:tcW w:w="80" w:type="dxa"/>
            <w:vAlign w:val="bottom"/>
          </w:tcPr>
          <w:p>
            <w:pPr>
              <w:spacing w:after="0"/>
              <w:rPr>
                <w:sz w:val="17"/>
                <w:szCs w:val="17"/>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ALLO</w:t>
            </w:r>
          </w:p>
        </w:tc>
        <w:tc>
          <w:tcPr>
            <w:tcW w:w="8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600" w:type="dxa"/>
            <w:vAlign w:val="bottom"/>
            <w:tcBorders>
              <w:top w:val="single" w:sz="8" w:color="auto"/>
            </w:tcBorders>
          </w:tcPr>
          <w:p>
            <w:pPr>
              <w:jc w:val="center"/>
              <w:ind w:right="381"/>
              <w:spacing w:after="0"/>
              <w:rPr>
                <w:sz w:val="20"/>
                <w:szCs w:val="20"/>
                <w:color w:val="auto"/>
              </w:rPr>
            </w:pPr>
            <w:r>
              <w:rPr>
                <w:rFonts w:ascii="Times New Roman" w:cs="Times New Roman" w:eastAsia="Times New Roman" w:hAnsi="Times New Roman"/>
                <w:sz w:val="16"/>
                <w:szCs w:val="16"/>
                <w:color w:val="auto"/>
                <w:w w:val="98"/>
              </w:rPr>
              <w:t>The Nasdaq Stock Market LLC</w:t>
            </w:r>
          </w:p>
        </w:tc>
      </w:tr>
    </w:tbl>
    <w:p>
      <w:pPr>
        <w:spacing w:after="0" w:line="151" w:lineRule="exact"/>
        <w:rPr>
          <w:sz w:val="24"/>
          <w:szCs w:val="24"/>
          <w:color w:val="auto"/>
        </w:rPr>
      </w:pPr>
    </w:p>
    <w:p>
      <w:pPr>
        <w:ind w:right="80" w:firstLine="472"/>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ind w:right="420" w:firstLine="472"/>
        <w:spacing w:after="0" w:line="19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58"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103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definitions of “large accelerated filer,” “accelerated filer,” “smaller reporting company,” and “emerging growth company” in Rule 12b-2 of the Exchange Act.</w:t>
            </w:r>
          </w:p>
        </w:tc>
        <w:tc>
          <w:tcPr>
            <w:tcW w:w="580" w:type="dxa"/>
            <w:vAlign w:val="bottom"/>
          </w:tcPr>
          <w:p>
            <w:pPr>
              <w:spacing w:after="0"/>
              <w:rPr>
                <w:sz w:val="15"/>
                <w:szCs w:val="15"/>
                <w:color w:val="auto"/>
              </w:rPr>
            </w:pPr>
          </w:p>
        </w:tc>
      </w:tr>
      <w:tr>
        <w:trPr>
          <w:trHeight w:val="196"/>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Large Accelerated Filer</w:t>
            </w:r>
          </w:p>
        </w:tc>
        <w:tc>
          <w:tcPr>
            <w:tcW w:w="348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4860" w:type="dxa"/>
            <w:vAlign w:val="bottom"/>
          </w:tcPr>
          <w:p>
            <w:pPr>
              <w:ind w:left="2880"/>
              <w:spacing w:after="0"/>
              <w:rPr>
                <w:sz w:val="20"/>
                <w:szCs w:val="20"/>
                <w:color w:val="auto"/>
              </w:rPr>
            </w:pPr>
            <w:r>
              <w:rPr>
                <w:rFonts w:ascii="Times New Roman" w:cs="Times New Roman" w:eastAsia="Times New Roman" w:hAnsi="Times New Roman"/>
                <w:sz w:val="14"/>
                <w:szCs w:val="14"/>
                <w:color w:val="auto"/>
              </w:rPr>
              <w:t>Accelerated filer</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6"/>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Non-accelerated filer</w:t>
            </w:r>
          </w:p>
        </w:tc>
        <w:tc>
          <w:tcPr>
            <w:tcW w:w="348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4860" w:type="dxa"/>
            <w:vAlign w:val="bottom"/>
          </w:tcPr>
          <w:p>
            <w:pPr>
              <w:ind w:left="28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6"/>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Emerging growth company</w:t>
            </w:r>
          </w:p>
        </w:tc>
        <w:tc>
          <w:tcPr>
            <w:tcW w:w="348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486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162" w:lineRule="exact"/>
        <w:rPr>
          <w:sz w:val="24"/>
          <w:szCs w:val="24"/>
          <w:color w:val="auto"/>
        </w:rPr>
      </w:pPr>
    </w:p>
    <w:p>
      <w:pPr>
        <w:ind w:right="420" w:firstLine="472"/>
        <w:spacing w:after="0" w:line="19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0" w:lineRule="exact"/>
        <w:rPr>
          <w:sz w:val="24"/>
          <w:szCs w:val="24"/>
          <w:color w:val="auto"/>
        </w:rPr>
      </w:pPr>
    </w:p>
    <w:p>
      <w:pPr>
        <w:ind w:left="480"/>
        <w:spacing w:after="0" w:line="161" w:lineRule="exact"/>
        <w:tabs>
          <w:tab w:leader="none" w:pos="6940" w:val="left"/>
          <w:tab w:leader="none" w:pos="74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355"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4"/>
          <w:szCs w:val="14"/>
          <w:color w:val="auto"/>
        </w:rPr>
        <w:t>As of November 1, 2024, the registrant had 209,672,091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539750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45085</wp:posOffset>
            </wp:positionV>
            <wp:extent cx="713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69850</wp:posOffset>
            </wp:positionV>
            <wp:extent cx="7136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10380" w:type="dxa"/>
            <w:vAlign w:val="bottom"/>
            <w:gridSpan w:val="21"/>
            <w:vMerge w:val="restart"/>
          </w:tcPr>
          <w:p>
            <w:pPr>
              <w:spacing w:after="0"/>
              <w:rPr>
                <w:sz w:val="20"/>
                <w:szCs w:val="20"/>
                <w:color w:val="auto"/>
              </w:rPr>
            </w:pPr>
            <w:r>
              <w:rPr>
                <w:rFonts w:ascii="Times New Roman" w:cs="Times New Roman" w:eastAsia="Times New Roman" w:hAnsi="Times New Roman"/>
                <w:sz w:val="17"/>
                <w:szCs w:val="17"/>
                <w:b w:val="1"/>
                <w:bCs w:val="1"/>
                <w:color w:val="0000FF"/>
              </w:rPr>
              <w:t xml:space="preserve">PART I: </w:t>
            </w:r>
            <w:r>
              <w:rPr>
                <w:rFonts w:ascii="Times New Roman" w:cs="Times New Roman" w:eastAsia="Times New Roman" w:hAnsi="Times New Roman"/>
                <w:sz w:val="17"/>
                <w:szCs w:val="17"/>
                <w:color w:val="0000FF"/>
              </w:rPr>
              <w:t>FINANCIAL INFORMATION</w:t>
            </w: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10380" w:type="dxa"/>
            <w:vAlign w:val="bottom"/>
            <w:gridSpan w:val="21"/>
            <w:vMerge w:val="continue"/>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620" w:type="dxa"/>
            <w:vAlign w:val="bottom"/>
            <w:tcBorders>
              <w:top w:val="single" w:sz="8" w:color="0000FF"/>
            </w:tcBorders>
            <w:gridSpan w:val="2"/>
          </w:tcPr>
          <w:p>
            <w:pPr>
              <w:spacing w:after="0"/>
              <w:rPr>
                <w:sz w:val="17"/>
                <w:szCs w:val="17"/>
                <w:color w:val="auto"/>
              </w:rPr>
            </w:pPr>
          </w:p>
        </w:tc>
        <w:tc>
          <w:tcPr>
            <w:tcW w:w="14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Financial Statements</w:t>
            </w:r>
          </w:p>
        </w:tc>
        <w:tc>
          <w:tcPr>
            <w:tcW w:w="100" w:type="dxa"/>
            <w:vAlign w:val="bottom"/>
            <w:tcBorders>
              <w:top w:val="single" w:sz="8" w:color="0000FF"/>
            </w:tcBorders>
          </w:tcPr>
          <w:p>
            <w:pPr>
              <w:spacing w:after="0"/>
              <w:rPr>
                <w:sz w:val="17"/>
                <w:szCs w:val="17"/>
                <w:color w:val="auto"/>
              </w:rPr>
            </w:pPr>
          </w:p>
        </w:tc>
        <w:tc>
          <w:tcPr>
            <w:tcW w:w="7520" w:type="dxa"/>
            <w:vAlign w:val="bottom"/>
            <w:gridSpan w:val="11"/>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Balance Sheets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and Comprehensive Loss</w:t>
            </w:r>
          </w:p>
        </w:tc>
        <w:tc>
          <w:tcPr>
            <w:tcW w:w="3720" w:type="dxa"/>
            <w:vAlign w:val="bottom"/>
            <w:gridSpan w:val="2"/>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03"/>
        </w:trPr>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w:t>
            </w:r>
          </w:p>
        </w:tc>
        <w:tc>
          <w:tcPr>
            <w:tcW w:w="4820" w:type="dxa"/>
            <w:vAlign w:val="bottom"/>
            <w:gridSpan w:val="3"/>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5200" w:type="dxa"/>
            <w:vAlign w:val="bottom"/>
            <w:gridSpan w:val="6"/>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3"/>
        </w:trPr>
        <w:tc>
          <w:tcPr>
            <w:tcW w:w="13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2.</w:t>
            </w:r>
          </w:p>
        </w:tc>
        <w:tc>
          <w:tcPr>
            <w:tcW w:w="90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203"/>
        </w:trPr>
        <w:tc>
          <w:tcPr>
            <w:tcW w:w="13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3.</w:t>
            </w:r>
          </w:p>
        </w:tc>
        <w:tc>
          <w:tcPr>
            <w:tcW w:w="424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20" w:type="dxa"/>
            <w:vAlign w:val="bottom"/>
            <w:tcBorders>
              <w:top w:val="single" w:sz="8" w:color="0000FF"/>
            </w:tcBorders>
            <w:gridSpan w:val="3"/>
          </w:tcPr>
          <w:p>
            <w:pPr>
              <w:spacing w:after="0"/>
              <w:rPr>
                <w:sz w:val="17"/>
                <w:szCs w:val="17"/>
                <w:color w:val="auto"/>
              </w:rPr>
            </w:pPr>
          </w:p>
        </w:tc>
        <w:tc>
          <w:tcPr>
            <w:tcW w:w="28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0" w:type="dxa"/>
            <w:vAlign w:val="bottom"/>
          </w:tcPr>
          <w:p>
            <w:pPr>
              <w:spacing w:after="0"/>
              <w:rPr>
                <w:sz w:val="1"/>
                <w:szCs w:val="1"/>
                <w:color w:val="auto"/>
              </w:rPr>
            </w:pPr>
          </w:p>
        </w:tc>
      </w:tr>
      <w:tr>
        <w:trPr>
          <w:trHeight w:val="203"/>
        </w:trPr>
        <w:tc>
          <w:tcPr>
            <w:tcW w:w="13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4.</w:t>
            </w:r>
          </w:p>
        </w:tc>
        <w:tc>
          <w:tcPr>
            <w:tcW w:w="17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7360" w:type="dxa"/>
            <w:vAlign w:val="bottom"/>
            <w:gridSpan w:val="10"/>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03"/>
        </w:trPr>
        <w:tc>
          <w:tcPr>
            <w:tcW w:w="10380" w:type="dxa"/>
            <w:vAlign w:val="bottom"/>
            <w:gridSpan w:val="21"/>
          </w:tcPr>
          <w:p>
            <w:pPr>
              <w:spacing w:after="0"/>
              <w:rPr>
                <w:sz w:val="20"/>
                <w:szCs w:val="20"/>
                <w:color w:val="auto"/>
              </w:rPr>
            </w:pPr>
            <w:r>
              <w:rPr>
                <w:rFonts w:ascii="Times New Roman" w:cs="Times New Roman" w:eastAsia="Times New Roman" w:hAnsi="Times New Roman"/>
                <w:sz w:val="17"/>
                <w:szCs w:val="17"/>
                <w:b w:val="1"/>
                <w:bCs w:val="1"/>
                <w:color w:val="0000FF"/>
              </w:rPr>
              <w:t xml:space="preserve">PART II: </w:t>
            </w:r>
            <w:r>
              <w:rPr>
                <w:rFonts w:ascii="Times New Roman" w:cs="Times New Roman" w:eastAsia="Times New Roman" w:hAnsi="Times New Roman"/>
                <w:sz w:val="17"/>
                <w:szCs w:val="17"/>
                <w:color w:val="0000FF"/>
              </w:rPr>
              <w:t>OTHER INFORMATION</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486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560" w:type="dxa"/>
            <w:vAlign w:val="bottom"/>
          </w:tcPr>
          <w:p>
            <w:pPr>
              <w:spacing w:after="0"/>
              <w:rPr>
                <w:sz w:val="17"/>
                <w:szCs w:val="17"/>
                <w:color w:val="auto"/>
              </w:rPr>
            </w:pPr>
          </w:p>
        </w:tc>
        <w:tc>
          <w:tcPr>
            <w:tcW w:w="13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7780" w:type="dxa"/>
            <w:vAlign w:val="bottom"/>
            <w:gridSpan w:val="13"/>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03"/>
        </w:trPr>
        <w:tc>
          <w:tcPr>
            <w:tcW w:w="13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1A.</w:t>
            </w:r>
          </w:p>
        </w:tc>
        <w:tc>
          <w:tcPr>
            <w:tcW w:w="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8200" w:type="dxa"/>
            <w:vAlign w:val="bottom"/>
            <w:gridSpan w:val="16"/>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03"/>
        </w:trPr>
        <w:tc>
          <w:tcPr>
            <w:tcW w:w="13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2.</w:t>
            </w:r>
          </w:p>
        </w:tc>
        <w:tc>
          <w:tcPr>
            <w:tcW w:w="42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4860" w:type="dxa"/>
            <w:vAlign w:val="bottom"/>
            <w:gridSpan w:val="5"/>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03"/>
        </w:trPr>
        <w:tc>
          <w:tcPr>
            <w:tcW w:w="13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3.</w:t>
            </w:r>
          </w:p>
        </w:tc>
        <w:tc>
          <w:tcPr>
            <w:tcW w:w="22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6820" w:type="dxa"/>
            <w:vAlign w:val="bottom"/>
            <w:gridSpan w:val="9"/>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03"/>
        </w:trPr>
        <w:tc>
          <w:tcPr>
            <w:tcW w:w="13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4.</w:t>
            </w:r>
          </w:p>
        </w:tc>
        <w:tc>
          <w:tcPr>
            <w:tcW w:w="17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7360" w:type="dxa"/>
            <w:vAlign w:val="bottom"/>
            <w:gridSpan w:val="10"/>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03"/>
        </w:trPr>
        <w:tc>
          <w:tcPr>
            <w:tcW w:w="13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5.</w:t>
            </w:r>
          </w:p>
        </w:tc>
        <w:tc>
          <w:tcPr>
            <w:tcW w:w="12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7800" w:type="dxa"/>
            <w:vAlign w:val="bottom"/>
            <w:gridSpan w:val="14"/>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203"/>
        </w:trPr>
        <w:tc>
          <w:tcPr>
            <w:tcW w:w="13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Item 6.</w:t>
            </w:r>
          </w:p>
        </w:tc>
        <w:tc>
          <w:tcPr>
            <w:tcW w:w="90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Exhibits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03"/>
        </w:trPr>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56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ALLOGENE THERAPEUTICS,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and per share amounts)</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4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8"/>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3"/>
        </w:trPr>
        <w:tc>
          <w:tcPr>
            <w:tcW w:w="846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83,155</w:t>
            </w:r>
          </w:p>
        </w:tc>
      </w:tr>
      <w:tr>
        <w:trPr>
          <w:trHeight w:val="223"/>
        </w:trPr>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Short-term investments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240,325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365,542</w:t>
            </w:r>
          </w:p>
        </w:tc>
      </w:tr>
      <w:tr>
        <w:trPr>
          <w:trHeight w:val="223"/>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10,418</w:t>
            </w:r>
          </w:p>
        </w:tc>
      </w:tr>
      <w:tr>
        <w:trPr>
          <w:trHeight w:val="216"/>
        </w:trPr>
        <w:tc>
          <w:tcPr>
            <w:tcW w:w="84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304,415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459,115</w:t>
            </w:r>
          </w:p>
        </w:tc>
      </w:tr>
      <w:tr>
        <w:trPr>
          <w:trHeight w:val="22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investments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846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63,703</w:t>
            </w:r>
          </w:p>
        </w:tc>
      </w:tr>
      <w:tr>
        <w:trPr>
          <w:trHeight w:val="22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99,478</w:t>
            </w:r>
          </w:p>
        </w:tc>
      </w:tr>
      <w:tr>
        <w:trPr>
          <w:trHeight w:val="223"/>
        </w:trPr>
        <w:tc>
          <w:tcPr>
            <w:tcW w:w="8460" w:type="dxa"/>
            <w:vAlign w:val="bottom"/>
          </w:tcPr>
          <w:p>
            <w:pPr>
              <w:spacing w:after="0"/>
              <w:rPr>
                <w:sz w:val="20"/>
                <w:szCs w:val="20"/>
                <w:color w:val="auto"/>
              </w:rPr>
            </w:pPr>
            <w:r>
              <w:rPr>
                <w:rFonts w:ascii="Times New Roman" w:cs="Times New Roman" w:eastAsia="Times New Roman" w:hAnsi="Times New Roman"/>
                <w:sz w:val="17"/>
                <w:szCs w:val="17"/>
                <w:color w:val="auto"/>
              </w:rPr>
              <w:t>Deposit placed in escrow</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10,292</w:t>
            </w:r>
          </w:p>
        </w:tc>
      </w:tr>
      <w:tr>
        <w:trPr>
          <w:trHeight w:val="223"/>
        </w:trPr>
        <w:tc>
          <w:tcPr>
            <w:tcW w:w="8460" w:type="dxa"/>
            <w:vAlign w:val="bottom"/>
          </w:tcPr>
          <w:p>
            <w:pPr>
              <w:spacing w:after="0"/>
              <w:rPr>
                <w:sz w:val="20"/>
                <w:szCs w:val="20"/>
                <w:color w:val="auto"/>
              </w:rPr>
            </w:pPr>
            <w:r>
              <w:rPr>
                <w:rFonts w:ascii="Times New Roman" w:cs="Times New Roman" w:eastAsia="Times New Roman" w:hAnsi="Times New Roman"/>
                <w:sz w:val="17"/>
                <w:szCs w:val="17"/>
                <w:color w:val="auto"/>
              </w:rPr>
              <w:t>Other long-term assets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6,604</w:t>
            </w:r>
          </w:p>
        </w:tc>
      </w:tr>
      <w:tr>
        <w:trPr>
          <w:trHeight w:val="22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method investments</w:t>
            </w: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3,645</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589,120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642,837</w:t>
            </w: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9"/>
        </w:trPr>
        <w:tc>
          <w:tcPr>
            <w:tcW w:w="84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3"/>
        </w:trPr>
        <w:tc>
          <w:tcPr>
            <w:tcW w:w="846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5,897</w:t>
            </w:r>
          </w:p>
        </w:tc>
      </w:tr>
      <w:tr>
        <w:trPr>
          <w:trHeight w:val="223"/>
        </w:trPr>
        <w:tc>
          <w:tcPr>
            <w:tcW w:w="84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27,065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31,182</w:t>
            </w:r>
          </w:p>
        </w:tc>
      </w:tr>
      <w:tr>
        <w:trPr>
          <w:trHeight w:val="216"/>
        </w:trPr>
        <w:tc>
          <w:tcPr>
            <w:tcW w:w="8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37,079</w:t>
            </w:r>
          </w:p>
        </w:tc>
      </w:tr>
      <w:tr>
        <w:trPr>
          <w:trHeight w:val="223"/>
        </w:trPr>
        <w:tc>
          <w:tcPr>
            <w:tcW w:w="846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liability, noncurrent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88,346</w:t>
            </w:r>
          </w:p>
        </w:tc>
      </w:tr>
      <w:tr>
        <w:trPr>
          <w:trHeight w:val="22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5,179</w:t>
            </w:r>
          </w:p>
        </w:tc>
      </w:tr>
      <w:tr>
        <w:trPr>
          <w:trHeight w:val="216"/>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125,372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130,604</w:t>
            </w:r>
          </w:p>
        </w:tc>
      </w:tr>
      <w:tr>
        <w:trPr>
          <w:trHeight w:val="20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and Contingencies (Notes 6 and 7)</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3"/>
        </w:trPr>
        <w:tc>
          <w:tcPr>
            <w:tcW w:w="846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70"/>
        </w:trPr>
        <w:tc>
          <w:tcPr>
            <w:tcW w:w="8460" w:type="dxa"/>
            <w:vAlign w:val="bottom"/>
            <w:shd w:val="clear" w:color="auto" w:fill="CCEEFF"/>
          </w:tcPr>
          <w:p>
            <w:pPr>
              <w:ind w:left="160"/>
              <w:spacing w:after="0" w:line="171" w:lineRule="exact"/>
              <w:rPr>
                <w:sz w:val="20"/>
                <w:szCs w:val="20"/>
                <w:color w:val="auto"/>
              </w:rPr>
            </w:pPr>
            <w:r>
              <w:rPr>
                <w:rFonts w:ascii="Times New Roman" w:cs="Times New Roman" w:eastAsia="Times New Roman" w:hAnsi="Times New Roman"/>
                <w:sz w:val="17"/>
                <w:szCs w:val="17"/>
                <w:color w:val="auto"/>
              </w:rPr>
              <w:t>Preferred stock, $0.001 par value: 10,000,000 shares authorized as of September 30, 2024 and December 31, 2023; no</w:t>
            </w: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36"/>
        </w:trPr>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shares were issued and outstanding as of September 30, 2024 and December 31, 2023</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70"/>
        </w:trPr>
        <w:tc>
          <w:tcPr>
            <w:tcW w:w="8460" w:type="dxa"/>
            <w:vAlign w:val="bottom"/>
          </w:tcPr>
          <w:p>
            <w:pPr>
              <w:ind w:left="160"/>
              <w:spacing w:after="0" w:line="171" w:lineRule="exact"/>
              <w:rPr>
                <w:sz w:val="20"/>
                <w:szCs w:val="20"/>
                <w:color w:val="auto"/>
              </w:rPr>
            </w:pPr>
            <w:r>
              <w:rPr>
                <w:rFonts w:ascii="Times New Roman" w:cs="Times New Roman" w:eastAsia="Times New Roman" w:hAnsi="Times New Roman"/>
                <w:sz w:val="17"/>
                <w:szCs w:val="17"/>
                <w:color w:val="auto"/>
              </w:rPr>
              <w:t>Common stock, $0.001 par value: 400,000,000 shares authorized as of September 30, 2024 and December 31, 2023;</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8"/>
        </w:trPr>
        <w:tc>
          <w:tcPr>
            <w:tcW w:w="8460" w:type="dxa"/>
            <w:vAlign w:val="bottom"/>
          </w:tcPr>
          <w:p>
            <w:pPr>
              <w:ind w:left="160"/>
              <w:spacing w:after="0" w:line="178" w:lineRule="exact"/>
              <w:rPr>
                <w:sz w:val="20"/>
                <w:szCs w:val="20"/>
                <w:color w:val="auto"/>
              </w:rPr>
            </w:pPr>
            <w:r>
              <w:rPr>
                <w:rFonts w:ascii="Times New Roman" w:cs="Times New Roman" w:eastAsia="Times New Roman" w:hAnsi="Times New Roman"/>
                <w:sz w:val="17"/>
                <w:szCs w:val="17"/>
                <w:color w:val="auto"/>
              </w:rPr>
              <w:t>209,500,137 and 168,642,238 shares issued and outstanding as of September 30, 2024 and December 31, 2023,</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28"/>
        </w:trPr>
        <w:tc>
          <w:tcPr>
            <w:tcW w:w="8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respectively</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r>
      <w:tr>
        <w:trPr>
          <w:trHeight w:val="223"/>
        </w:trPr>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2,223,265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2,075,252</w:t>
            </w:r>
          </w:p>
        </w:tc>
      </w:tr>
      <w:tr>
        <w:trPr>
          <w:trHeight w:val="223"/>
        </w:trPr>
        <w:tc>
          <w:tcPr>
            <w:tcW w:w="8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Accumulated deficit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(1,759,884)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(1,562,233)</w:t>
            </w:r>
          </w:p>
        </w:tc>
      </w:tr>
      <w:tr>
        <w:trPr>
          <w:trHeight w:val="223"/>
        </w:trPr>
        <w:tc>
          <w:tcPr>
            <w:tcW w:w="8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Accumulated other comprehensive income/(loss)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w:t>
            </w:r>
          </w:p>
        </w:tc>
      </w:tr>
      <w:tr>
        <w:trPr>
          <w:trHeight w:val="216"/>
        </w:trPr>
        <w:tc>
          <w:tcPr>
            <w:tcW w:w="84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463,748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512,233</w:t>
            </w:r>
          </w:p>
        </w:tc>
      </w:tr>
      <w:tr>
        <w:trPr>
          <w:trHeight w:val="241"/>
        </w:trPr>
        <w:tc>
          <w:tcPr>
            <w:tcW w:w="8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589,120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642,837</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ALLOGENE THERAPEUTICS, INC.</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i w:val="1"/>
          <w:iCs w:val="1"/>
          <w:color w:val="auto"/>
        </w:rPr>
        <w:t>(In thousands, except share and per share amounts)</w:t>
      </w:r>
    </w:p>
    <w:p>
      <w:pPr>
        <w:spacing w:after="0" w:line="29"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60" w:type="dxa"/>
            <w:vAlign w:val="bottom"/>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2"/>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Collaboration revenue - related party</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147,327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188,253</w:t>
            </w:r>
          </w:p>
        </w:tc>
        <w:tc>
          <w:tcPr>
            <w:tcW w:w="0" w:type="dxa"/>
            <w:vAlign w:val="bottom"/>
          </w:tcPr>
          <w:p>
            <w:pPr>
              <w:spacing w:after="0"/>
              <w:rPr>
                <w:sz w:val="1"/>
                <w:szCs w:val="1"/>
                <w:color w:val="auto"/>
              </w:rPr>
            </w:pPr>
          </w:p>
        </w:tc>
      </w:tr>
      <w:tr>
        <w:trPr>
          <w:trHeight w:val="223"/>
        </w:trPr>
        <w:tc>
          <w:tcPr>
            <w:tcW w:w="49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54,449</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Impairment of long-lived assets</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71,774</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63,018</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212,731</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242,702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(212,709)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(242,628)</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and other income, net</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12,042</w:t>
            </w:r>
          </w:p>
        </w:tc>
        <w:tc>
          <w:tcPr>
            <w:tcW w:w="0" w:type="dxa"/>
            <w:vAlign w:val="bottom"/>
          </w:tcPr>
          <w:p>
            <w:pPr>
              <w:spacing w:after="0"/>
              <w:rPr>
                <w:sz w:val="1"/>
                <w:szCs w:val="1"/>
                <w:color w:val="auto"/>
              </w:rPr>
            </w:pPr>
          </w:p>
        </w:tc>
      </w:tr>
      <w:tr>
        <w:trPr>
          <w:trHeight w:val="223"/>
        </w:trPr>
        <w:tc>
          <w:tcPr>
            <w:tcW w:w="49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income and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(10,901)</w:t>
            </w:r>
          </w:p>
        </w:tc>
        <w:tc>
          <w:tcPr>
            <w:tcW w:w="0" w:type="dxa"/>
            <w:vAlign w:val="bottom"/>
          </w:tcPr>
          <w:p>
            <w:pPr>
              <w:spacing w:after="0"/>
              <w:rPr>
                <w:sz w:val="1"/>
                <w:szCs w:val="1"/>
                <w:color w:val="auto"/>
              </w:rPr>
            </w:pPr>
          </w:p>
        </w:tc>
      </w:tr>
      <w:tr>
        <w:trPr>
          <w:trHeight w:val="216"/>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15,058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1,141</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(197,651)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(241,487)</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Net unrealized gain on available-for-sale investments</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7,515</w:t>
            </w:r>
          </w:p>
        </w:tc>
        <w:tc>
          <w:tcPr>
            <w:tcW w:w="0" w:type="dxa"/>
            <w:vAlign w:val="bottom"/>
          </w:tcPr>
          <w:p>
            <w:pPr>
              <w:spacing w:after="0"/>
              <w:rPr>
                <w:sz w:val="1"/>
                <w:szCs w:val="1"/>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comprehensive loss</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(65,356)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(60,847)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(196,539)</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(233,972)</w:t>
            </w:r>
          </w:p>
        </w:tc>
        <w:tc>
          <w:tcPr>
            <w:tcW w:w="0" w:type="dxa"/>
            <w:vAlign w:val="bottom"/>
          </w:tcPr>
          <w:p>
            <w:pPr>
              <w:spacing w:after="0"/>
              <w:rPr>
                <w:sz w:val="1"/>
                <w:szCs w:val="1"/>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line="157" w:lineRule="exact"/>
              <w:rPr>
                <w:sz w:val="20"/>
                <w:szCs w:val="20"/>
                <w:color w:val="auto"/>
              </w:rPr>
            </w:pPr>
            <w:r>
              <w:rPr>
                <w:rFonts w:ascii="Times New Roman" w:cs="Times New Roman" w:eastAsia="Times New Roman" w:hAnsi="Times New Roman"/>
                <w:sz w:val="17"/>
                <w:szCs w:val="17"/>
                <w:color w:val="auto"/>
              </w:rPr>
              <w:t>Weighted-average number of shares used in computing net loss per</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9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209,188,551</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167,649,010</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189,519,897</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153,087,449</w:t>
            </w:r>
          </w:p>
        </w:tc>
        <w:tc>
          <w:tcPr>
            <w:tcW w:w="0" w:type="dxa"/>
            <w:vAlign w:val="bottom"/>
          </w:tcPr>
          <w:p>
            <w:pPr>
              <w:spacing w:after="0"/>
              <w:rPr>
                <w:sz w:val="1"/>
                <w:szCs w:val="1"/>
                <w:color w:val="auto"/>
              </w:rPr>
            </w:pPr>
          </w:p>
        </w:tc>
      </w:tr>
      <w:tr>
        <w:trPr>
          <w:trHeight w:val="210"/>
        </w:trPr>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 basic and diluted</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ALLOGENE THERAPEUTICS,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amounts)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20" w:type="dxa"/>
            <w:vAlign w:val="bottom"/>
          </w:tcPr>
          <w:p>
            <w:pPr>
              <w:spacing w:after="0"/>
              <w:rPr>
                <w:sz w:val="17"/>
                <w:szCs w:val="17"/>
                <w:color w:val="auto"/>
              </w:rPr>
            </w:pPr>
          </w:p>
        </w:tc>
        <w:tc>
          <w:tcPr>
            <w:tcW w:w="1220" w:type="dxa"/>
            <w:vAlign w:val="bottom"/>
            <w:vMerge w:val="restart"/>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170"/>
        </w:trPr>
        <w:tc>
          <w:tcPr>
            <w:tcW w:w="3360" w:type="dxa"/>
            <w:vAlign w:val="bottom"/>
          </w:tcPr>
          <w:p>
            <w:pPr>
              <w:spacing w:after="0"/>
              <w:rPr>
                <w:sz w:val="14"/>
                <w:szCs w:val="14"/>
                <w:color w:val="auto"/>
              </w:rPr>
            </w:pPr>
          </w:p>
        </w:tc>
        <w:tc>
          <w:tcPr>
            <w:tcW w:w="2220" w:type="dxa"/>
            <w:vAlign w:val="bottom"/>
            <w:gridSpan w:val="4"/>
            <w:vMerge w:val="restart"/>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line="171" w:lineRule="exact"/>
              <w:rPr>
                <w:sz w:val="20"/>
                <w:szCs w:val="20"/>
                <w:color w:val="auto"/>
              </w:rPr>
            </w:pPr>
            <w:r>
              <w:rPr>
                <w:rFonts w:ascii="Times New Roman" w:cs="Times New Roman" w:eastAsia="Times New Roman" w:hAnsi="Times New Roman"/>
                <w:sz w:val="17"/>
                <w:szCs w:val="17"/>
                <w:b w:val="1"/>
                <w:bCs w:val="1"/>
                <w:color w:val="auto"/>
              </w:rPr>
              <w:t>Other</w:t>
            </w:r>
          </w:p>
        </w:tc>
        <w:tc>
          <w:tcPr>
            <w:tcW w:w="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3"/>
                <w:szCs w:val="13"/>
                <w:color w:val="auto"/>
              </w:rPr>
            </w:pPr>
          </w:p>
        </w:tc>
        <w:tc>
          <w:tcPr>
            <w:tcW w:w="222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7"/>
                <w:szCs w:val="17"/>
                <w:b w:val="1"/>
                <w:bCs w:val="1"/>
                <w:color w:val="auto"/>
              </w:rPr>
              <w:t>Paid-in</w:t>
            </w:r>
          </w:p>
        </w:tc>
        <w:tc>
          <w:tcPr>
            <w:tcW w:w="140" w:type="dxa"/>
            <w:vAlign w:val="bottom"/>
          </w:tcPr>
          <w:p>
            <w:pPr>
              <w:spacing w:after="0"/>
              <w:rPr>
                <w:sz w:val="13"/>
                <w:szCs w:val="13"/>
                <w:color w:val="auto"/>
              </w:rPr>
            </w:pPr>
          </w:p>
        </w:tc>
        <w:tc>
          <w:tcPr>
            <w:tcW w:w="126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40" w:type="dxa"/>
            <w:vAlign w:val="bottom"/>
          </w:tcPr>
          <w:p>
            <w:pPr>
              <w:spacing w:after="0"/>
              <w:rPr>
                <w:sz w:val="13"/>
                <w:szCs w:val="13"/>
                <w:color w:val="auto"/>
              </w:rPr>
            </w:pPr>
          </w:p>
        </w:tc>
        <w:tc>
          <w:tcPr>
            <w:tcW w:w="146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120" w:type="dxa"/>
            <w:vAlign w:val="bottom"/>
          </w:tcPr>
          <w:p>
            <w:pPr>
              <w:spacing w:after="0"/>
              <w:rPr>
                <w:sz w:val="13"/>
                <w:szCs w:val="13"/>
                <w:color w:val="auto"/>
              </w:rPr>
            </w:pPr>
          </w:p>
        </w:tc>
        <w:tc>
          <w:tcPr>
            <w:tcW w:w="1220" w:type="dxa"/>
            <w:vAlign w:val="bottom"/>
          </w:tcPr>
          <w:p>
            <w:pPr>
              <w:jc w:val="center"/>
              <w:ind w:right="33"/>
              <w:spacing w:after="0" w:line="157"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19"/>
                <w:szCs w:val="19"/>
                <w:color w:val="auto"/>
              </w:rPr>
            </w:pP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4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40" w:type="dxa"/>
            <w:vAlign w:val="bottom"/>
          </w:tcPr>
          <w:p>
            <w:pPr>
              <w:spacing w:after="0"/>
              <w:rPr>
                <w:sz w:val="19"/>
                <w:szCs w:val="19"/>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4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Income (Loss)</w:t>
            </w:r>
          </w:p>
        </w:tc>
        <w:tc>
          <w:tcPr>
            <w:tcW w:w="120" w:type="dxa"/>
            <w:vAlign w:val="bottom"/>
          </w:tcPr>
          <w:p>
            <w:pPr>
              <w:spacing w:after="0"/>
              <w:rPr>
                <w:sz w:val="19"/>
                <w:szCs w:val="19"/>
                <w:color w:val="auto"/>
              </w:rPr>
            </w:pPr>
          </w:p>
        </w:tc>
        <w:tc>
          <w:tcPr>
            <w:tcW w:w="122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16"/>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 December 31, 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168,642,238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2,075,252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(1,562,233)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512,233</w:t>
            </w: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Issuance of common stock upon exercise of</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stock options and vesting of RSUs</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1,551,729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Vesting of early exercised common stock</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11,924</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(65,000)</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Net unrealized gain on available-for-sale</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investments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Balance - March 31, 2024</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170,452,967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2,089,357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(1,627,233)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461,367</w:t>
            </w:r>
          </w:p>
        </w:tc>
        <w:tc>
          <w:tcPr>
            <w:tcW w:w="0" w:type="dxa"/>
            <w:vAlign w:val="bottom"/>
          </w:tcPr>
          <w:p>
            <w:pPr>
              <w:spacing w:after="0"/>
              <w:rPr>
                <w:sz w:val="1"/>
                <w:szCs w:val="1"/>
                <w:color w:val="auto"/>
              </w:rPr>
            </w:pPr>
          </w:p>
        </w:tc>
      </w:tr>
      <w:tr>
        <w:trPr>
          <w:trHeight w:val="170"/>
        </w:trPr>
        <w:tc>
          <w:tcPr>
            <w:tcW w:w="336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Issuance of common stock upon exercise of</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stock options and vesting of RSU's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415,483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13,559</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Issuance of common stock from ATM offering</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w:t>
            </w: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Issuance of common stock from registered</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360" w:type="dxa"/>
            <w:vAlign w:val="bottom"/>
          </w:tcPr>
          <w:p>
            <w:pPr>
              <w:ind w:left="180"/>
              <w:spacing w:after="0" w:line="178" w:lineRule="exact"/>
              <w:rPr>
                <w:sz w:val="20"/>
                <w:szCs w:val="20"/>
                <w:color w:val="auto"/>
              </w:rPr>
            </w:pPr>
            <w:r>
              <w:rPr>
                <w:rFonts w:ascii="Times New Roman" w:cs="Times New Roman" w:eastAsia="Times New Roman" w:hAnsi="Times New Roman"/>
                <w:sz w:val="17"/>
                <w:szCs w:val="17"/>
                <w:color w:val="auto"/>
              </w:rPr>
              <w:t>offering, net of commissions and offering</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costs of $4.7 million</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37,931,035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105,245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105,283</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(66,358)</w:t>
            </w: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Net unrealized gain on available-for-sale</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investments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0" w:type="dxa"/>
            <w:vAlign w:val="bottom"/>
          </w:tcPr>
          <w:p>
            <w:pPr>
              <w:spacing w:after="0"/>
              <w:rPr>
                <w:sz w:val="1"/>
                <w:szCs w:val="1"/>
                <w:color w:val="auto"/>
              </w:rPr>
            </w:pPr>
          </w:p>
        </w:tc>
      </w:tr>
      <w:tr>
        <w:trPr>
          <w:trHeight w:val="216"/>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 June 30, 2024</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209,049,485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2,209,200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(1,693,591)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515,038</w:t>
            </w: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Issuance of common stock upon exercise of</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stock options and vesting of RSU's</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13,387</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269,510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(66,293)</w:t>
            </w:r>
          </w:p>
        </w:tc>
        <w:tc>
          <w:tcPr>
            <w:tcW w:w="0" w:type="dxa"/>
            <w:vAlign w:val="bottom"/>
          </w:tcPr>
          <w:p>
            <w:pPr>
              <w:spacing w:after="0"/>
              <w:rPr>
                <w:sz w:val="1"/>
                <w:szCs w:val="1"/>
                <w:color w:val="auto"/>
              </w:rPr>
            </w:pPr>
          </w:p>
        </w:tc>
      </w:tr>
      <w:tr>
        <w:trPr>
          <w:trHeight w:val="170"/>
        </w:trPr>
        <w:tc>
          <w:tcPr>
            <w:tcW w:w="336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Net unrealized gain on available-for-sale</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3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investments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w:t>
            </w:r>
          </w:p>
        </w:tc>
        <w:tc>
          <w:tcPr>
            <w:tcW w:w="0" w:type="dxa"/>
            <w:vAlign w:val="bottom"/>
          </w:tcPr>
          <w:p>
            <w:pPr>
              <w:spacing w:after="0"/>
              <w:rPr>
                <w:sz w:val="1"/>
                <w:szCs w:val="1"/>
                <w:color w:val="auto"/>
              </w:rPr>
            </w:pPr>
          </w:p>
        </w:tc>
      </w:tr>
      <w:tr>
        <w:trPr>
          <w:trHeight w:val="241"/>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 September 30, 2024</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209,500,137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2,223,265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(1,759,884)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463,748</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3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9"/>
        </w:trPr>
        <w:tc>
          <w:tcPr>
            <w:tcW w:w="1240" w:type="dxa"/>
            <w:vAlign w:val="bottom"/>
            <w:tcBorders>
              <w:top w:val="single" w:sz="8" w:color="0000FF"/>
            </w:tcBorders>
          </w:tcPr>
          <w:p>
            <w:pPr>
              <w:spacing w:after="0"/>
              <w:rPr>
                <w:sz w:val="24"/>
                <w:szCs w:val="24"/>
                <w:color w:val="auto"/>
              </w:rPr>
            </w:pPr>
          </w:p>
        </w:tc>
        <w:tc>
          <w:tcPr>
            <w:tcW w:w="2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20" w:type="dxa"/>
            <w:vAlign w:val="bottom"/>
          </w:tcPr>
          <w:p>
            <w:pPr>
              <w:spacing w:after="0"/>
              <w:rPr>
                <w:sz w:val="24"/>
                <w:szCs w:val="24"/>
                <w:color w:val="auto"/>
              </w:rPr>
            </w:pPr>
          </w:p>
        </w:tc>
        <w:tc>
          <w:tcPr>
            <w:tcW w:w="1220" w:type="dxa"/>
            <w:vAlign w:val="bottom"/>
            <w:vMerge w:val="restart"/>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170"/>
        </w:trPr>
        <w:tc>
          <w:tcPr>
            <w:tcW w:w="12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220" w:type="dxa"/>
            <w:vAlign w:val="bottom"/>
            <w:gridSpan w:val="4"/>
            <w:vMerge w:val="restart"/>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line="171" w:lineRule="exact"/>
              <w:rPr>
                <w:sz w:val="20"/>
                <w:szCs w:val="20"/>
                <w:color w:val="auto"/>
              </w:rPr>
            </w:pPr>
            <w:r>
              <w:rPr>
                <w:rFonts w:ascii="Times New Roman" w:cs="Times New Roman" w:eastAsia="Times New Roman" w:hAnsi="Times New Roman"/>
                <w:sz w:val="17"/>
                <w:szCs w:val="17"/>
                <w:b w:val="1"/>
                <w:bCs w:val="1"/>
                <w:color w:val="auto"/>
              </w:rPr>
              <w:t>Other</w:t>
            </w:r>
          </w:p>
        </w:tc>
        <w:tc>
          <w:tcPr>
            <w:tcW w:w="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22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20"/>
              <w:spacing w:after="0" w:line="157" w:lineRule="exact"/>
              <w:rPr>
                <w:sz w:val="20"/>
                <w:szCs w:val="20"/>
                <w:color w:val="auto"/>
              </w:rPr>
            </w:pPr>
            <w:r>
              <w:rPr>
                <w:rFonts w:ascii="Times New Roman" w:cs="Times New Roman" w:eastAsia="Times New Roman" w:hAnsi="Times New Roman"/>
                <w:sz w:val="17"/>
                <w:szCs w:val="17"/>
                <w:b w:val="1"/>
                <w:bCs w:val="1"/>
                <w:color w:val="auto"/>
              </w:rPr>
              <w:t>Paid-in</w:t>
            </w:r>
          </w:p>
        </w:tc>
        <w:tc>
          <w:tcPr>
            <w:tcW w:w="140" w:type="dxa"/>
            <w:vAlign w:val="bottom"/>
          </w:tcPr>
          <w:p>
            <w:pPr>
              <w:spacing w:after="0"/>
              <w:rPr>
                <w:sz w:val="13"/>
                <w:szCs w:val="13"/>
                <w:color w:val="auto"/>
              </w:rPr>
            </w:pPr>
          </w:p>
        </w:tc>
        <w:tc>
          <w:tcPr>
            <w:tcW w:w="1260" w:type="dxa"/>
            <w:vAlign w:val="bottom"/>
            <w:gridSpan w:val="2"/>
          </w:tcPr>
          <w:p>
            <w:pPr>
              <w:ind w:left="20"/>
              <w:spacing w:after="0" w:line="157" w:lineRule="exact"/>
              <w:rPr>
                <w:sz w:val="20"/>
                <w:szCs w:val="20"/>
                <w:color w:val="auto"/>
              </w:rPr>
            </w:pPr>
            <w:r>
              <w:rPr>
                <w:rFonts w:ascii="Times New Roman" w:cs="Times New Roman" w:eastAsia="Times New Roman" w:hAnsi="Times New Roman"/>
                <w:sz w:val="17"/>
                <w:szCs w:val="17"/>
                <w:b w:val="1"/>
                <w:bCs w:val="1"/>
                <w:color w:val="auto"/>
              </w:rPr>
              <w:t>Accumulated</w:t>
            </w:r>
          </w:p>
        </w:tc>
        <w:tc>
          <w:tcPr>
            <w:tcW w:w="140" w:type="dxa"/>
            <w:vAlign w:val="bottom"/>
          </w:tcPr>
          <w:p>
            <w:pPr>
              <w:spacing w:after="0"/>
              <w:rPr>
                <w:sz w:val="13"/>
                <w:szCs w:val="13"/>
                <w:color w:val="auto"/>
              </w:rPr>
            </w:pPr>
          </w:p>
        </w:tc>
        <w:tc>
          <w:tcPr>
            <w:tcW w:w="1460" w:type="dxa"/>
            <w:vAlign w:val="bottom"/>
            <w:gridSpan w:val="2"/>
          </w:tcPr>
          <w:p>
            <w:pPr>
              <w:jc w:val="center"/>
              <w:ind w:right="260"/>
              <w:spacing w:after="0" w:line="157"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120" w:type="dxa"/>
            <w:vAlign w:val="bottom"/>
          </w:tcPr>
          <w:p>
            <w:pPr>
              <w:spacing w:after="0"/>
              <w:rPr>
                <w:sz w:val="13"/>
                <w:szCs w:val="13"/>
                <w:color w:val="auto"/>
              </w:rPr>
            </w:pPr>
          </w:p>
        </w:tc>
        <w:tc>
          <w:tcPr>
            <w:tcW w:w="1220" w:type="dxa"/>
            <w:vAlign w:val="bottom"/>
          </w:tcPr>
          <w:p>
            <w:pPr>
              <w:jc w:val="center"/>
              <w:ind w:right="33"/>
              <w:spacing w:after="0" w:line="157" w:lineRule="exact"/>
              <w:rPr>
                <w:sz w:val="20"/>
                <w:szCs w:val="20"/>
                <w:color w:val="auto"/>
              </w:rPr>
            </w:pPr>
            <w:r>
              <w:rPr>
                <w:rFonts w:ascii="Times New Roman" w:cs="Times New Roman" w:eastAsia="Times New Roman" w:hAnsi="Times New Roman"/>
                <w:sz w:val="17"/>
                <w:szCs w:val="17"/>
                <w:b w:val="1"/>
                <w:bCs w:val="1"/>
                <w:color w:val="auto"/>
              </w:rPr>
              <w:t>Stockholders’</w:t>
            </w:r>
          </w:p>
        </w:tc>
        <w:tc>
          <w:tcPr>
            <w:tcW w:w="0" w:type="dxa"/>
            <w:vAlign w:val="bottom"/>
          </w:tcPr>
          <w:p>
            <w:pPr>
              <w:spacing w:after="0"/>
              <w:rPr>
                <w:sz w:val="1"/>
                <w:szCs w:val="1"/>
                <w:color w:val="auto"/>
              </w:rPr>
            </w:pPr>
          </w:p>
        </w:tc>
      </w:tr>
      <w:tr>
        <w:trPr>
          <w:trHeight w:val="229"/>
        </w:trPr>
        <w:tc>
          <w:tcPr>
            <w:tcW w:w="12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4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40" w:type="dxa"/>
            <w:vAlign w:val="bottom"/>
          </w:tcPr>
          <w:p>
            <w:pPr>
              <w:spacing w:after="0"/>
              <w:rPr>
                <w:sz w:val="19"/>
                <w:szCs w:val="19"/>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4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Income (Loss)</w:t>
            </w:r>
          </w:p>
        </w:tc>
        <w:tc>
          <w:tcPr>
            <w:tcW w:w="120" w:type="dxa"/>
            <w:vAlign w:val="bottom"/>
          </w:tcPr>
          <w:p>
            <w:pPr>
              <w:spacing w:after="0"/>
              <w:rPr>
                <w:sz w:val="19"/>
                <w:szCs w:val="19"/>
                <w:color w:val="auto"/>
              </w:rPr>
            </w:pPr>
          </w:p>
        </w:tc>
        <w:tc>
          <w:tcPr>
            <w:tcW w:w="122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216"/>
        </w:trPr>
        <w:tc>
          <w:tcPr>
            <w:tcW w:w="3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 December 31, 2022</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144,438,304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1,911,632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(1,234,968)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666,882</w:t>
            </w:r>
          </w:p>
        </w:tc>
        <w:tc>
          <w:tcPr>
            <w:tcW w:w="0" w:type="dxa"/>
            <w:vAlign w:val="bottom"/>
          </w:tcPr>
          <w:p>
            <w:pPr>
              <w:spacing w:after="0"/>
              <w:rPr>
                <w:sz w:val="1"/>
                <w:szCs w:val="1"/>
                <w:color w:val="auto"/>
              </w:rPr>
            </w:pPr>
          </w:p>
        </w:tc>
      </w:tr>
      <w:tr>
        <w:trPr>
          <w:trHeight w:val="170"/>
        </w:trPr>
        <w:tc>
          <w:tcPr>
            <w:tcW w:w="336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7"/>
                <w:szCs w:val="17"/>
                <w:color w:val="auto"/>
              </w:rPr>
              <w:t>Issuance of common stock upon exercise of</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stock options and vesting of RSUs</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942,276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Vesting of early exercised common stock</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w:t>
            </w:r>
          </w:p>
        </w:tc>
        <w:tc>
          <w:tcPr>
            <w:tcW w:w="0" w:type="dxa"/>
            <w:vAlign w:val="bottom"/>
          </w:tcPr>
          <w:p>
            <w:pPr>
              <w:spacing w:after="0"/>
              <w:rPr>
                <w:sz w:val="1"/>
                <w:szCs w:val="1"/>
                <w:color w:val="auto"/>
              </w:rPr>
            </w:pPr>
          </w:p>
        </w:tc>
      </w:tr>
      <w:tr>
        <w:trPr>
          <w:trHeight w:val="223"/>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18,770</w:t>
            </w:r>
          </w:p>
        </w:tc>
        <w:tc>
          <w:tcPr>
            <w:tcW w:w="0" w:type="dxa"/>
            <w:vAlign w:val="bottom"/>
          </w:tcPr>
          <w:p>
            <w:pPr>
              <w:spacing w:after="0"/>
              <w:rPr>
                <w:sz w:val="1"/>
                <w:szCs w:val="1"/>
                <w:color w:val="auto"/>
              </w:rPr>
            </w:pPr>
          </w:p>
        </w:tc>
      </w:tr>
      <w:tr>
        <w:trPr>
          <w:trHeight w:val="223"/>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359,753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1,731</w:t>
            </w:r>
          </w:p>
        </w:tc>
        <w:tc>
          <w:tcPr>
            <w:tcW w:w="0" w:type="dxa"/>
            <w:vAlign w:val="bottom"/>
          </w:tcPr>
          <w:p>
            <w:pPr>
              <w:spacing w:after="0"/>
              <w:rPr>
                <w:sz w:val="1"/>
                <w:szCs w:val="1"/>
                <w:color w:val="auto"/>
              </w:rPr>
            </w:pPr>
          </w:p>
        </w:tc>
      </w:tr>
      <w:tr>
        <w:trPr>
          <w:trHeight w:val="223"/>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(99,968)</w:t>
            </w:r>
          </w:p>
        </w:tc>
        <w:tc>
          <w:tcPr>
            <w:tcW w:w="0" w:type="dxa"/>
            <w:vAlign w:val="bottom"/>
          </w:tcPr>
          <w:p>
            <w:pPr>
              <w:spacing w:after="0"/>
              <w:rPr>
                <w:sz w:val="1"/>
                <w:szCs w:val="1"/>
                <w:color w:val="auto"/>
              </w:rPr>
            </w:pPr>
          </w:p>
        </w:tc>
      </w:tr>
      <w:tr>
        <w:trPr>
          <w:trHeight w:val="170"/>
        </w:trPr>
        <w:tc>
          <w:tcPr>
            <w:tcW w:w="336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Net unrealized gain on available-for-sale</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investments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3,992</w:t>
            </w:r>
          </w:p>
        </w:tc>
        <w:tc>
          <w:tcPr>
            <w:tcW w:w="0" w:type="dxa"/>
            <w:vAlign w:val="bottom"/>
          </w:tcPr>
          <w:p>
            <w:pPr>
              <w:spacing w:after="0"/>
              <w:rPr>
                <w:sz w:val="1"/>
                <w:szCs w:val="1"/>
                <w:color w:val="auto"/>
              </w:rPr>
            </w:pPr>
          </w:p>
        </w:tc>
      </w:tr>
      <w:tr>
        <w:trPr>
          <w:trHeight w:val="216"/>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Balance - March 31, 2023</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145,740,333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1,932,734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(1,334,936)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(5,934)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592,010</w:t>
            </w:r>
          </w:p>
        </w:tc>
        <w:tc>
          <w:tcPr>
            <w:tcW w:w="0" w:type="dxa"/>
            <w:vAlign w:val="bottom"/>
          </w:tcPr>
          <w:p>
            <w:pPr>
              <w:spacing w:after="0"/>
              <w:rPr>
                <w:sz w:val="1"/>
                <w:szCs w:val="1"/>
                <w:color w:val="auto"/>
              </w:rPr>
            </w:pPr>
          </w:p>
        </w:tc>
      </w:tr>
      <w:tr>
        <w:trPr>
          <w:trHeight w:val="170"/>
        </w:trPr>
        <w:tc>
          <w:tcPr>
            <w:tcW w:w="336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Issuance of common stock from ATM offering,</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360" w:type="dxa"/>
            <w:vAlign w:val="bottom"/>
            <w:gridSpan w:val="2"/>
            <w:shd w:val="clear" w:color="auto" w:fill="CCEEFF"/>
          </w:tcPr>
          <w:p>
            <w:pPr>
              <w:ind w:left="180"/>
              <w:spacing w:after="0" w:line="178" w:lineRule="exact"/>
              <w:rPr>
                <w:sz w:val="20"/>
                <w:szCs w:val="20"/>
                <w:color w:val="auto"/>
              </w:rPr>
            </w:pPr>
            <w:r>
              <w:rPr>
                <w:rFonts w:ascii="Times New Roman" w:cs="Times New Roman" w:eastAsia="Times New Roman" w:hAnsi="Times New Roman"/>
                <w:sz w:val="17"/>
                <w:szCs w:val="17"/>
                <w:color w:val="auto"/>
              </w:rPr>
              <w:t>net of commissions and offering costs of</w:t>
            </w: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$1.6 million</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20,288,330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87,918</w:t>
            </w:r>
          </w:p>
        </w:tc>
        <w:tc>
          <w:tcPr>
            <w:tcW w:w="0" w:type="dxa"/>
            <w:vAlign w:val="bottom"/>
          </w:tcPr>
          <w:p>
            <w:pPr>
              <w:spacing w:after="0"/>
              <w:rPr>
                <w:sz w:val="1"/>
                <w:szCs w:val="1"/>
                <w:color w:val="auto"/>
              </w:rPr>
            </w:pPr>
          </w:p>
        </w:tc>
      </w:tr>
      <w:tr>
        <w:trPr>
          <w:trHeight w:val="170"/>
        </w:trPr>
        <w:tc>
          <w:tcPr>
            <w:tcW w:w="336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7"/>
                <w:szCs w:val="17"/>
                <w:color w:val="auto"/>
              </w:rPr>
              <w:t>Issuance of common stock upon exercise of</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stock options and vesting of RSUs</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1,105,001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w:t>
            </w:r>
          </w:p>
        </w:tc>
        <w:tc>
          <w:tcPr>
            <w:tcW w:w="0" w:type="dxa"/>
            <w:vAlign w:val="bottom"/>
          </w:tcPr>
          <w:p>
            <w:pPr>
              <w:spacing w:after="0"/>
              <w:rPr>
                <w:sz w:val="1"/>
                <w:szCs w:val="1"/>
                <w:color w:val="auto"/>
              </w:rPr>
            </w:pPr>
          </w:p>
        </w:tc>
      </w:tr>
      <w:tr>
        <w:trPr>
          <w:trHeight w:val="223"/>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Vesting of early exercised common stock</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0" w:type="dxa"/>
            <w:vAlign w:val="bottom"/>
          </w:tcPr>
          <w:p>
            <w:pPr>
              <w:spacing w:after="0"/>
              <w:rPr>
                <w:sz w:val="1"/>
                <w:szCs w:val="1"/>
                <w:color w:val="auto"/>
              </w:rPr>
            </w:pPr>
          </w:p>
        </w:tc>
      </w:tr>
      <w:tr>
        <w:trPr>
          <w:trHeight w:val="223"/>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16,594</w:t>
            </w:r>
          </w:p>
        </w:tc>
        <w:tc>
          <w:tcPr>
            <w:tcW w:w="0" w:type="dxa"/>
            <w:vAlign w:val="bottom"/>
          </w:tcPr>
          <w:p>
            <w:pPr>
              <w:spacing w:after="0"/>
              <w:rPr>
                <w:sz w:val="1"/>
                <w:szCs w:val="1"/>
                <w:color w:val="auto"/>
              </w:rPr>
            </w:pPr>
          </w:p>
        </w:tc>
      </w:tr>
      <w:tr>
        <w:trPr>
          <w:trHeight w:val="223"/>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(79,232)</w:t>
            </w:r>
          </w:p>
        </w:tc>
        <w:tc>
          <w:tcPr>
            <w:tcW w:w="0" w:type="dxa"/>
            <w:vAlign w:val="bottom"/>
          </w:tcPr>
          <w:p>
            <w:pPr>
              <w:spacing w:after="0"/>
              <w:rPr>
                <w:sz w:val="1"/>
                <w:szCs w:val="1"/>
                <w:color w:val="auto"/>
              </w:rPr>
            </w:pPr>
          </w:p>
        </w:tc>
      </w:tr>
      <w:tr>
        <w:trPr>
          <w:trHeight w:val="170"/>
        </w:trPr>
        <w:tc>
          <w:tcPr>
            <w:tcW w:w="336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7"/>
                <w:szCs w:val="17"/>
                <w:color w:val="auto"/>
              </w:rPr>
              <w:t>Net unrealized gain on available-for-sale</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investments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2,083</w:t>
            </w:r>
          </w:p>
        </w:tc>
        <w:tc>
          <w:tcPr>
            <w:tcW w:w="0" w:type="dxa"/>
            <w:vAlign w:val="bottom"/>
          </w:tcPr>
          <w:p>
            <w:pPr>
              <w:spacing w:after="0"/>
              <w:rPr>
                <w:sz w:val="1"/>
                <w:szCs w:val="1"/>
                <w:color w:val="auto"/>
              </w:rPr>
            </w:pPr>
          </w:p>
        </w:tc>
      </w:tr>
      <w:tr>
        <w:trPr>
          <w:trHeight w:val="216"/>
        </w:trPr>
        <w:tc>
          <w:tcPr>
            <w:tcW w:w="3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 June 30, 2023</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167,133,664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2,039,263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(1,414,168)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621,411</w:t>
            </w:r>
          </w:p>
        </w:tc>
        <w:tc>
          <w:tcPr>
            <w:tcW w:w="0" w:type="dxa"/>
            <w:vAlign w:val="bottom"/>
          </w:tcPr>
          <w:p>
            <w:pPr>
              <w:spacing w:after="0"/>
              <w:rPr>
                <w:sz w:val="1"/>
                <w:szCs w:val="1"/>
                <w:color w:val="auto"/>
              </w:rPr>
            </w:pPr>
          </w:p>
        </w:tc>
      </w:tr>
      <w:tr>
        <w:trPr>
          <w:trHeight w:val="170"/>
        </w:trPr>
        <w:tc>
          <w:tcPr>
            <w:tcW w:w="336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7"/>
                <w:szCs w:val="17"/>
                <w:color w:val="auto"/>
              </w:rPr>
              <w:t>Issuance of common stock from ATM offering,</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net of offering costs of $50.0 thousand</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606,235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3,194</w:t>
            </w:r>
          </w:p>
        </w:tc>
        <w:tc>
          <w:tcPr>
            <w:tcW w:w="0" w:type="dxa"/>
            <w:vAlign w:val="bottom"/>
          </w:tcPr>
          <w:p>
            <w:pPr>
              <w:spacing w:after="0"/>
              <w:rPr>
                <w:sz w:val="1"/>
                <w:szCs w:val="1"/>
                <w:color w:val="auto"/>
              </w:rPr>
            </w:pPr>
          </w:p>
        </w:tc>
      </w:tr>
      <w:tr>
        <w:trPr>
          <w:trHeight w:val="170"/>
        </w:trPr>
        <w:tc>
          <w:tcPr>
            <w:tcW w:w="3360" w:type="dxa"/>
            <w:vAlign w:val="bottom"/>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Issuance of common stock upon exercise of</w:t>
            </w: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stock options and vesting of RSUs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204,116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0" w:type="dxa"/>
            <w:vAlign w:val="bottom"/>
          </w:tcPr>
          <w:p>
            <w:pPr>
              <w:spacing w:after="0"/>
              <w:rPr>
                <w:sz w:val="1"/>
                <w:szCs w:val="1"/>
                <w:color w:val="auto"/>
              </w:rPr>
            </w:pPr>
          </w:p>
        </w:tc>
      </w:tr>
      <w:tr>
        <w:trPr>
          <w:trHeight w:val="223"/>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Vesting of early exercised common stock</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0" w:type="dxa"/>
            <w:vAlign w:val="bottom"/>
          </w:tcPr>
          <w:p>
            <w:pPr>
              <w:spacing w:after="0"/>
              <w:rPr>
                <w:sz w:val="1"/>
                <w:szCs w:val="1"/>
                <w:color w:val="auto"/>
              </w:rPr>
            </w:pPr>
          </w:p>
        </w:tc>
      </w:tr>
      <w:tr>
        <w:trPr>
          <w:trHeight w:val="223"/>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15,354</w:t>
            </w:r>
          </w:p>
        </w:tc>
        <w:tc>
          <w:tcPr>
            <w:tcW w:w="0" w:type="dxa"/>
            <w:vAlign w:val="bottom"/>
          </w:tcPr>
          <w:p>
            <w:pPr>
              <w:spacing w:after="0"/>
              <w:rPr>
                <w:sz w:val="1"/>
                <w:szCs w:val="1"/>
                <w:color w:val="auto"/>
              </w:rPr>
            </w:pPr>
          </w:p>
        </w:tc>
      </w:tr>
      <w:tr>
        <w:trPr>
          <w:trHeight w:val="223"/>
        </w:trPr>
        <w:tc>
          <w:tcPr>
            <w:tcW w:w="3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231,206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0" w:type="dxa"/>
            <w:vAlign w:val="bottom"/>
          </w:tcPr>
          <w:p>
            <w:pPr>
              <w:spacing w:after="0"/>
              <w:rPr>
                <w:sz w:val="1"/>
                <w:szCs w:val="1"/>
                <w:color w:val="auto"/>
              </w:rPr>
            </w:pPr>
          </w:p>
        </w:tc>
      </w:tr>
      <w:tr>
        <w:trPr>
          <w:trHeight w:val="223"/>
        </w:trPr>
        <w:tc>
          <w:tcPr>
            <w:tcW w:w="3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(62,287)</w:t>
            </w:r>
          </w:p>
        </w:tc>
        <w:tc>
          <w:tcPr>
            <w:tcW w:w="0" w:type="dxa"/>
            <w:vAlign w:val="bottom"/>
          </w:tcPr>
          <w:p>
            <w:pPr>
              <w:spacing w:after="0"/>
              <w:rPr>
                <w:sz w:val="1"/>
                <w:szCs w:val="1"/>
                <w:color w:val="auto"/>
              </w:rPr>
            </w:pPr>
          </w:p>
        </w:tc>
      </w:tr>
      <w:tr>
        <w:trPr>
          <w:trHeight w:val="170"/>
        </w:trPr>
        <w:tc>
          <w:tcPr>
            <w:tcW w:w="336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7"/>
                <w:szCs w:val="17"/>
                <w:color w:val="auto"/>
              </w:rPr>
              <w:t>Net unrealized gain on available-for-sale</w:t>
            </w: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investments</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1,440</w:t>
            </w:r>
          </w:p>
        </w:tc>
        <w:tc>
          <w:tcPr>
            <w:tcW w:w="0" w:type="dxa"/>
            <w:vAlign w:val="bottom"/>
          </w:tcPr>
          <w:p>
            <w:pPr>
              <w:spacing w:after="0"/>
              <w:rPr>
                <w:sz w:val="1"/>
                <w:szCs w:val="1"/>
                <w:color w:val="auto"/>
              </w:rPr>
            </w:pPr>
          </w:p>
        </w:tc>
      </w:tr>
      <w:tr>
        <w:trPr>
          <w:trHeight w:val="241"/>
        </w:trPr>
        <w:tc>
          <w:tcPr>
            <w:tcW w:w="33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 September 30, 2023</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168,175,221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2,059,333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(1,476,455)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580,635</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ALLOGENE THERAPEUTICS, INC.</w:t>
      </w:r>
    </w:p>
    <w:p>
      <w:pPr>
        <w:spacing w:after="0" w:line="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i w:val="1"/>
          <w:iCs w:val="1"/>
          <w:color w:val="auto"/>
        </w:rPr>
        <w:t>(In thousands)</w:t>
      </w:r>
    </w:p>
    <w:p>
      <w:pPr>
        <w:spacing w:after="0" w:line="38"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4"/>
        </w:trPr>
        <w:tc>
          <w:tcPr>
            <w:tcW w:w="79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8"/>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(197,651)</w:t>
            </w:r>
          </w:p>
        </w:tc>
        <w:tc>
          <w:tcPr>
            <w:tcW w:w="120" w:type="dxa"/>
            <w:vAlign w:val="bottom"/>
          </w:tcPr>
          <w:p>
            <w:pPr>
              <w:spacing w:after="0"/>
              <w:rPr>
                <w:sz w:val="18"/>
                <w:szCs w:val="18"/>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(241,487)</w:t>
            </w:r>
          </w:p>
        </w:tc>
      </w:tr>
      <w:tr>
        <w:trPr>
          <w:trHeight w:val="211"/>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8"/>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50,718</w:t>
            </w:r>
          </w:p>
        </w:tc>
      </w:tr>
      <w:tr>
        <w:trPr>
          <w:trHeight w:val="211"/>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10,722</w:t>
            </w:r>
          </w:p>
        </w:tc>
      </w:tr>
      <w:tr>
        <w:trPr>
          <w:trHeight w:val="208"/>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Amortization/accretion on investment securities, net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(3,510)</w:t>
            </w:r>
          </w:p>
        </w:tc>
      </w:tr>
      <w:tr>
        <w:trPr>
          <w:trHeight w:val="211"/>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Impairment of equity method investment</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3,000</w:t>
            </w:r>
          </w:p>
        </w:tc>
      </w:tr>
      <w:tr>
        <w:trPr>
          <w:trHeight w:val="210"/>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rent expense</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w:t>
            </w:r>
          </w:p>
        </w:tc>
      </w:tr>
      <w:tr>
        <w:trPr>
          <w:trHeight w:val="208"/>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collaboration revenue - related party</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11"/>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Share of gain/loss from equity method investments, net</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7,866</w:t>
            </w:r>
          </w:p>
        </w:tc>
      </w:tr>
      <w:tr>
        <w:trPr>
          <w:trHeight w:val="208"/>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1"/>
        </w:trPr>
        <w:tc>
          <w:tcPr>
            <w:tcW w:w="7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Deposit placed in escrow</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(22,320)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9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w:t>
            </w:r>
          </w:p>
        </w:tc>
      </w:tr>
      <w:tr>
        <w:trPr>
          <w:trHeight w:val="211"/>
        </w:trPr>
        <w:tc>
          <w:tcPr>
            <w:tcW w:w="7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long-term assets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w:t>
            </w:r>
          </w:p>
        </w:tc>
      </w:tr>
      <w:tr>
        <w:trPr>
          <w:trHeight w:val="208"/>
        </w:trPr>
        <w:tc>
          <w:tcPr>
            <w:tcW w:w="79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(7,200)</w:t>
            </w:r>
          </w:p>
        </w:tc>
      </w:tr>
      <w:tr>
        <w:trPr>
          <w:trHeight w:val="211"/>
        </w:trPr>
        <w:tc>
          <w:tcPr>
            <w:tcW w:w="7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(7,109)</w:t>
            </w:r>
          </w:p>
        </w:tc>
      </w:tr>
      <w:tr>
        <w:trPr>
          <w:trHeight w:val="208"/>
        </w:trPr>
        <w:tc>
          <w:tcPr>
            <w:tcW w:w="790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(4,445)</w:t>
            </w:r>
          </w:p>
        </w:tc>
      </w:tr>
      <w:tr>
        <w:trPr>
          <w:trHeight w:val="211"/>
        </w:trPr>
        <w:tc>
          <w:tcPr>
            <w:tcW w:w="7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r>
      <w:tr>
        <w:trPr>
          <w:trHeight w:val="201"/>
        </w:trPr>
        <w:tc>
          <w:tcPr>
            <w:tcW w:w="790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(163,602)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(184,026)</w:t>
            </w:r>
          </w:p>
        </w:tc>
      </w:tr>
      <w:tr>
        <w:trPr>
          <w:trHeight w:val="191"/>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8"/>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w:t>
            </w:r>
          </w:p>
        </w:tc>
      </w:tr>
      <w:tr>
        <w:trPr>
          <w:trHeight w:val="211"/>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sales of investments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w:t>
            </w:r>
          </w:p>
        </w:tc>
      </w:tr>
      <w:tr>
        <w:trPr>
          <w:trHeight w:val="208"/>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maturities of investments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330,294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461,467</w:t>
            </w:r>
          </w:p>
        </w:tc>
      </w:tr>
      <w:tr>
        <w:trPr>
          <w:trHeight w:val="211"/>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Purchase of investments</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(314,501)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(369,927)</w:t>
            </w:r>
          </w:p>
        </w:tc>
      </w:tr>
      <w:tr>
        <w:trPr>
          <w:trHeight w:val="201"/>
        </w:trPr>
        <w:tc>
          <w:tcPr>
            <w:tcW w:w="790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20,754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95,828</w:t>
            </w:r>
          </w:p>
        </w:tc>
      </w:tr>
      <w:tr>
        <w:trPr>
          <w:trHeight w:val="191"/>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08"/>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from ATM offering, net of commissions and issuance costs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91,112</w:t>
            </w:r>
          </w:p>
        </w:tc>
      </w:tr>
      <w:tr>
        <w:trPr>
          <w:trHeight w:val="211"/>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from registered offering, net of commissions and issuance costs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105,283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CIRM award</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upon exercise of stock options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w:t>
            </w:r>
          </w:p>
        </w:tc>
      </w:tr>
      <w:tr>
        <w:trPr>
          <w:trHeight w:val="208"/>
        </w:trPr>
        <w:tc>
          <w:tcPr>
            <w:tcW w:w="79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under the employee stock purchase plan</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2,496</w:t>
            </w:r>
          </w:p>
        </w:tc>
      </w:tr>
      <w:tr>
        <w:trPr>
          <w:trHeight w:val="204"/>
        </w:trPr>
        <w:tc>
          <w:tcPr>
            <w:tcW w:w="7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110,932</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95,540</w:t>
            </w:r>
          </w:p>
        </w:tc>
      </w:tr>
      <w:tr>
        <w:trPr>
          <w:trHeight w:val="201"/>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and cash equivalents and restricted cash</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(31,916)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7,342</w:t>
            </w:r>
          </w:p>
        </w:tc>
      </w:tr>
      <w:tr>
        <w:trPr>
          <w:trHeight w:val="21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93,447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72,196</w:t>
            </w:r>
          </w:p>
        </w:tc>
      </w:tr>
      <w:tr>
        <w:trPr>
          <w:trHeight w:val="204"/>
        </w:trPr>
        <w:tc>
          <w:tcPr>
            <w:tcW w:w="79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 end of period</w:t>
            </w: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61,531</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79,538</w:t>
            </w: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76"/>
        </w:trPr>
        <w:tc>
          <w:tcPr>
            <w:tcW w:w="79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6"/>
                <w:szCs w:val="16"/>
                <w:b w:val="1"/>
                <w:bCs w:val="1"/>
                <w:color w:val="auto"/>
              </w:rPr>
              <w:t>Non-cash operating activities:</w:t>
            </w: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208"/>
        </w:trPr>
        <w:tc>
          <w:tcPr>
            <w:tcW w:w="7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Right-of-use asset obtained in exchange for lease liability</w:t>
            </w: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120" w:type="dxa"/>
            <w:vAlign w:val="bottom"/>
          </w:tcPr>
          <w:p>
            <w:pPr>
              <w:spacing w:after="0"/>
              <w:rPr>
                <w:sz w:val="18"/>
                <w:szCs w:val="18"/>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deferred revenue included in other long-term liabilities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7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(9,013)</w:t>
            </w:r>
          </w:p>
        </w:tc>
      </w:tr>
    </w:tbl>
    <w:p>
      <w:pPr>
        <w:spacing w:after="0" w:line="2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ALLOGENE THERAPEUTICS,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308" w:lineRule="exact"/>
        <w:rPr>
          <w:sz w:val="20"/>
          <w:szCs w:val="20"/>
          <w:color w:val="auto"/>
        </w:rPr>
      </w:pPr>
    </w:p>
    <w:p>
      <w:pPr>
        <w:ind w:left="580" w:hanging="575"/>
        <w:spacing w:after="0"/>
        <w:tabs>
          <w:tab w:leader="none" w:pos="58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Description of Business</w:t>
      </w:r>
    </w:p>
    <w:p>
      <w:pPr>
        <w:spacing w:after="0" w:line="121"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Allogene Therapeutics, Inc. (the Company or Allogene) was incorporated on November 30, 2017 in the State of Delaware and is headquartered in South San Francisco, California. Allogene is a clinical stage immuno-oncology company pioneering the development of genetically engineered allogeneic T cell product candidates for the treatment of cancer and autoimmune diseases. The Company is developing a pipeline of “off-the-shelf” T cell product candidates that are designed to target and kill cancer cells in patients or eliminate pathogenic autoreactive cells in patients with autoimmune disorders. The Company’s engineered T cells are allogeneic, meaning they are derived from healthy donors for intended use in any patient, rather than from an individual patient for that patient’s use, as in the case of autologous T cells. The Company believes this key difference will enable it to deliver readily available treatments faster, more reliably, at greater scale, and to more patients.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Registered Offering</w:t>
      </w:r>
    </w:p>
    <w:p>
      <w:pPr>
        <w:spacing w:after="0" w:line="123" w:lineRule="exact"/>
        <w:rPr>
          <w:sz w:val="20"/>
          <w:szCs w:val="20"/>
          <w:color w:val="auto"/>
        </w:rPr>
      </w:pPr>
    </w:p>
    <w:p>
      <w:pPr>
        <w:jc w:val="both"/>
        <w:ind w:firstLine="629"/>
        <w:spacing w:after="0" w:line="263" w:lineRule="auto"/>
        <w:rPr>
          <w:sz w:val="20"/>
          <w:szCs w:val="20"/>
          <w:color w:val="auto"/>
        </w:rPr>
      </w:pPr>
      <w:r>
        <w:rPr>
          <w:rFonts w:ascii="Times New Roman" w:cs="Times New Roman" w:eastAsia="Times New Roman" w:hAnsi="Times New Roman"/>
          <w:sz w:val="17"/>
          <w:szCs w:val="17"/>
          <w:color w:val="auto"/>
        </w:rPr>
        <w:t>On May 13, 2024, the Company entered into (i) an underwriting agreement (Underwriting Agreement) with Goldman Sachs &amp; Co. LLC (Underwriter) and (ii) a Securities Purchase Agreement (Securities Purchase Agreement) with certain members of the Company’s Board of Directors and executive officers or their respective affiliates (Purchasers), pursuant to which the Company sold and issued to the Underwriter and the Purchasers an aggregate of 37,931,035 shares of common stock of the Company at a purchase price of $2.90 per share, in a registered offering transaction (Registered Offering) for aggregate gross proceeds of $110.0 million, before deducting the underwriting discount and commissions and estimated offering expenses payable by the Company. The Registered Offering closed on May 16, 2024. The aggregate fee payable by the Company to the Underwriter was $4.7 million, plus the reimbursement of certain expenses. The Purchasers purchased an aggregate of 1,034,484 shares of common stock of the Company in the Registered Offering.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Need for Additional Capital</w:t>
      </w:r>
    </w:p>
    <w:p>
      <w:pPr>
        <w:spacing w:after="0" w:line="123" w:lineRule="exact"/>
        <w:rPr>
          <w:sz w:val="20"/>
          <w:szCs w:val="20"/>
          <w:color w:val="auto"/>
        </w:rPr>
      </w:pPr>
    </w:p>
    <w:p>
      <w:pPr>
        <w:jc w:val="both"/>
        <w:ind w:firstLine="629"/>
        <w:spacing w:after="0" w:line="296" w:lineRule="auto"/>
        <w:rPr>
          <w:sz w:val="20"/>
          <w:szCs w:val="20"/>
          <w:color w:val="auto"/>
        </w:rPr>
      </w:pPr>
      <w:r>
        <w:rPr>
          <w:rFonts w:ascii="Times New Roman" w:cs="Times New Roman" w:eastAsia="Times New Roman" w:hAnsi="Times New Roman"/>
          <w:sz w:val="17"/>
          <w:szCs w:val="17"/>
          <w:color w:val="auto"/>
        </w:rPr>
        <w:t>The Company has sustained operating losses and expects to continue to generate operating losses for the foreseeable future. The Company’s ultimate success depends on the outcome of its research and development activities as well as the ability to commercialize the Company's product candidates.</w:t>
      </w:r>
    </w:p>
    <w:p>
      <w:pPr>
        <w:spacing w:after="0" w:line="42" w:lineRule="exact"/>
        <w:rPr>
          <w:sz w:val="20"/>
          <w:szCs w:val="20"/>
          <w:color w:val="auto"/>
        </w:rPr>
      </w:pPr>
    </w:p>
    <w:p>
      <w:pPr>
        <w:ind w:right="260" w:firstLine="629"/>
        <w:spacing w:after="0" w:line="276" w:lineRule="auto"/>
        <w:rPr>
          <w:sz w:val="20"/>
          <w:szCs w:val="20"/>
          <w:color w:val="auto"/>
        </w:rPr>
      </w:pPr>
      <w:r>
        <w:rPr>
          <w:rFonts w:ascii="Times New Roman" w:cs="Times New Roman" w:eastAsia="Times New Roman" w:hAnsi="Times New Roman"/>
          <w:sz w:val="17"/>
          <w:szCs w:val="17"/>
          <w:color w:val="auto"/>
        </w:rPr>
        <w:t>The Company had cash and cash equivalents and investments of $403.4 million as of September 30, 2024. Since inception through September 30, 2024, the Company has incurred cumulative net losses of $1,759.9 million. Management expects to incur additional losses in the future to fund its operations and conduct product research and development and recognizes the need to raise additional capital to fully implement its business plan.</w:t>
      </w:r>
    </w:p>
    <w:p>
      <w:pPr>
        <w:spacing w:after="0" w:line="59"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The Company intends to raise additional capital through the issuance of equity securities, debt financings or other sources in order to further implement its business plan. However, if such financing is not available at adequate levels, the Company will need to reevaluate its operating plan and may be required to delay the development of its product candidates. The Company expects that its cash and cash equivalents and investments will be sufficient to fund its operations for at least the next 12 months from the date the accompanying unaudited condensed consolidated financial statements are filed with the Securities and Exchange Commission (SEC).</w:t>
      </w:r>
    </w:p>
    <w:p>
      <w:pPr>
        <w:spacing w:after="0" w:line="273" w:lineRule="exact"/>
        <w:rPr>
          <w:sz w:val="20"/>
          <w:szCs w:val="20"/>
          <w:color w:val="auto"/>
        </w:rPr>
      </w:pPr>
    </w:p>
    <w:p>
      <w:pPr>
        <w:ind w:left="520" w:hanging="515"/>
        <w:spacing w:after="0"/>
        <w:tabs>
          <w:tab w:leader="none" w:pos="5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23" w:lineRule="exact"/>
        <w:rPr>
          <w:sz w:val="20"/>
          <w:szCs w:val="20"/>
          <w:color w:val="auto"/>
        </w:rPr>
      </w:pPr>
    </w:p>
    <w:p>
      <w:pPr>
        <w:ind w:right="260" w:firstLine="629"/>
        <w:spacing w:after="0" w:line="265"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accounting principles generally accepted in the United States of America (GAAP) for interim financial information and pursuant to Form 10-Q and Article 10 of Regulation S-X of the SEC. Accordingly, they do not include all of the information and footnotes required by GAAP for complete consolidated financial statements. In the Company’s opinion, all adjustments (consisting only of normal recurring adjustments) considered necessary for a fair presentation of the results of operations and cash flows for the periods presented have been included. The condensed consolidated financial statements include the accounts of the Company and its wholly-owned subsidiary, Allogene Therapeutics, B.V. The subsidiary was dissolved on January 3, 2024.</w:t>
      </w:r>
    </w:p>
    <w:p>
      <w:pPr>
        <w:spacing w:after="0" w:line="67" w:lineRule="exact"/>
        <w:rPr>
          <w:sz w:val="20"/>
          <w:szCs w:val="20"/>
          <w:color w:val="auto"/>
        </w:rPr>
      </w:pPr>
    </w:p>
    <w:p>
      <w:pPr>
        <w:ind w:right="120" w:firstLine="629"/>
        <w:spacing w:after="0" w:line="270" w:lineRule="auto"/>
        <w:rPr>
          <w:sz w:val="20"/>
          <w:szCs w:val="20"/>
          <w:color w:val="auto"/>
        </w:rPr>
      </w:pPr>
      <w:r>
        <w:rPr>
          <w:rFonts w:ascii="Times New Roman" w:cs="Times New Roman" w:eastAsia="Times New Roman" w:hAnsi="Times New Roman"/>
          <w:sz w:val="17"/>
          <w:szCs w:val="17"/>
          <w:color w:val="auto"/>
        </w:rPr>
        <w:t>The condensed consolidated balance sheet as of September 30, 2024, the condensed consolidated statements of operations and comprehensive loss for the three and nine months ended September 30, 2024 and 2023, the condensed consolidated statements of stockholders’ equity as of September 30, 2024 and 2023, the condensed consolidated statements of cash flows for the nine months ended September 30, 2024 and 2023, and the financial data and other financial information disclosed in the notes to the condensed consolidated financial statements are unaudited. The results of operations for the three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and nine months ended September 30, 2024 are not necessarily indicative of the results to be expected for the year ending December 31, 2024, or for any other future annual or interim period. These condensed consolidated financial statements should be read in conjunction with the Company’s audited financial statements and related notes for the year ended December 31, 2023, included in the Company’s Annual Report on Form 10-K filed with the SEC on March 14, 2024.</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3" w:lineRule="exact"/>
        <w:rPr>
          <w:sz w:val="20"/>
          <w:szCs w:val="20"/>
          <w:color w:val="auto"/>
        </w:rPr>
      </w:pPr>
    </w:p>
    <w:p>
      <w:pPr>
        <w:ind w:right="40" w:firstLine="629"/>
        <w:spacing w:after="0" w:line="264"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GAAP requires management to make estimates and assumptions that affect the reported amounts of assets and liabilities and disclosure of contingent assets and liabilities as of the date of the condensed consolidated financial statements and the reported amounts of expenses during the reporting period. Significant estimates and assumptions made in the accompanying condensed consolidated financial statements include but are not limited to the fair value of common stock, the fair value of stock options, the fair value of investments, income tax uncertainties, the CIRM award liability and certain accruals. The Company evaluates its estimates and assumptions on an ongoing basis using historical experience and other factors and adjusts those estimates and assumptions when facts and circumstances change. Actual results could differ from those estimates.</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Accounting Policies</w:t>
      </w:r>
    </w:p>
    <w:p>
      <w:pPr>
        <w:spacing w:after="0" w:line="123" w:lineRule="exact"/>
        <w:rPr>
          <w:sz w:val="20"/>
          <w:szCs w:val="20"/>
          <w:color w:val="auto"/>
        </w:rPr>
      </w:pPr>
    </w:p>
    <w:p>
      <w:pPr>
        <w:ind w:right="80" w:firstLine="629"/>
        <w:spacing w:after="0" w:line="276" w:lineRule="auto"/>
        <w:rPr>
          <w:sz w:val="20"/>
          <w:szCs w:val="20"/>
          <w:color w:val="auto"/>
        </w:rPr>
      </w:pPr>
      <w:r>
        <w:rPr>
          <w:rFonts w:ascii="Times New Roman" w:cs="Times New Roman" w:eastAsia="Times New Roman" w:hAnsi="Times New Roman"/>
          <w:sz w:val="17"/>
          <w:szCs w:val="17"/>
          <w:color w:val="auto"/>
        </w:rPr>
        <w:t>There have been no significant changes to the accounting policies during the three and nine months ended September 30, 2024, as compared to the significant accounting policies described in Note 1 of the “Notes to Financial Statements” in the Company’s audited financial statements included in its Annual Report, with exception of the following.</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California Institute for Regenerative Medicine (CIRM) Award</w:t>
      </w:r>
    </w:p>
    <w:p>
      <w:pPr>
        <w:spacing w:after="0" w:line="123"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Accounting for the CIRM award does not fall under ASC 606, Revenue from Contracts and Customers, as CIRM does not meet the definition of a customer. No income associated with the CIRM award will be recognized until it is confirmed with CIRM that the award does not require repayment. Until then such award will be recognized, along with any interest, as a long-term liability upon cash receipt. Any estimated interest accrued for the CIRM award received is recognized as interest expense in the condensed consolidated statements of operations. See Note 5 below for more details.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123" w:lineRule="exact"/>
        <w:rPr>
          <w:sz w:val="20"/>
          <w:szCs w:val="20"/>
          <w:color w:val="auto"/>
        </w:rPr>
      </w:pPr>
    </w:p>
    <w:p>
      <w:pPr>
        <w:ind w:right="440" w:firstLine="629"/>
        <w:spacing w:after="0" w:line="296" w:lineRule="auto"/>
        <w:rPr>
          <w:sz w:val="20"/>
          <w:szCs w:val="20"/>
          <w:color w:val="auto"/>
        </w:rPr>
      </w:pPr>
      <w:r>
        <w:rPr>
          <w:rFonts w:ascii="Times New Roman" w:cs="Times New Roman" w:eastAsia="Times New Roman" w:hAnsi="Times New Roman"/>
          <w:sz w:val="17"/>
          <w:szCs w:val="17"/>
          <w:color w:val="auto"/>
        </w:rPr>
        <w:t>There have been no new accounting pronouncements issued or effective that are expected to have a material impact on the Company's condensed consolidated financial statements.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 Not Yet Adopted</w:t>
      </w:r>
    </w:p>
    <w:p>
      <w:pPr>
        <w:spacing w:after="0" w:line="123"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 xml:space="preserve">In November 2023, the Financial Accounting Standards Board (FASB) issued Accounting Standard Update (ASU) 2023-07, Segment Reporting (Topic 280): </w:t>
      </w:r>
      <w:r>
        <w:rPr>
          <w:rFonts w:ascii="Times New Roman" w:cs="Times New Roman" w:eastAsia="Times New Roman" w:hAnsi="Times New Roman"/>
          <w:sz w:val="17"/>
          <w:szCs w:val="17"/>
          <w:i w:val="1"/>
          <w:iCs w:val="1"/>
          <w:color w:val="auto"/>
        </w:rPr>
        <w:t>Improvements to Reportable Segment Disclosures</w:t>
      </w:r>
      <w:r>
        <w:rPr>
          <w:rFonts w:ascii="Times New Roman" w:cs="Times New Roman" w:eastAsia="Times New Roman" w:hAnsi="Times New Roman"/>
          <w:sz w:val="17"/>
          <w:szCs w:val="17"/>
          <w:color w:val="auto"/>
        </w:rPr>
        <w:t xml:space="preserve"> (ASU 2023-07), which requires all public entities, including public entities with a single reportable segment, to provide in interim and annual periods one or more measures of segment profit or loss used by the chief operating decision maker to allocate resources and assess performance. Additionally, the standard requires disclosures of significant segment expenses and other segment items as well as incremental qualitative disclosures. The guidance in this update is effective for fiscal years beginning after December 15, 2023, and interim periods after December 15, 2024. The Company is currently in the process of evaluating the effects of this pronouncement on its related disclosures.</w:t>
      </w:r>
    </w:p>
    <w:p>
      <w:pPr>
        <w:spacing w:after="0" w:line="65" w:lineRule="exact"/>
        <w:rPr>
          <w:sz w:val="20"/>
          <w:szCs w:val="20"/>
          <w:color w:val="auto"/>
        </w:rPr>
      </w:pPr>
    </w:p>
    <w:p>
      <w:pPr>
        <w:ind w:right="120" w:firstLine="629"/>
        <w:spacing w:after="0" w:line="271" w:lineRule="auto"/>
        <w:rPr>
          <w:sz w:val="20"/>
          <w:szCs w:val="20"/>
          <w:color w:val="auto"/>
        </w:rPr>
      </w:pPr>
      <w:r>
        <w:rPr>
          <w:rFonts w:ascii="Times New Roman" w:cs="Times New Roman" w:eastAsia="Times New Roman" w:hAnsi="Times New Roman"/>
          <w:sz w:val="17"/>
          <w:szCs w:val="17"/>
          <w:color w:val="auto"/>
        </w:rPr>
        <w:t xml:space="preserve">In December 2023, the FASB issued Accounting Standard Update No. 2023-09, Income taxes (Topic 740), </w:t>
      </w:r>
      <w:r>
        <w:rPr>
          <w:rFonts w:ascii="Times New Roman" w:cs="Times New Roman" w:eastAsia="Times New Roman" w:hAnsi="Times New Roman"/>
          <w:sz w:val="17"/>
          <w:szCs w:val="17"/>
          <w:i w:val="1"/>
          <w:iCs w:val="1"/>
          <w:color w:val="auto"/>
        </w:rPr>
        <w:t>Improvement to income tax disclosures</w:t>
      </w:r>
      <w:r>
        <w:rPr>
          <w:rFonts w:ascii="Times New Roman" w:cs="Times New Roman" w:eastAsia="Times New Roman" w:hAnsi="Times New Roman"/>
          <w:sz w:val="17"/>
          <w:szCs w:val="17"/>
          <w:color w:val="auto"/>
        </w:rPr>
        <w:t>, which enhances the disclosures required for income taxes in the Company’s annual financial statements. This standard is effective for fiscal years beginning after December 15, 2024, with early adoption permitted. The Company does not plan to adopt this standard early. The adoption of this standard is not expected to have a material impact on the Company’s financial statements.</w:t>
      </w:r>
    </w:p>
    <w:p>
      <w:pPr>
        <w:spacing w:after="0" w:line="270" w:lineRule="exact"/>
        <w:rPr>
          <w:sz w:val="20"/>
          <w:szCs w:val="20"/>
          <w:color w:val="auto"/>
        </w:rPr>
      </w:pPr>
    </w:p>
    <w:p>
      <w:pPr>
        <w:ind w:left="520" w:hanging="515"/>
        <w:spacing w:after="0"/>
        <w:tabs>
          <w:tab w:leader="none" w:pos="5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 measures and reports its cash equivalents, restricted cash, and investments at fair value.</w:t>
      </w:r>
    </w:p>
    <w:p>
      <w:pPr>
        <w:spacing w:after="0" w:line="119" w:lineRule="exact"/>
        <w:rPr>
          <w:sz w:val="20"/>
          <w:szCs w:val="20"/>
          <w:color w:val="auto"/>
        </w:rPr>
      </w:pPr>
    </w:p>
    <w:p>
      <w:pPr>
        <w:jc w:val="both"/>
        <w:ind w:right="100" w:firstLine="629"/>
        <w:spacing w:after="0" w:line="276" w:lineRule="auto"/>
        <w:rPr>
          <w:sz w:val="20"/>
          <w:szCs w:val="20"/>
          <w:color w:val="auto"/>
        </w:rPr>
      </w:pPr>
      <w:r>
        <w:rPr>
          <w:rFonts w:ascii="Times New Roman" w:cs="Times New Roman" w:eastAsia="Times New Roman" w:hAnsi="Times New Roman"/>
          <w:sz w:val="17"/>
          <w:szCs w:val="17"/>
          <w:color w:val="auto"/>
        </w:rPr>
        <w:t>Money market funds are measured at fair value on a recurring basis using quoted prices and are classified as Level 1. Investments are measured at fair value based on inputs other than quoted prices that are derived from observable market data and are classified as Level 2 inputs, except for investments in U.S. treasury securities which are classified as Level 1.</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There were no Level 3 assets or liabilities as of September 30, 2024 and as of December 31, 2023.</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Financial assets subject to fair value measurements on a recurring basis and the level of inputs used in such measurements by major security type as of</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September 30, 2024 and as of December 31, 2023 are presented in the following tables: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67"/>
        </w:trPr>
        <w:tc>
          <w:tcPr>
            <w:tcW w:w="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16"/>
        </w:trPr>
        <w:tc>
          <w:tcPr>
            <w:tcW w:w="6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3"/>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Money market funds (1)</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43,977</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43,977</w:t>
            </w:r>
          </w:p>
        </w:tc>
      </w:tr>
      <w:tr>
        <w:trPr>
          <w:trHeight w:val="223"/>
        </w:trPr>
        <w:tc>
          <w:tcPr>
            <w:tcW w:w="60" w:type="dxa"/>
            <w:vAlign w:val="bottom"/>
            <w:shd w:val="clear" w:color="auto" w:fill="CCEEFF"/>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Commercial paper</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36,840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36,840</w:t>
            </w:r>
          </w:p>
        </w:tc>
      </w:tr>
      <w:tr>
        <w:trPr>
          <w:trHeight w:val="223"/>
        </w:trPr>
        <w:tc>
          <w:tcPr>
            <w:tcW w:w="6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Corporate bonds</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125,587</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125,587</w:t>
            </w:r>
          </w:p>
        </w:tc>
      </w:tr>
      <w:tr>
        <w:trPr>
          <w:trHeight w:val="223"/>
        </w:trPr>
        <w:tc>
          <w:tcPr>
            <w:tcW w:w="60" w:type="dxa"/>
            <w:vAlign w:val="bottom"/>
            <w:shd w:val="clear" w:color="auto" w:fill="CCEEFF"/>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U.S. treasury securities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107,226</w:t>
            </w:r>
          </w:p>
        </w:tc>
      </w:tr>
      <w:tr>
        <w:trPr>
          <w:trHeight w:val="223"/>
        </w:trPr>
        <w:tc>
          <w:tcPr>
            <w:tcW w:w="6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U.S. agency securities</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72,813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72,813</w:t>
            </w:r>
          </w:p>
        </w:tc>
      </w:tr>
      <w:tr>
        <w:trPr>
          <w:trHeight w:val="223"/>
        </w:trPr>
        <w:tc>
          <w:tcPr>
            <w:tcW w:w="60" w:type="dxa"/>
            <w:vAlign w:val="bottom"/>
            <w:shd w:val="clear" w:color="auto" w:fill="CCEEFF"/>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Asset-backed securities</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9,680</w:t>
            </w:r>
          </w:p>
        </w:tc>
      </w:tr>
      <w:tr>
        <w:trPr>
          <w:trHeight w:val="216"/>
        </w:trPr>
        <w:tc>
          <w:tcPr>
            <w:tcW w:w="60" w:type="dxa"/>
            <w:vAlign w:val="bottom"/>
          </w:tcPr>
          <w:p>
            <w:pPr>
              <w:spacing w:after="0"/>
              <w:rPr>
                <w:sz w:val="18"/>
                <w:szCs w:val="18"/>
                <w:color w:val="auto"/>
              </w:rPr>
            </w:pPr>
          </w:p>
        </w:tc>
        <w:tc>
          <w:tcPr>
            <w:tcW w:w="56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Total financial assets</w:t>
            </w: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151,203</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244,920</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3"/>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396,123</w:t>
            </w:r>
          </w:p>
        </w:tc>
      </w:tr>
      <w:tr>
        <w:trPr>
          <w:trHeight w:val="20"/>
        </w:trPr>
        <w:tc>
          <w:tcPr>
            <w:tcW w:w="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69"/>
        </w:trPr>
        <w:tc>
          <w:tcPr>
            <w:tcW w:w="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216"/>
        </w:trPr>
        <w:tc>
          <w:tcPr>
            <w:tcW w:w="6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3"/>
        </w:trPr>
        <w:tc>
          <w:tcPr>
            <w:tcW w:w="6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Financial Assets: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3"/>
        </w:trPr>
        <w:tc>
          <w:tcPr>
            <w:tcW w:w="60" w:type="dxa"/>
            <w:vAlign w:val="bottom"/>
          </w:tcPr>
          <w:p>
            <w:pPr>
              <w:spacing w:after="0"/>
              <w:rPr>
                <w:sz w:val="19"/>
                <w:szCs w:val="19"/>
                <w:color w:val="auto"/>
              </w:rPr>
            </w:pPr>
          </w:p>
        </w:tc>
        <w:tc>
          <w:tcPr>
            <w:tcW w:w="56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Money market funds (1)</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78,536</w:t>
            </w:r>
          </w:p>
        </w:tc>
        <w:tc>
          <w:tcPr>
            <w:tcW w:w="10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w w:val="93"/>
              </w:rPr>
              <w:t>$</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78,536</w:t>
            </w:r>
          </w:p>
        </w:tc>
      </w:tr>
      <w:tr>
        <w:trPr>
          <w:trHeight w:val="223"/>
        </w:trPr>
        <w:tc>
          <w:tcPr>
            <w:tcW w:w="60" w:type="dxa"/>
            <w:vAlign w:val="bottom"/>
          </w:tcPr>
          <w:p>
            <w:pPr>
              <w:spacing w:after="0"/>
              <w:rPr>
                <w:sz w:val="19"/>
                <w:szCs w:val="19"/>
                <w:color w:val="auto"/>
              </w:rPr>
            </w:pPr>
          </w:p>
        </w:tc>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Corporate bonds</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97,166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97,166</w:t>
            </w:r>
          </w:p>
        </w:tc>
      </w:tr>
      <w:tr>
        <w:trPr>
          <w:trHeight w:val="223"/>
        </w:trPr>
        <w:tc>
          <w:tcPr>
            <w:tcW w:w="60" w:type="dxa"/>
            <w:vAlign w:val="bottom"/>
          </w:tcPr>
          <w:p>
            <w:pPr>
              <w:spacing w:after="0"/>
              <w:rPr>
                <w:sz w:val="19"/>
                <w:szCs w:val="19"/>
                <w:color w:val="auto"/>
              </w:rPr>
            </w:pPr>
          </w:p>
        </w:tc>
        <w:tc>
          <w:tcPr>
            <w:tcW w:w="56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U.S. treasury securities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229,516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spacing w:after="0"/>
              <w:rPr>
                <w:sz w:val="19"/>
                <w:szCs w:val="19"/>
                <w:color w:val="auto"/>
              </w:rPr>
            </w:pP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229,516</w:t>
            </w:r>
          </w:p>
        </w:tc>
      </w:tr>
      <w:tr>
        <w:trPr>
          <w:trHeight w:val="223"/>
        </w:trPr>
        <w:tc>
          <w:tcPr>
            <w:tcW w:w="60" w:type="dxa"/>
            <w:vAlign w:val="bottom"/>
          </w:tcPr>
          <w:p>
            <w:pPr>
              <w:spacing w:after="0"/>
              <w:rPr>
                <w:sz w:val="19"/>
                <w:szCs w:val="19"/>
                <w:color w:val="auto"/>
              </w:rPr>
            </w:pPr>
          </w:p>
        </w:tc>
        <w:tc>
          <w:tcPr>
            <w:tcW w:w="5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U.S. agency securities</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38,860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38,860</w:t>
            </w:r>
          </w:p>
        </w:tc>
      </w:tr>
      <w:tr>
        <w:trPr>
          <w:trHeight w:val="216"/>
        </w:trPr>
        <w:tc>
          <w:tcPr>
            <w:tcW w:w="60" w:type="dxa"/>
            <w:vAlign w:val="bottom"/>
          </w:tcPr>
          <w:p>
            <w:pPr>
              <w:spacing w:after="0"/>
              <w:rPr>
                <w:sz w:val="18"/>
                <w:szCs w:val="18"/>
                <w:color w:val="auto"/>
              </w:rPr>
            </w:pPr>
          </w:p>
        </w:tc>
        <w:tc>
          <w:tcPr>
            <w:tcW w:w="56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financial assets</w:t>
            </w:r>
          </w:p>
        </w:tc>
        <w:tc>
          <w:tcPr>
            <w:tcW w:w="24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308,052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136,026</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13"/>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444,078</w:t>
            </w:r>
          </w:p>
        </w:tc>
      </w:tr>
      <w:tr>
        <w:trPr>
          <w:trHeight w:val="20"/>
        </w:trPr>
        <w:tc>
          <w:tcPr>
            <w:tcW w:w="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620" w:hanging="615"/>
        <w:spacing w:after="0"/>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Included within cash and cash equivalents on the Company’s condensed consolidated balance sheets.</w:t>
      </w:r>
    </w:p>
    <w:p>
      <w:pPr>
        <w:spacing w:after="0" w:line="326" w:lineRule="exact"/>
        <w:rPr>
          <w:sz w:val="20"/>
          <w:szCs w:val="20"/>
          <w:color w:val="auto"/>
        </w:rPr>
      </w:pPr>
    </w:p>
    <w:p>
      <w:pPr>
        <w:ind w:left="520" w:hanging="515"/>
        <w:spacing w:after="0"/>
        <w:tabs>
          <w:tab w:leader="none" w:pos="5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Financial Instruments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fair value and amortized cost of cash equivalents and available-for-sale securities by major security type as of September 30, 2024 and as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2023 are presented in the following tables: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5"/>
        </w:trPr>
        <w:tc>
          <w:tcPr>
            <w:tcW w:w="55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0"/>
        </w:trPr>
        <w:tc>
          <w:tcPr>
            <w:tcW w:w="40" w:type="dxa"/>
            <w:vAlign w:val="bottom"/>
            <w:tcBorders>
              <w:top w:val="single" w:sz="8" w:color="0000FF"/>
            </w:tcBorders>
          </w:tcPr>
          <w:p>
            <w:pPr>
              <w:spacing w:after="0"/>
              <w:rPr>
                <w:sz w:val="24"/>
                <w:szCs w:val="24"/>
                <w:color w:val="auto"/>
              </w:rPr>
            </w:pPr>
          </w:p>
        </w:tc>
        <w:tc>
          <w:tcPr>
            <w:tcW w:w="1200" w:type="dxa"/>
            <w:vAlign w:val="bottom"/>
            <w:tcBorders>
              <w:top w:val="single" w:sz="8" w:color="0000FF"/>
            </w:tcBorders>
          </w:tcPr>
          <w:p>
            <w:pPr>
              <w:spacing w:after="0"/>
              <w:rPr>
                <w:sz w:val="24"/>
                <w:szCs w:val="24"/>
                <w:color w:val="auto"/>
              </w:rPr>
            </w:pPr>
          </w:p>
        </w:tc>
        <w:tc>
          <w:tcPr>
            <w:tcW w:w="4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center"/>
              <w:ind w:left="53"/>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14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Unrealized Gains</w:t>
            </w:r>
          </w:p>
        </w:tc>
        <w:tc>
          <w:tcPr>
            <w:tcW w:w="14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7"/>
                <w:szCs w:val="17"/>
                <w:b w:val="1"/>
                <w:bCs w:val="1"/>
                <w:color w:val="auto"/>
              </w:rPr>
              <w:t>Unrealized Losses</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5"/>
          </w:tcPr>
          <w:p>
            <w:pPr>
              <w:jc w:val="center"/>
              <w:ind w:left="33"/>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Money market funds</w:t>
            </w:r>
          </w:p>
        </w:tc>
        <w:tc>
          <w:tcPr>
            <w:tcW w:w="40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43,977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5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Commercial paper</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Corporate bonds</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5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U.S. treasury securities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107,072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U.S. agency securities</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72,813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5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Asset-backed securities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5540" w:type="dxa"/>
            <w:vAlign w:val="bottom"/>
            <w:tcBorders>
              <w:top w:val="single" w:sz="8" w:color="CCEEFF"/>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cash equivalents and investments</w:t>
            </w:r>
          </w:p>
        </w:tc>
        <w:tc>
          <w:tcPr>
            <w:tcW w:w="400" w:type="dxa"/>
            <w:vAlign w:val="bottom"/>
            <w:tcBorders>
              <w:top w:val="single" w:sz="8" w:color="auto"/>
              <w:bottom w:val="single" w:sz="8" w:color="auto"/>
            </w:tcBorders>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395,524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396,123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Classified as:</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540" w:type="dxa"/>
            <w:vAlign w:val="bottom"/>
            <w:gridSpan w:val="2"/>
          </w:tcPr>
          <w:p>
            <w:pPr>
              <w:ind w:left="420"/>
              <w:spacing w:after="0"/>
              <w:rPr>
                <w:sz w:val="20"/>
                <w:szCs w:val="20"/>
                <w:color w:val="auto"/>
              </w:rPr>
            </w:pPr>
            <w:r>
              <w:rPr>
                <w:rFonts w:ascii="Times New Roman" w:cs="Times New Roman" w:eastAsia="Times New Roman" w:hAnsi="Times New Roman"/>
                <w:sz w:val="17"/>
                <w:szCs w:val="17"/>
                <w:color w:val="auto"/>
              </w:rPr>
              <w:t>Cash equivalents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Short-term investments</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240,325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CCEEFF"/>
            </w:tcBorders>
          </w:tcPr>
          <w:p>
            <w:pPr>
              <w:spacing w:after="0"/>
              <w:rPr>
                <w:sz w:val="19"/>
                <w:szCs w:val="19"/>
                <w:color w:val="auto"/>
              </w:rPr>
            </w:pPr>
          </w:p>
        </w:tc>
        <w:tc>
          <w:tcPr>
            <w:tcW w:w="554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7"/>
                <w:szCs w:val="17"/>
                <w:color w:val="auto"/>
              </w:rPr>
              <w:t>Long-term investments</w:t>
            </w: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111,821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5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cash equivalents and investments</w:t>
            </w: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396,123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gridSpan w:val="5"/>
            <w:vMerge w:val="restart"/>
          </w:tcPr>
          <w:p>
            <w:pPr>
              <w:jc w:val="center"/>
              <w:ind w:left="93"/>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vMerge w:val="continue"/>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b w:val="1"/>
                <w:bCs w:val="1"/>
                <w:color w:val="auto"/>
              </w:rPr>
              <w:t>Unrealized Gains</w:t>
            </w:r>
          </w:p>
        </w:tc>
        <w:tc>
          <w:tcPr>
            <w:tcW w:w="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b w:val="1"/>
                <w:bCs w:val="1"/>
                <w:color w:val="auto"/>
              </w:rPr>
              <w:t>Unrealized Losses</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80" w:type="dxa"/>
            <w:vAlign w:val="bottom"/>
            <w:gridSpan w:val="5"/>
          </w:tcPr>
          <w:p>
            <w:pPr>
              <w:jc w:val="center"/>
              <w:ind w:left="73"/>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Money market funds</w:t>
            </w:r>
          </w:p>
        </w:tc>
        <w:tc>
          <w:tcPr>
            <w:tcW w:w="400" w:type="dxa"/>
            <w:vAlign w:val="bottom"/>
            <w:gridSpan w:val="2"/>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78,536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5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Corporate bonds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U.S. treasury securities</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229,563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229,516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54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U.S. agency securities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554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cash equivalents and investments</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444,589</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444,078</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4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Classified as:</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54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Cash equivalents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Short-term investments</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365,542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54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7"/>
                <w:szCs w:val="17"/>
                <w:color w:val="auto"/>
              </w:rPr>
              <w:t>Long-term investments</w:t>
            </w: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5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cash equivalents and investments</w:t>
            </w: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444,078</w:t>
            </w:r>
          </w:p>
        </w:tc>
        <w:tc>
          <w:tcPr>
            <w:tcW w:w="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right="40" w:firstLine="629"/>
        <w:spacing w:after="0" w:line="262" w:lineRule="auto"/>
        <w:rPr>
          <w:sz w:val="20"/>
          <w:szCs w:val="20"/>
          <w:color w:val="auto"/>
        </w:rPr>
      </w:pPr>
      <w:r>
        <w:rPr>
          <w:rFonts w:ascii="Times New Roman" w:cs="Times New Roman" w:eastAsia="Times New Roman" w:hAnsi="Times New Roman"/>
          <w:sz w:val="17"/>
          <w:szCs w:val="17"/>
          <w:color w:val="auto"/>
        </w:rPr>
        <w:t>As of September 30, 2024, the remaining contractual maturities of available-for-sale securities were less than 3 years. There were no significant realized losses on available-for-sale securities for the three and nine months ended September 30, 2024. Realized losses on available-for-sale securities for the three and nine months ended September 30, 2023 were zero and $1.0 million, respectively. As of September 30, 2024, unrealized losses on available-for-sale securities are not attributed to credit risk. The Company believes that it is more likely than not that investments in an unrealized loss position will be held until maturity and all interest and principal will be received. The Company believes that an allowance for credit losses is unnecessary because the unrealized losses on certain of the Company’s available-for-sale securities are due to market factors. As of September 30, 2024 and December 31, 2023, securities with a fair value of zero and $48.4 million, respectively, were in a continuous net unrealized loss position for more than 12 months. To date, the Company has not recorded any impairment charges on available-for-sale securities.</w:t>
      </w:r>
    </w:p>
    <w:p>
      <w:pPr>
        <w:spacing w:after="0" w:line="74" w:lineRule="exact"/>
        <w:rPr>
          <w:sz w:val="20"/>
          <w:szCs w:val="20"/>
          <w:color w:val="auto"/>
        </w:rPr>
      </w:pPr>
    </w:p>
    <w:p>
      <w:pPr>
        <w:ind w:right="80" w:firstLine="629"/>
        <w:spacing w:after="0" w:line="296" w:lineRule="auto"/>
        <w:rPr>
          <w:sz w:val="20"/>
          <w:szCs w:val="20"/>
          <w:color w:val="auto"/>
        </w:rPr>
      </w:pPr>
      <w:r>
        <w:rPr>
          <w:rFonts w:ascii="Times New Roman" w:cs="Times New Roman" w:eastAsia="Times New Roman" w:hAnsi="Times New Roman"/>
          <w:sz w:val="17"/>
          <w:szCs w:val="17"/>
          <w:color w:val="auto"/>
        </w:rPr>
        <w:t>As of September 30, 2024 and December 31, 2023, the Company recognized $2.8 million and $1.7 million, respectively, of accrued interest receivable from available-for-sale securities within prepaid expenses and other current assets on the condensed consolidated balance sheets.</w:t>
      </w:r>
    </w:p>
    <w:p>
      <w:pPr>
        <w:spacing w:after="0" w:line="249" w:lineRule="exact"/>
        <w:rPr>
          <w:sz w:val="20"/>
          <w:szCs w:val="20"/>
          <w:color w:val="auto"/>
        </w:rPr>
      </w:pPr>
    </w:p>
    <w:p>
      <w:pPr>
        <w:ind w:left="520" w:hanging="515"/>
        <w:spacing w:after="0"/>
        <w:tabs>
          <w:tab w:leader="none" w:pos="52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5"/>
        </w:trPr>
        <w:tc>
          <w:tcPr>
            <w:tcW w:w="79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1240" w:type="dxa"/>
            <w:vAlign w:val="bottom"/>
            <w:shd w:val="clear" w:color="auto" w:fill="0000FF"/>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870"/>
        </w:trPr>
        <w:tc>
          <w:tcPr>
            <w:tcW w:w="7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Property and Equipment consist of the following:</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97"/>
        </w:trPr>
        <w:tc>
          <w:tcPr>
            <w:tcW w:w="124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80" w:type="dxa"/>
            <w:vAlign w:val="bottom"/>
          </w:tcPr>
          <w:p>
            <w:pPr>
              <w:spacing w:after="0"/>
              <w:rPr>
                <w:sz w:val="17"/>
                <w:szCs w:val="17"/>
                <w:color w:val="auto"/>
              </w:rPr>
            </w:pPr>
          </w:p>
        </w:tc>
        <w:tc>
          <w:tcPr>
            <w:tcW w:w="138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3"/>
        </w:trPr>
        <w:tc>
          <w:tcPr>
            <w:tcW w:w="124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9"/>
        </w:trPr>
        <w:tc>
          <w:tcPr>
            <w:tcW w:w="124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60" w:type="dxa"/>
            <w:vAlign w:val="bottom"/>
            <w:gridSpan w:val="4"/>
          </w:tcPr>
          <w:p>
            <w:pPr>
              <w:jc w:val="right"/>
              <w:ind w:right="993"/>
              <w:spacing w:after="0"/>
              <w:rPr>
                <w:sz w:val="20"/>
                <w:szCs w:val="20"/>
                <w:color w:val="auto"/>
              </w:rPr>
            </w:pPr>
            <w:r>
              <w:rPr>
                <w:rFonts w:ascii="Times New Roman" w:cs="Times New Roman" w:eastAsia="Times New Roman" w:hAnsi="Times New Roman"/>
                <w:sz w:val="17"/>
                <w:szCs w:val="17"/>
                <w:b w:val="1"/>
                <w:bCs w:val="1"/>
                <w:color w:val="auto"/>
              </w:rPr>
              <w:t>(In thousands)</w:t>
            </w:r>
          </w:p>
        </w:tc>
      </w:tr>
      <w:tr>
        <w:trPr>
          <w:trHeight w:val="22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108,621</w:t>
            </w:r>
          </w:p>
        </w:tc>
      </w:tr>
      <w:tr>
        <w:trPr>
          <w:trHeight w:val="223"/>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Laboratory equipment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33,157</w:t>
            </w:r>
          </w:p>
        </w:tc>
      </w:tr>
      <w:tr>
        <w:trPr>
          <w:trHeight w:val="223"/>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 and purchased software</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4,663</w:t>
            </w:r>
          </w:p>
        </w:tc>
      </w:tr>
      <w:tr>
        <w:trPr>
          <w:trHeight w:val="223"/>
        </w:trPr>
        <w:tc>
          <w:tcPr>
            <w:tcW w:w="7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4,171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4,121</w:t>
            </w:r>
          </w:p>
        </w:tc>
      </w:tr>
      <w:tr>
        <w:trPr>
          <w:trHeight w:val="216"/>
        </w:trPr>
        <w:tc>
          <w:tcPr>
            <w:tcW w:w="79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150,562</w:t>
            </w:r>
          </w:p>
        </w:tc>
      </w:tr>
      <w:tr>
        <w:trPr>
          <w:trHeight w:val="223"/>
        </w:trPr>
        <w:tc>
          <w:tcPr>
            <w:tcW w:w="7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(59,568)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(51,084)</w:t>
            </w:r>
          </w:p>
        </w:tc>
      </w:tr>
      <w:tr>
        <w:trPr>
          <w:trHeight w:val="241"/>
        </w:trPr>
        <w:tc>
          <w:tcPr>
            <w:tcW w:w="79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88,989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99,478</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right="60" w:firstLine="629"/>
        <w:spacing w:after="0" w:line="261" w:lineRule="auto"/>
        <w:rPr>
          <w:sz w:val="20"/>
          <w:szCs w:val="20"/>
          <w:color w:val="auto"/>
        </w:rPr>
      </w:pPr>
      <w:r>
        <w:rPr>
          <w:rFonts w:ascii="Times New Roman" w:cs="Times New Roman" w:eastAsia="Times New Roman" w:hAnsi="Times New Roman"/>
          <w:sz w:val="17"/>
          <w:szCs w:val="17"/>
          <w:color w:val="auto"/>
        </w:rPr>
        <w:t>The Company reviews for indicators of impairment on a quarterly basis which includes the change in how its property is being used. In June 2024, the Company made a decision to sublease one of its leased buildings in South San Francisco. The Company vacated and ceased occupancy of this building in June 2024 and currently the Company is actively marketing the leased building for sublease. The Company determined that the change in how this building is being used was an indicator of impairment. The Company identified this to-be-sublet property as a separate asset group. The Company concluded that the carrying value of this to-be-sublet property asset group was not recoverable and the estimated fair value of this asset group was below its carrying value. The decrease in the fair value of this asset group was mainly due to the lower estimated sublease income based on current commercial rental market conditions compared to the lease payments in accordance with the initial operating lease agreement. The Company applied a discounted cash flow method to estimate fair value of its right-of-use asset and leasehold improvements. Based on this analysis, the Company concluded the fair value of the right-of-use asset and leasehold improvements of $2.5 million was lower than its net book value of $7.5 million. The Company recognized a long-lived asset impairment charge of $5.0 million on the right-of-use asset and leasehold improvements in June 30, 2024.</w:t>
      </w:r>
    </w:p>
    <w:p>
      <w:pPr>
        <w:spacing w:after="0" w:line="75"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In September 2024, the Company identified an additional indicator that the carrying value of this to-be-sublet property asset group was not recoverable. The expected sublease rental income of $4.0 million as of June 30, 2024 had decreased to $1.9 million as of September 30, 2024. In addition, the risk-adjusted annual discount rate of 9.0% as of June 30, 2024 had increased to 9.5% as of September 30, 2024. The Company updated its discounted cash flow analysis to estimate fair value of its right-of-use asset and leasehold improvements. Based on this analysis, the Company concluded the fair value of the right-of-use asset and leasehold improvements of $1.2 million was lower than its net book value of $2.4 million. The Company recognized an additional long-lived asset impairment charge of $1.2 million on the right-of-use asset and leasehold improvements for the three months ended September 30, 2024 and recognized in aggregate long-lived asset impairment charges of $6.2 million on the right-of-use asset and leasehold improvements for the nine months ended September 30, 2024.</w:t>
      </w:r>
    </w:p>
    <w:p>
      <w:pPr>
        <w:spacing w:after="0" w:line="282" w:lineRule="exact"/>
        <w:rPr>
          <w:sz w:val="20"/>
          <w:szCs w:val="20"/>
          <w:color w:val="auto"/>
        </w:rPr>
      </w:pPr>
    </w:p>
    <w:p>
      <w:pPr>
        <w:ind w:right="40" w:firstLine="629"/>
        <w:spacing w:after="0" w:line="262" w:lineRule="auto"/>
        <w:rPr>
          <w:sz w:val="20"/>
          <w:szCs w:val="20"/>
          <w:color w:val="auto"/>
        </w:rPr>
      </w:pPr>
      <w:r>
        <w:rPr>
          <w:rFonts w:ascii="Times New Roman" w:cs="Times New Roman" w:eastAsia="Times New Roman" w:hAnsi="Times New Roman"/>
          <w:sz w:val="17"/>
          <w:szCs w:val="17"/>
          <w:color w:val="auto"/>
        </w:rPr>
        <w:t>Previously, in December 2023, the Company made a decision to sublease one of its other leased buildings in South San Francisco. The Company had vacated and ceased occupancy of this building in December 2023 and the Company is currently actively marketing the leased building for sublease. During the year ended December 31, 2023, the Company recognized long-lived asset impairment charge of $13.2 million on the right-of-use asset by applying a discounted cash flow method to estimate fair value of its right-of-use asset. The key inputs to this valuation were expected sublease rental income of $22.7 million through March 31, 2032 and annual discount rate of 9.0%. In September 30, 2024, the Company revised its valuation based on a non-binding letter of intent with a subtenant for a portion of the building and new market data. The expected sublease rental income based on the revised valuation was $4.7 million through March 31, 2032 and the annual discount rate did not change. The Company concluded the fair value of the right-of-use asset of $3.1 million was lower than its book value of $12.6 million and recognized an additional long-lived asset impairment charge of $9.5 million on the right-of-use asset for the three and nine months ended September 30, 2024.</w:t>
      </w:r>
    </w:p>
    <w:p>
      <w:pPr>
        <w:spacing w:after="0" w:line="284"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The determination of the fair values of the Company’s asset groups related to the to-be-sublet properties that are currently being marketed for sublease purposes represent Level 3 nonrecurring fair value measurements. Calculating the fair value of these assets involve significant estimates and assumptions. These estimates and assumptions include, among other things, expected sublease rental income and risk-adjusted annual discount rate. Changes in the factors and assumptions used could materially affect the amount of impairment loss recognized in the period an asset was considered impaired.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Accrued and Other Current Liabilities</w:t>
      </w:r>
    </w:p>
    <w:p>
      <w:pPr>
        <w:spacing w:after="0" w:line="110" w:lineRule="exact"/>
        <w:rPr>
          <w:sz w:val="20"/>
          <w:szCs w:val="20"/>
          <w:color w:val="auto"/>
        </w:rPr>
      </w:pPr>
    </w:p>
    <w:p>
      <w:pPr>
        <w:ind w:right="180" w:firstLine="629"/>
        <w:spacing w:after="0" w:line="276" w:lineRule="auto"/>
        <w:rPr>
          <w:sz w:val="20"/>
          <w:szCs w:val="20"/>
          <w:color w:val="auto"/>
        </w:rPr>
      </w:pPr>
      <w:r>
        <w:rPr>
          <w:rFonts w:ascii="Times New Roman" w:cs="Times New Roman" w:eastAsia="Times New Roman" w:hAnsi="Times New Roman"/>
          <w:sz w:val="17"/>
          <w:szCs w:val="17"/>
          <w:color w:val="auto"/>
        </w:rPr>
        <w:t>On January 4, 2024, the Company’s Board of Directors approved a reduction in the Company’s workforce of approximately 22% of the Company’s employees in connection with the Company’s pipeline prioritization and clinical development strategy. The reduction in workforce was completed by June 30, 2024. During the nine months ended September 30, 2024, the Company paid approximately $2.9 million for severance and other employee benefits. As of</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20"/>
        <w:spacing w:after="0" w:line="296" w:lineRule="auto"/>
        <w:rPr>
          <w:sz w:val="20"/>
          <w:szCs w:val="20"/>
          <w:color w:val="auto"/>
        </w:rPr>
      </w:pPr>
      <w:r>
        <w:rPr>
          <w:rFonts w:ascii="Times New Roman" w:cs="Times New Roman" w:eastAsia="Times New Roman" w:hAnsi="Times New Roman"/>
          <w:sz w:val="17"/>
          <w:szCs w:val="17"/>
          <w:color w:val="auto"/>
        </w:rPr>
        <w:t>September 30, 2024, $0.2 million of the severance and other employee benefits accrual was included in accrued and other current liabilities on the condensed consolidated balance sheet.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CIRM Award</w:t>
      </w:r>
    </w:p>
    <w:p>
      <w:pPr>
        <w:spacing w:after="0" w:line="110" w:lineRule="exact"/>
        <w:rPr>
          <w:sz w:val="20"/>
          <w:szCs w:val="20"/>
          <w:color w:val="auto"/>
        </w:rPr>
      </w:pPr>
    </w:p>
    <w:p>
      <w:pPr>
        <w:ind w:right="260" w:firstLine="629"/>
        <w:spacing w:after="0" w:line="233" w:lineRule="auto"/>
        <w:rPr>
          <w:sz w:val="20"/>
          <w:szCs w:val="20"/>
          <w:color w:val="auto"/>
        </w:rPr>
      </w:pPr>
      <w:r>
        <w:rPr>
          <w:rFonts w:ascii="Times New Roman" w:cs="Times New Roman" w:eastAsia="Times New Roman" w:hAnsi="Times New Roman"/>
          <w:sz w:val="17"/>
          <w:szCs w:val="17"/>
          <w:color w:val="auto"/>
        </w:rPr>
        <w:t>On April 26, 2024, the Company was awarded up to $15.0 million from CIRM to support the clinical development of ALLO-316, an AlloCAR T</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investigational product targeting CD70 in development for the treatment of advanced or metastatic renal cell carcinoma (RCC).</w:t>
      </w:r>
    </w:p>
    <w:p>
      <w:pPr>
        <w:spacing w:after="0" w:line="89" w:lineRule="exact"/>
        <w:rPr>
          <w:sz w:val="20"/>
          <w:szCs w:val="20"/>
          <w:color w:val="auto"/>
        </w:rPr>
      </w:pPr>
    </w:p>
    <w:p>
      <w:pPr>
        <w:ind w:right="40" w:firstLine="629"/>
        <w:spacing w:after="0" w:line="265" w:lineRule="auto"/>
        <w:rPr>
          <w:sz w:val="20"/>
          <w:szCs w:val="20"/>
          <w:color w:val="auto"/>
        </w:rPr>
      </w:pPr>
      <w:r>
        <w:rPr>
          <w:rFonts w:ascii="Times New Roman" w:cs="Times New Roman" w:eastAsia="Times New Roman" w:hAnsi="Times New Roman"/>
          <w:sz w:val="17"/>
          <w:szCs w:val="17"/>
          <w:color w:val="auto"/>
        </w:rPr>
        <w:t>Pursuant to terms of the award, the disbursements are tied to the achievement of specified operational milestones. In addition, the terms of the award include a co-funding requirement pursuant to which the Company is required to spend up to approximately $25.9 million of its own capital to fund the CIRM funded research project. The award was made in accordance with the CIRM Grants Administration Policy for Clinical Stage Projects which may require the award to be repaid by the Company. Under the terms of the CIRM award, the Company is obligated to pay royalties based on a low single digit royalty percentage on net sales of CIRM-funded product candidate. The maximum royalty that the Company may be required to pay to CIRM is equal to nine times the total amount awarded and paid to the Company.</w:t>
      </w:r>
    </w:p>
    <w:p>
      <w:pPr>
        <w:spacing w:after="0" w:line="67" w:lineRule="exact"/>
        <w:rPr>
          <w:sz w:val="20"/>
          <w:szCs w:val="20"/>
          <w:color w:val="auto"/>
        </w:rPr>
      </w:pPr>
    </w:p>
    <w:p>
      <w:pPr>
        <w:ind w:right="120" w:firstLine="629"/>
        <w:spacing w:after="0" w:line="270" w:lineRule="auto"/>
        <w:rPr>
          <w:sz w:val="20"/>
          <w:szCs w:val="20"/>
          <w:color w:val="auto"/>
        </w:rPr>
      </w:pPr>
      <w:r>
        <w:rPr>
          <w:rFonts w:ascii="Times New Roman" w:cs="Times New Roman" w:eastAsia="Times New Roman" w:hAnsi="Times New Roman"/>
          <w:sz w:val="17"/>
          <w:szCs w:val="17"/>
          <w:color w:val="auto"/>
        </w:rPr>
        <w:t>After completing the CIRM funded research project and at any time after the award period end date (but no later than the ten-year anniversary of the date of the award), the Company has the right, upon its election, to convert the award into a loan. The terms of conversion into a loan will be determined based on various factors and could result in 80% to 100% plus interest at 10% per annum plus the Secured Overnight Financing Rate of the total award dependent upon the phase of clinical development of the product candidate at the time of the Company's election to be repaid to CIRM.</w:t>
      </w:r>
    </w:p>
    <w:p>
      <w:pPr>
        <w:spacing w:after="0" w:line="63" w:lineRule="exact"/>
        <w:rPr>
          <w:sz w:val="20"/>
          <w:szCs w:val="20"/>
          <w:color w:val="auto"/>
        </w:rPr>
      </w:pPr>
    </w:p>
    <w:p>
      <w:pPr>
        <w:ind w:right="80" w:firstLine="629"/>
        <w:spacing w:after="0" w:line="296" w:lineRule="auto"/>
        <w:rPr>
          <w:sz w:val="20"/>
          <w:szCs w:val="20"/>
          <w:color w:val="auto"/>
        </w:rPr>
      </w:pPr>
      <w:r>
        <w:rPr>
          <w:rFonts w:ascii="Times New Roman" w:cs="Times New Roman" w:eastAsia="Times New Roman" w:hAnsi="Times New Roman"/>
          <w:sz w:val="17"/>
          <w:szCs w:val="17"/>
          <w:color w:val="auto"/>
        </w:rPr>
        <w:t>No income associated with the CIRM award will be recognized until it is confirmed with CIRM that the award does not require repayment. Upon cash receipt, the CIRM award and accrued interest will be recognized as other long-term liabilities on the Company’s balance sheet.</w:t>
      </w:r>
    </w:p>
    <w:p>
      <w:pPr>
        <w:spacing w:after="0" w:line="42" w:lineRule="exact"/>
        <w:rPr>
          <w:sz w:val="20"/>
          <w:szCs w:val="20"/>
          <w:color w:val="auto"/>
        </w:rPr>
      </w:pPr>
    </w:p>
    <w:p>
      <w:pPr>
        <w:ind w:right="40" w:firstLine="629"/>
        <w:spacing w:after="0" w:line="276" w:lineRule="auto"/>
        <w:rPr>
          <w:sz w:val="20"/>
          <w:szCs w:val="20"/>
          <w:color w:val="auto"/>
        </w:rPr>
      </w:pPr>
      <w:r>
        <w:rPr>
          <w:rFonts w:ascii="Times New Roman" w:cs="Times New Roman" w:eastAsia="Times New Roman" w:hAnsi="Times New Roman"/>
          <w:sz w:val="17"/>
          <w:szCs w:val="17"/>
          <w:color w:val="auto"/>
        </w:rPr>
        <w:t>The Company received $2.3 million from CIRM through September 30, 2024 and accounted for the proceeds as a liability within other long-term liabilities on the condensed consolidated balance sheet. During the three and nine months ended September 30, 2024, the Company recorded interest expense of $0.1 million. As of September 30, 2024, $0.1 million of accrued interest was included in other long-term liabilities.</w:t>
      </w:r>
    </w:p>
    <w:p>
      <w:pPr>
        <w:spacing w:after="0" w:line="267" w:lineRule="exact"/>
        <w:rPr>
          <w:sz w:val="20"/>
          <w:szCs w:val="20"/>
          <w:color w:val="auto"/>
        </w:rPr>
      </w:pPr>
    </w:p>
    <w:p>
      <w:pPr>
        <w:ind w:left="520" w:hanging="515"/>
        <w:spacing w:after="0"/>
        <w:tabs>
          <w:tab w:leader="none" w:pos="52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License and Collaboration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 Contribution Agreement with Pfizer</w:t>
      </w:r>
    </w:p>
    <w:p>
      <w:pPr>
        <w:spacing w:after="0" w:line="123"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In April 2018, the Company entered into an Asset Contribution Agreement (the Pfizer Agreement) with Pfizer pursuant to which the Company acquired certain assets, including certain contracts and intellectual property for the development and administration of chimeric antigen receptor (CAR) T cells for the treatment of cancer. The Company is required to make milestone payments upon successful completion of regulatory and sales milestones on a target-by-target basis for the targets, including CD19 and B-cell maturation antigen (BCMA), covered by the Pfizer Agreement. The aggregate potential milestone payments upon successful completion of various regulatory milestones in the United States and the European Union are $30.0 million or $60.0 million, depending on the target, with aggregate potential regulatory and development milestones of up to $840.0 million. The aggregate potential milestone payments upon reaching certain annual net sales thresholds in North America, Europe, Asia, Australia and Oceania (the Territory) for a certain number of targets covered by the Pfizer Agreement are $325.0 million per target. The sales milestones in the foregoing sentence are payable on a country-by-country basis until the last to expire of any Pfizer Royalty Term, as described below, for any product in such country in the Territory. In October 2019, the Territory was expanded to all countries in the world. No milestone or royalty payments were made in the three and nine months ended September 30, 2024 or 2023.</w:t>
      </w:r>
    </w:p>
    <w:p>
      <w:pPr>
        <w:spacing w:after="0" w:line="75"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Pfizer is also eligible to receive, on a product-by-product and country-by-country basis, royalties in single-digit percentages on annual net sales for products covered by the Pfizer Agreement. The Company’s royalty obligation with respect to a given product in a given country begins upon the first sale of such product in such country and ends on the later of (i) expiration of the last claim of any applicable patent or (ii) 12 years from the first sale of such product in such country.</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Collaboration and License Agreement with Cellectis</w:t>
      </w:r>
    </w:p>
    <w:p>
      <w:pPr>
        <w:spacing w:after="0" w:line="123" w:lineRule="exact"/>
        <w:rPr>
          <w:sz w:val="20"/>
          <w:szCs w:val="20"/>
          <w:color w:val="auto"/>
        </w:rPr>
      </w:pPr>
    </w:p>
    <w:p>
      <w:pPr>
        <w:jc w:val="both"/>
        <w:ind w:right="40" w:firstLine="629"/>
        <w:spacing w:after="0" w:line="270" w:lineRule="auto"/>
        <w:rPr>
          <w:sz w:val="20"/>
          <w:szCs w:val="20"/>
          <w:color w:val="auto"/>
        </w:rPr>
      </w:pPr>
      <w:r>
        <w:rPr>
          <w:rFonts w:ascii="Times New Roman" w:cs="Times New Roman" w:eastAsia="Times New Roman" w:hAnsi="Times New Roman"/>
          <w:sz w:val="17"/>
          <w:szCs w:val="17"/>
          <w:color w:val="auto"/>
        </w:rPr>
        <w:t>As part of the Pfizer Agreement, Pfizer assigned to the Company a Research Collaboration and License Agreement (the Original Cellectis Agreement) with Cellectis S.A. (Cellectis). On March 8, 2019, the Company entered into a License Agreement (the Cellectis Agreement) with Cellectis. In connection with the execution of the Cellectis Agreement, on March 8, 2019, the Company and Cellectis also entered into a letter agreement (the Letter Agreement), pursuant to which the Company and Cellectis agreed to terminate the Original Cellectis Agreement. The Original Cellectis Agreement included a research</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40"/>
        <w:spacing w:after="0" w:line="296" w:lineRule="auto"/>
        <w:rPr>
          <w:sz w:val="20"/>
          <w:szCs w:val="20"/>
          <w:color w:val="auto"/>
        </w:rPr>
      </w:pPr>
      <w:r>
        <w:rPr>
          <w:rFonts w:ascii="Times New Roman" w:cs="Times New Roman" w:eastAsia="Times New Roman" w:hAnsi="Times New Roman"/>
          <w:sz w:val="17"/>
          <w:szCs w:val="17"/>
          <w:color w:val="auto"/>
        </w:rPr>
        <w:t>collaboration to conduct discovery and pre-clinical development activities to generate CAR T cells directed at targets selected by each party, which was completed in June 2018.</w:t>
      </w:r>
    </w:p>
    <w:p>
      <w:pPr>
        <w:spacing w:after="0" w:line="42" w:lineRule="exact"/>
        <w:rPr>
          <w:sz w:val="20"/>
          <w:szCs w:val="20"/>
          <w:color w:val="auto"/>
        </w:rPr>
      </w:pPr>
    </w:p>
    <w:p>
      <w:pPr>
        <w:ind w:right="80" w:firstLine="629"/>
        <w:spacing w:after="0" w:line="265" w:lineRule="auto"/>
        <w:rPr>
          <w:sz w:val="20"/>
          <w:szCs w:val="20"/>
          <w:color w:val="auto"/>
        </w:rPr>
      </w:pPr>
      <w:r>
        <w:rPr>
          <w:rFonts w:ascii="Times New Roman" w:cs="Times New Roman" w:eastAsia="Times New Roman" w:hAnsi="Times New Roman"/>
          <w:sz w:val="17"/>
          <w:szCs w:val="17"/>
          <w:color w:val="auto"/>
        </w:rPr>
        <w:t>Pursuant to the Cellectis Agreement, Cellectis granted to the Company an exclusive, worldwide, royalty-bearing license, on a target-by-target basis, with sublicensing rights under certain conditions, under certain of Cellectis’s intellectual property, including its TALEN and electroporation technology, to make, use, sell, import, and otherwise exploit and commercialize CAR T products directed at certain targets, including BCMA, CD70, Claudin 18.2, DLL3 and FLT3 (the Allogene Targets), for human oncologic therapeutic, diagnostic, prophylactic and prognostic purposes. In addition, certain Cellectis intellectual property rights granted by Cellectis to the Company and to Servier pursuant to the Exclusive License and Collaboration Agreement by and between Servier and Pfizer, dated October 30, 2015, which Pfizer assigned to the Company in April 2018, will survive the termination of the Original Cellectis Agreement.</w:t>
      </w:r>
    </w:p>
    <w:p>
      <w:pPr>
        <w:spacing w:after="0" w:line="67" w:lineRule="exact"/>
        <w:rPr>
          <w:sz w:val="20"/>
          <w:szCs w:val="20"/>
          <w:color w:val="auto"/>
        </w:rPr>
      </w:pPr>
    </w:p>
    <w:p>
      <w:pPr>
        <w:jc w:val="both"/>
        <w:ind w:right="140" w:firstLine="629"/>
        <w:spacing w:after="0" w:line="276" w:lineRule="auto"/>
        <w:rPr>
          <w:sz w:val="20"/>
          <w:szCs w:val="20"/>
          <w:color w:val="auto"/>
        </w:rPr>
      </w:pPr>
      <w:r>
        <w:rPr>
          <w:rFonts w:ascii="Times New Roman" w:cs="Times New Roman" w:eastAsia="Times New Roman" w:hAnsi="Times New Roman"/>
          <w:sz w:val="17"/>
          <w:szCs w:val="17"/>
          <w:color w:val="auto"/>
        </w:rPr>
        <w:t>Pursuant to the Cellectis Agreement, the Company granted Cellectis a non-exclusive, worldwide, royalty-free, perpetual and irrevocable license, with sublicensing rights under certain conditions, under certain of the Company's intellectual property, to make, use, sell, import and otherwise commercialize CAR T products directed at certain targets (the Cellectis Targets).</w:t>
      </w:r>
    </w:p>
    <w:p>
      <w:pPr>
        <w:spacing w:after="0" w:line="59" w:lineRule="exact"/>
        <w:rPr>
          <w:sz w:val="20"/>
          <w:szCs w:val="20"/>
          <w:color w:val="auto"/>
        </w:rPr>
      </w:pPr>
    </w:p>
    <w:p>
      <w:pPr>
        <w:ind w:right="60" w:firstLine="629"/>
        <w:spacing w:after="0" w:line="261" w:lineRule="auto"/>
        <w:rPr>
          <w:sz w:val="20"/>
          <w:szCs w:val="20"/>
          <w:color w:val="auto"/>
        </w:rPr>
      </w:pPr>
      <w:r>
        <w:rPr>
          <w:rFonts w:ascii="Times New Roman" w:cs="Times New Roman" w:eastAsia="Times New Roman" w:hAnsi="Times New Roman"/>
          <w:sz w:val="17"/>
          <w:szCs w:val="17"/>
          <w:color w:val="auto"/>
        </w:rPr>
        <w:t>The Cellectis Agreement provides for development and sales milestone payments by the Company of up to $185.0 million per product that is directed against an Allogene Target, with aggregate potential development and sales milestone payments totaling up to $2.8 billion. Cellectis is also eligible to receive tiered royalties on annual worldwide net sales of any products that are commercialized by the Company that contain or incorporate, are made using or are claimed or covered by, Cellectis intellectual property licensed to the Company under the Cellectis Agreement (the Allogene Products), at rates in the high single-digit percentages. Such royalties may be reduced, on a licensed product-by-licensed product and country-by-country basis, for generic entry and for payments due under licenses of third-party patents. Pursuant to the Cellectis Agreement, and subject to certain exceptions, the Company is required to indemnify Cellectis against all third party claims related to the development, manufacturing, commercialization or use of any Allogene Product or arising out of the Company’s material breach of the representations, warranties or covenants set forth in the Cellectis Agreement, and Cellectis is required, subject to certain exceptions, to indemnify the Company against all third party claims related to the development, manufacturing, commercialization or use of CAR T products directed at Cellectis Targets or arising out of Cellectis’s material breach of the representations, warranties or covenants set forth in the Cellectis Agreement.</w:t>
      </w:r>
    </w:p>
    <w:p>
      <w:pPr>
        <w:spacing w:after="0" w:line="75"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The royalties are payable, on a licensed-product-by-licensed-product and country-by-country basis, until the later of (i) the expiration of the last to expire of the licensed patents covering such product; (ii) the loss of regulatory exclusivity afforded such product in such country, and (iii) the tenth anniversary of the date of the first commercial sale of such product in such country; however, in no event shall such royalties be payable, with respect to a particular licensed product, past the twentieth anniversary of the first commercial sale for such product.</w:t>
      </w:r>
    </w:p>
    <w:p>
      <w:pPr>
        <w:spacing w:after="0" w:line="63" w:lineRule="exact"/>
        <w:rPr>
          <w:sz w:val="20"/>
          <w:szCs w:val="20"/>
          <w:color w:val="auto"/>
        </w:rPr>
      </w:pPr>
    </w:p>
    <w:p>
      <w:pPr>
        <w:ind w:right="280" w:firstLine="629"/>
        <w:spacing w:after="0" w:line="296" w:lineRule="auto"/>
        <w:rPr>
          <w:sz w:val="20"/>
          <w:szCs w:val="20"/>
          <w:color w:val="auto"/>
        </w:rPr>
      </w:pPr>
      <w:r>
        <w:rPr>
          <w:rFonts w:ascii="Times New Roman" w:cs="Times New Roman" w:eastAsia="Times New Roman" w:hAnsi="Times New Roman"/>
          <w:sz w:val="17"/>
          <w:szCs w:val="17"/>
          <w:color w:val="auto"/>
        </w:rPr>
        <w:t>Depending on the Cellectis Target, the Company has a right of first refusal or right of first negotiation to purchase or license from Cellectis rights to develop and commercialize products against such Cellectis Targets.</w:t>
      </w:r>
    </w:p>
    <w:p>
      <w:pPr>
        <w:spacing w:after="0" w:line="42"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Under the Cellectis Agreement, the Company has certain diligence obligations to progress the development of CAR T product candidates and to commercialize one CAR T product per Allogene Target in one major market country where the Company has received regulatory approval. If the Company materially breaches any of its diligence obligations and fails to cure within 90 days, then with respect to certain targets, such target will cease to be an Allogene Target and instead will become a Cellectis Target.</w:t>
      </w:r>
    </w:p>
    <w:p>
      <w:pPr>
        <w:spacing w:after="0" w:line="63"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Unless earlier terminated in accordance with its terms, the Cellectis Agreement will expire on a product-by-product and country-by-country basis, upon expiration of all royalty payment obligations with respect to such licensed product in such country. The Company has the right to terminate the Cellectis Agreement at will upon 60 days’ prior written notice, either in its entirety or on a target-by-target basis. Either party may terminate the Cellectis Agreement, in its entirety or on a target-by-target basis, upon 90 days’ prior written notice in the event of the other party’s uncured material breach. The Cellectis Agreement may also be terminated by the Company upon written notice at any time in the event that Cellectis becomes bankrupt or insolvent or upon written notice within 60 days of a consummation of a change of control of Cellectis.</w:t>
      </w:r>
    </w:p>
    <w:p>
      <w:pPr>
        <w:spacing w:after="0" w:line="6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All costs the Company incurred in connection with this agreement were recognized as research and development expenses in the condensed</w:t>
      </w:r>
    </w:p>
    <w:p>
      <w:pPr>
        <w:spacing w:after="0" w:line="5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consolidated statements of operations. For the three and nine months ended September 30, 2024 and 2023, no clinical development milestones were achieved.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Exclusive License Agreement with Servier</w:t>
      </w:r>
    </w:p>
    <w:p>
      <w:pPr>
        <w:spacing w:after="0" w:line="123" w:lineRule="exact"/>
        <w:rPr>
          <w:sz w:val="20"/>
          <w:szCs w:val="20"/>
          <w:color w:val="auto"/>
        </w:rPr>
      </w:pPr>
    </w:p>
    <w:p>
      <w:pPr>
        <w:ind w:right="660" w:firstLine="629"/>
        <w:spacing w:after="0" w:line="296" w:lineRule="auto"/>
        <w:rPr>
          <w:sz w:val="20"/>
          <w:szCs w:val="20"/>
          <w:color w:val="auto"/>
        </w:rPr>
      </w:pPr>
      <w:r>
        <w:rPr>
          <w:rFonts w:ascii="Times New Roman" w:cs="Times New Roman" w:eastAsia="Times New Roman" w:hAnsi="Times New Roman"/>
          <w:sz w:val="17"/>
          <w:szCs w:val="17"/>
          <w:color w:val="auto"/>
        </w:rPr>
        <w:t>As part of the Pfizer Agreement, Pfizer assigned to the Company an Exclusive License Agreement (the Original Servier Agreement), with Les Laboratoires Servier SAS and Institut de Recherches Internationales Servier SAS (collectively,</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7"/>
          <w:szCs w:val="17"/>
          <w:color w:val="auto"/>
        </w:rPr>
        <w:t>Servier) to develop, manufacture and commercialize certain allogeneic anti-CD19 CAR T cell product candidates, including UCART19, in the United States with the option to obtain the rights over additional anti-CD19 product candidates and for allogeneic CAR T cell product candidates directed against one additional target. In October 2019, the Company agreed to waive its rights to the one additional target.</w:t>
      </w:r>
    </w:p>
    <w:p>
      <w:pPr>
        <w:spacing w:after="0" w:line="59" w:lineRule="exact"/>
        <w:rPr>
          <w:sz w:val="20"/>
          <w:szCs w:val="20"/>
          <w:color w:val="auto"/>
        </w:rPr>
      </w:pPr>
    </w:p>
    <w:p>
      <w:pPr>
        <w:ind w:right="220" w:firstLine="629"/>
        <w:spacing w:after="0" w:line="263" w:lineRule="auto"/>
        <w:rPr>
          <w:sz w:val="20"/>
          <w:szCs w:val="20"/>
          <w:color w:val="auto"/>
        </w:rPr>
      </w:pPr>
      <w:r>
        <w:rPr>
          <w:rFonts w:ascii="Times New Roman" w:cs="Times New Roman" w:eastAsia="Times New Roman" w:hAnsi="Times New Roman"/>
          <w:sz w:val="17"/>
          <w:szCs w:val="17"/>
          <w:color w:val="auto"/>
        </w:rPr>
        <w:t>Under the Original Servier Agreement, the Company has an exclusive license to develop, manufacture and commercialize licensed products directed against CD19, including UCART19, ALLO-501 and cemacabtagene ansegedleucel (cema-cel, previously ALLO-501A) (collectively, CD19 Products) in the field of anti-tumor adoptive immunotherapy in the United States, with an exclusive option to obtain the same rights for additional product candidates in the United States and, if Servier does not elect to pursue development or commercialization of those product candidates in certain markets outside of the United States pursuant to its license, outside of the United States as well. The Company is not required to make any additional payments to Servier to exercise an option. If the Company opts-in to another product candidate, Servier has the right to obtain rights to such product candidate outside the United States and to share development costs for such product candidate.</w:t>
      </w:r>
    </w:p>
    <w:p>
      <w:pPr>
        <w:spacing w:after="0" w:line="72" w:lineRule="exact"/>
        <w:rPr>
          <w:sz w:val="20"/>
          <w:szCs w:val="20"/>
          <w:color w:val="auto"/>
        </w:rPr>
      </w:pPr>
    </w:p>
    <w:p>
      <w:pPr>
        <w:ind w:right="40" w:firstLine="629"/>
        <w:spacing w:after="0" w:line="263" w:lineRule="auto"/>
        <w:rPr>
          <w:sz w:val="20"/>
          <w:szCs w:val="20"/>
          <w:color w:val="auto"/>
        </w:rPr>
      </w:pPr>
      <w:r>
        <w:rPr>
          <w:rFonts w:ascii="Times New Roman" w:cs="Times New Roman" w:eastAsia="Times New Roman" w:hAnsi="Times New Roman"/>
          <w:sz w:val="17"/>
          <w:szCs w:val="17"/>
          <w:color w:val="auto"/>
        </w:rPr>
        <w:t>On May 10, 2024, the Company and Servier entered into an Amendment and Settlement Agreement (the Servier Amendment) which restructured the parties’ relationship under the Original Servier Agreement (as amended, the Servier Agreement). The Company’s licensed territory was expanded to include the European Union and the United Kingdom. The Company was also granted an option to further extend its licensed territory to include China and Japan upon the objective showing of sufficient resources to develop licensed products in those countries, which could be met through the Company entering into a strategic partnership covering those countries. Additionally, the Company agreed to waive certain of its rights under the Original Servier Agreement to elect a conversion of its license to the CD19 Products to a worldwide license. Under the Servier Agreement, the Company is required to use commercially reasonable efforts to develop, manufacture and commercialize a CD19 Product.</w:t>
      </w:r>
    </w:p>
    <w:p>
      <w:pPr>
        <w:spacing w:after="0" w:line="72" w:lineRule="exact"/>
        <w:rPr>
          <w:sz w:val="20"/>
          <w:szCs w:val="20"/>
          <w:color w:val="auto"/>
        </w:rPr>
      </w:pPr>
    </w:p>
    <w:p>
      <w:pPr>
        <w:ind w:right="60" w:firstLine="629"/>
        <w:spacing w:after="0" w:line="260" w:lineRule="auto"/>
        <w:rPr>
          <w:sz w:val="20"/>
          <w:szCs w:val="20"/>
          <w:color w:val="auto"/>
        </w:rPr>
      </w:pPr>
      <w:r>
        <w:rPr>
          <w:rFonts w:ascii="Times New Roman" w:cs="Times New Roman" w:eastAsia="Times New Roman" w:hAnsi="Times New Roman"/>
          <w:sz w:val="17"/>
          <w:szCs w:val="17"/>
          <w:color w:val="auto"/>
        </w:rPr>
        <w:t>Under the Servier Agreement, Servier sublicenses to the Company certain rights which Servier licenses from Cellectis pursuant to a License, Development and Commercialization Agreement by and between Cellectis and Servier, dated February 7, 2014, as amended by Amendment No. 1 to the License, Development and Commercialization Agreement, dated March 4, 2020 (as amended, the Servier-Cellectis Agreement). As amended by the Servier Amendment, all of the Company’s future milestone payments (regulatory and sales) under the Original Servier Agreement were modified to be the same as, and to coincide with, Servier’s milestone payments to Cellectis that are required under the Servier-Cellectis Agreement. The Servier Agreement provides for aggregate potential milestone payments by the Company to Servier of up to €75.0 million upon successful completion of various regulatory milestones and first commercial sale milestones in the United States, European Union and the United Kingdom for the initial indication of each licensed product, of which €60.0 million remains for the initial indication for cema-cel, with additional payments of €55.0 million, due for each subsequent indication, of which €50.0 million remains for the first subsequent indication for cema-cel, and aggregate potential payments by the Company to Servier of up to €80.0 million upon achievement of certain net sales milestones for each licensed product. Should Servier’s rights and obligations under the Servier-Cellectis Agreement be assigned to the Company, these milestone payments would terminate, and the Company would assume Servier’s milestone payment obligations to Cellectis. In the absence of any such assignment, Servier will remain responsible for making milestone payments that may be due to Cellectis under the Servier-Cellectis Agreement.</w:t>
      </w:r>
    </w:p>
    <w:p>
      <w:pPr>
        <w:spacing w:after="0" w:line="78" w:lineRule="exact"/>
        <w:rPr>
          <w:sz w:val="20"/>
          <w:szCs w:val="20"/>
          <w:color w:val="auto"/>
        </w:rPr>
      </w:pPr>
    </w:p>
    <w:p>
      <w:pPr>
        <w:ind w:right="60" w:firstLine="629"/>
        <w:spacing w:after="0" w:line="265" w:lineRule="auto"/>
        <w:rPr>
          <w:sz w:val="20"/>
          <w:szCs w:val="20"/>
          <w:color w:val="auto"/>
        </w:rPr>
      </w:pPr>
      <w:r>
        <w:rPr>
          <w:rFonts w:ascii="Times New Roman" w:cs="Times New Roman" w:eastAsia="Times New Roman" w:hAnsi="Times New Roman"/>
          <w:sz w:val="17"/>
          <w:szCs w:val="17"/>
          <w:color w:val="auto"/>
        </w:rPr>
        <w:t>The Company transferred €20.0 million into an escrow account in connection with a potential future milestone payment, which is included in the remaining €60.0 million in milestone payments referenced above for the initial indication for cema-cel. Such milestone payment will be triggered, if at all, upon the occurrence of one of these events: (1) the Company doses the first subject in its first phase 3 clinical study for a CD19 CAR T product that is a licensed product under the Servier Agreement, (2) the Company submits a phase 2 clinical study for a licensed product to the U.S. Food and Drug Administration or the European Medicines Agency, and such phase 2 clinical study is accepted for regulatory approval as a pivotal study, or (3) a final and definitive decision of a tribunal or court finding that under the Servier-Cellectis Agreement the milestone has occurred and the €20.0 million payment is due to Cellectis.</w:t>
      </w:r>
    </w:p>
    <w:p>
      <w:pPr>
        <w:spacing w:after="0" w:line="67"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The Company is obligated to pay to Servier royalties on annual net sales of any licensed products that are commercialized by the Company that is directed at CD19. Such royalties include tiered royalties on annual net sales in the United States and a flat royalty on annual net sales in territories outside the United States. The United States royalty rates are in a range from the low tens to the mid teen percentages, and the ex-U.S. royalty rate is 10%. Such royalties may be reduced for interchangeable drug entry, expiration of patent rights and amounts paid pursuant to licenses of third-party patents. This royalty obligation begins upon the first commercial sale of such product in a given country and ends after the later of a defined number of years or the expiration of the last to expire licensed patent covering the product in such country. The net effect of the Servier Amendment is that the Company’s royalty rate in the United States for the first half of the first tier of net sales was increased by a low single digit percentage as compared to the Original Servier Agreement. Should Servier’s rights and obligations under the Servier-Cellectis Agreement be assigned to the Company, each tier of royalty rates in the United States to Servier would be reduced by 10%, the ex-U.S. royalties to Servier would terminate, and the Company would assume Servier’s royalty obligations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7"/>
          <w:szCs w:val="17"/>
          <w:color w:val="auto"/>
        </w:rPr>
        <w:t>to Cellectis. In the absence of any such assignment, Servier will remain responsible for making royalty payments that may be due to Cellectis under the Servier-Cellectis Agreement.</w:t>
      </w:r>
    </w:p>
    <w:p>
      <w:pPr>
        <w:spacing w:after="0" w:line="42" w:lineRule="exact"/>
        <w:rPr>
          <w:sz w:val="20"/>
          <w:szCs w:val="20"/>
          <w:color w:val="auto"/>
        </w:rPr>
      </w:pPr>
    </w:p>
    <w:p>
      <w:pPr>
        <w:ind w:right="40" w:firstLine="629"/>
        <w:spacing w:after="0" w:line="270" w:lineRule="auto"/>
        <w:rPr>
          <w:sz w:val="20"/>
          <w:szCs w:val="20"/>
          <w:color w:val="auto"/>
        </w:rPr>
      </w:pPr>
      <w:r>
        <w:rPr>
          <w:rFonts w:ascii="Times New Roman" w:cs="Times New Roman" w:eastAsia="Times New Roman" w:hAnsi="Times New Roman"/>
          <w:sz w:val="17"/>
          <w:szCs w:val="17"/>
          <w:color w:val="auto"/>
        </w:rPr>
        <w:t>The parties agreed that co-development performed by the Company and Servier under the Servier Agreement, including all development performed by Servier and for product candidates that the Company was co-developing with Servier (for which specified development costs were split under the Original Servier Agreement with the Company responsible for 60% and Servier responsible for 40%), including the CD19 Products, ceased as of December 15, 2022, and that all development costs incurred by either party after that date shall be borne solely by such party.</w:t>
      </w:r>
    </w:p>
    <w:p>
      <w:pPr>
        <w:spacing w:after="0" w:line="63" w:lineRule="exact"/>
        <w:rPr>
          <w:sz w:val="20"/>
          <w:szCs w:val="20"/>
          <w:color w:val="auto"/>
        </w:rPr>
      </w:pPr>
    </w:p>
    <w:p>
      <w:pPr>
        <w:ind w:right="380" w:firstLine="629"/>
        <w:spacing w:after="0" w:line="276" w:lineRule="auto"/>
        <w:rPr>
          <w:sz w:val="20"/>
          <w:szCs w:val="20"/>
          <w:color w:val="auto"/>
        </w:rPr>
      </w:pPr>
      <w:r>
        <w:rPr>
          <w:rFonts w:ascii="Times New Roman" w:cs="Times New Roman" w:eastAsia="Times New Roman" w:hAnsi="Times New Roman"/>
          <w:sz w:val="17"/>
          <w:szCs w:val="17"/>
          <w:color w:val="auto"/>
        </w:rPr>
        <w:t>The parties agreed to waive any and all outstanding claims that were asserted relating to alleged violations of the Original Servier Agreement, including all claims that such party was entitled to various payments or refunds from the other party under the Original Servier Agreement, and any and all claims that either party now has or may have in the future related to such outstanding claims, and mutual releases with respect to such claims were granted.</w:t>
      </w:r>
    </w:p>
    <w:p>
      <w:pPr>
        <w:spacing w:after="0" w:line="59" w:lineRule="exact"/>
        <w:rPr>
          <w:sz w:val="20"/>
          <w:szCs w:val="20"/>
          <w:color w:val="auto"/>
        </w:rPr>
      </w:pPr>
    </w:p>
    <w:p>
      <w:pPr>
        <w:ind w:right="460" w:firstLine="629"/>
        <w:spacing w:after="0" w:line="296" w:lineRule="auto"/>
        <w:rPr>
          <w:sz w:val="20"/>
          <w:szCs w:val="20"/>
          <w:color w:val="auto"/>
        </w:rPr>
      </w:pPr>
      <w:r>
        <w:rPr>
          <w:rFonts w:ascii="Times New Roman" w:cs="Times New Roman" w:eastAsia="Times New Roman" w:hAnsi="Times New Roman"/>
          <w:sz w:val="17"/>
          <w:szCs w:val="17"/>
          <w:color w:val="auto"/>
        </w:rPr>
        <w:t>The Company will recognize expense related to the revised milestones and royalties when payments become probable. There was no gain or loss related to the expanded license territories and ceased Servier co-development.</w:t>
      </w:r>
    </w:p>
    <w:p>
      <w:pPr>
        <w:spacing w:after="0" w:line="42" w:lineRule="exact"/>
        <w:rPr>
          <w:sz w:val="20"/>
          <w:szCs w:val="20"/>
          <w:color w:val="auto"/>
        </w:rPr>
      </w:pPr>
    </w:p>
    <w:p>
      <w:pPr>
        <w:ind w:right="180" w:firstLine="629"/>
        <w:spacing w:after="0" w:line="270" w:lineRule="auto"/>
        <w:rPr>
          <w:sz w:val="20"/>
          <w:szCs w:val="20"/>
          <w:color w:val="auto"/>
        </w:rPr>
      </w:pPr>
      <w:r>
        <w:rPr>
          <w:rFonts w:ascii="Times New Roman" w:cs="Times New Roman" w:eastAsia="Times New Roman" w:hAnsi="Times New Roman"/>
          <w:sz w:val="17"/>
          <w:szCs w:val="17"/>
          <w:color w:val="auto"/>
        </w:rPr>
        <w:t>For the three and nine months ended September 30, 2024, the Company recorded zero and $5.4 million, respectively, in research and development expenses upon achievement of a regulatory milestone. For the three and nine months ended September 30, 2023, the Company recorded $0.1 million and $0.4 million, respectively, of net cost recoveries under the cost-sharing terms of the Servier Agreement as a reduction to research and development expenses. As of September 30, 2024, the Company recorded €20.0 million as deposit placed in escrow in the condensed consolidated balance sheets.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Collaboration and License Agreement with Notch Therapeutics</w:t>
      </w:r>
    </w:p>
    <w:p>
      <w:pPr>
        <w:spacing w:after="0" w:line="123"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On November 1, 2019, the Company entered into a Collaboration and License Agreement (the Notch Agreement) with Notch Therapeutics Inc. (Notch), pursuant to which Notch granted to Allogene an exclusive, worldwide, royalty-bearing, sublicensable license under certain of Notch’s intellectual property to develop, make, use, sell, import, and otherwise commercialize therapeutic gene-edited T cell and/or natural killer (NK) cell products from induced pluripotent stem cells directed at certain CAR targets for initial application in non-Hodgkin lymphoma, acute lymphoblastic leukemia and multiple myeloma. In addition, Notch has granted Allogene an option to add certain specified targets to its exclusive license in exchange for an agreed per-target option fee.</w:t>
      </w:r>
    </w:p>
    <w:p>
      <w:pPr>
        <w:spacing w:after="0" w:line="65" w:lineRule="exact"/>
        <w:rPr>
          <w:sz w:val="20"/>
          <w:szCs w:val="20"/>
          <w:color w:val="auto"/>
        </w:rPr>
      </w:pPr>
    </w:p>
    <w:p>
      <w:pPr>
        <w:ind w:right="180" w:firstLine="629"/>
        <w:spacing w:after="0" w:line="265" w:lineRule="auto"/>
        <w:rPr>
          <w:sz w:val="20"/>
          <w:szCs w:val="20"/>
          <w:color w:val="auto"/>
        </w:rPr>
      </w:pPr>
      <w:r>
        <w:rPr>
          <w:rFonts w:ascii="Times New Roman" w:cs="Times New Roman" w:eastAsia="Times New Roman" w:hAnsi="Times New Roman"/>
          <w:sz w:val="17"/>
          <w:szCs w:val="17"/>
          <w:color w:val="auto"/>
        </w:rPr>
        <w:t>The Notch Agreement includes a research collaboration to conduct research and pre-clinical development activities to generate engineered cells directed to Allogene’s exclusive targets, which will be conducted in accordance with an agreed research plan and budget under the oversight of a joint development committee. Allogene will reimburse Notch’s costs incurred in accordance with such plan and budget. The term of the research collaboration will expire upon the earlier of (i) the fifth anniversary of the date of the Notch Agreement, (ii) at Allogene’s election, following the joint development committee’s determination that for each exclusive target, Notch has met certain success criteria, or (iii) the joint development committee’s determination that the research collaboration cannot be reasonably pursued against any exclusive target due to technical infeasibility or safety issues.</w:t>
      </w:r>
    </w:p>
    <w:p>
      <w:pPr>
        <w:spacing w:after="0" w:line="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 connection with the execution of the Notch Agreement, Allogene made an upfront payment to Notch of $10.0 million in return for a license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access Notch’s technology in order to conduct research pursuant to the Notch Agreement. In addition, Allogene made a $5.0 million investment in Notch’s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series seed convertible preferred stock, resulting in Allogene having a 25% ownership interest in Notch’s outstanding capital stock on a fully diluted basis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immediately following the investment. In connection with this investment, an Allogene representative served on the Notch Board of Directors. In February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2021, the Company made an additional $15.9 million investment in Notch’s Series A preferred stock. In October 2021, the Company made an additional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 million investment in Notch’s common stock. Immediately following this transaction, the Company’s share in Notch was 23% on a voting interest basis.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May 17, 2024, Notch closed a Series B preferred stock financing with a combination of new and existing investors (Notch Series B Financing).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did not participate in the Notch Series B Financing but received Series B preferred stock as part of its anti-dilution rights. Immediately following this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 the Company’s share in Notch was 13%. In connection with the Notch Series B Financing, the Company waived its right to appoint one member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Notch board of directors, but retained board observation rights. The Company no longer has any significant influence over Notch and as a result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decrease in ownership and influence, accounted for its investment in Notch as an equity investment measured at cost less any impairment effective May 17,</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w:t>
      </w:r>
    </w:p>
    <w:p>
      <w:pPr>
        <w:spacing w:after="0" w:line="101"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Under the Notch Agreement, Notch will be eligible to receive up to $7.25 million upon achieving certain agreed research milestones, up to $4.0 million per exclusive target upon achieving certain pre-clinical development milestones, and up to $283.0 million per exclusive target and cell type (i.e., T cell or NK cell) upon achieving certain clinical, regulatory and commercial milestones. Notch is also entitled to receive tiered royalties in the mid to high single digit range on Allogene’s sales of licensed products, subject to certain reductions, for a term, on a country-by-country and product-by-product basis,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60"/>
        <w:spacing w:after="0" w:line="276" w:lineRule="auto"/>
        <w:rPr>
          <w:sz w:val="20"/>
          <w:szCs w:val="20"/>
          <w:color w:val="auto"/>
        </w:rPr>
      </w:pPr>
      <w:r>
        <w:rPr>
          <w:rFonts w:ascii="Times New Roman" w:cs="Times New Roman" w:eastAsia="Times New Roman" w:hAnsi="Times New Roman"/>
          <w:sz w:val="17"/>
          <w:szCs w:val="17"/>
          <w:color w:val="auto"/>
        </w:rPr>
        <w:t>commencing on first commercial sale of such product in such country and continuing until the latest of (i) the date upon which there is no valid claim of the licensed patents in such country of sale that covers such product, (ii) the expiration of applicable data or other regulatory exclusivity in such country of sale or (iii) a defined period from the first commercial sale of such product in such country.</w:t>
      </w:r>
    </w:p>
    <w:p>
      <w:pPr>
        <w:spacing w:after="0" w:line="59" w:lineRule="exact"/>
        <w:rPr>
          <w:sz w:val="20"/>
          <w:szCs w:val="20"/>
          <w:color w:val="auto"/>
        </w:rPr>
      </w:pPr>
    </w:p>
    <w:p>
      <w:pPr>
        <w:ind w:right="40" w:firstLine="629"/>
        <w:spacing w:after="0" w:line="267" w:lineRule="auto"/>
        <w:rPr>
          <w:sz w:val="20"/>
          <w:szCs w:val="20"/>
          <w:color w:val="auto"/>
        </w:rPr>
      </w:pPr>
      <w:r>
        <w:rPr>
          <w:rFonts w:ascii="Times New Roman" w:cs="Times New Roman" w:eastAsia="Times New Roman" w:hAnsi="Times New Roman"/>
          <w:sz w:val="17"/>
          <w:szCs w:val="17"/>
          <w:color w:val="auto"/>
        </w:rPr>
        <w:t>The terms of the Notch Agreement will continue on a product-by-product and country-by-country basis until Allogene’s payment obligations with respect to such product in such country have expired. Following such expiration, Allogene’s license with respect to such product and country shall be perpetual, irrevocable, fully paid up and royalty-free. Allogene may terminate the Collaboration Agreement in whole or on a product-by-product basis upon ninety days’ prior written notice to Notch. Either party may also terminate the Collaboration Agreement with written notice upon material breach by the other party, if such breach has not been cured within a defined period of receiving such notice, or in the event of the other party’s insolvency.</w:t>
      </w:r>
    </w:p>
    <w:p>
      <w:pPr>
        <w:spacing w:after="0" w:line="65"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On January 25, 2024, the Company entered into an Amended and Restated Collaboration and License Agreement (the Amended Notch Agreement) with Notch. The Amended Notch Agreement amends and restates the Notch Agreement. Under the Amended Notch Agreement, the Company has relinquished its exclusive rights to all original CAR targets (the Released Targets) except for one CAR target, and has agreed to limit its option right to only one additional CAR target. If the option is exercised, the Company will have a minimum funding commitment for the overall development program. If Notch subsequently out-licenses any of the Released Targets, the Company will be entitled to receive a percentage of upfront and/or milestone payments associated therewith up to a set cap of $30.0 million, and will be entitled to a low, single-digit royalty on net sales of products containing a Released Target. In addition, with respect to the Company’s previous equity investment in Notch, the Amended Notch Agreement grants the Company certain anti-dilution protections up to certain limits for certain pre-IPO equity financings. As of September 30, 2024, no Released Targets were out-licensed by Notch. On May 17, 2024, in connection with the Notch Series B Financing the Company waived certain of its anti-dilution rights in exchange for a low single digit percentage reduction in the royalty rate for the royalties the Company is obliged to pay to Notch under our Notch intellectual property license should the Company commercialize a licensed product.</w:t>
      </w:r>
    </w:p>
    <w:p>
      <w:pPr>
        <w:spacing w:after="0" w:line="75" w:lineRule="exact"/>
        <w:rPr>
          <w:sz w:val="20"/>
          <w:szCs w:val="20"/>
          <w:color w:val="auto"/>
        </w:rPr>
      </w:pPr>
    </w:p>
    <w:p>
      <w:pPr>
        <w:ind w:right="40" w:firstLine="629"/>
        <w:spacing w:after="0" w:line="270" w:lineRule="auto"/>
        <w:rPr>
          <w:sz w:val="20"/>
          <w:szCs w:val="20"/>
          <w:color w:val="auto"/>
        </w:rPr>
      </w:pPr>
      <w:r>
        <w:rPr>
          <w:rFonts w:ascii="Times New Roman" w:cs="Times New Roman" w:eastAsia="Times New Roman" w:hAnsi="Times New Roman"/>
          <w:sz w:val="17"/>
          <w:szCs w:val="17"/>
          <w:color w:val="auto"/>
        </w:rPr>
        <w:t>For the three and nine months ended September 30, 2024, the Company recorded zero collaboration costs. For the three and nine months ended September 30, 2023, the Company recorded zero and $1.8 million, respectively, in collaboration costs as research and development expenses. For the three and nine months ended September 30, 2023, the Company recorded $3.0 million in other expenses as impairment loss on its equity method investment in Notch. No milestones were achieved by Notch for the three and nine months ended September 30, 2024 and 2023.</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Strategic Alliance with The University of Texas MD Anderson Cancer Center</w:t>
      </w:r>
    </w:p>
    <w:p>
      <w:pPr>
        <w:spacing w:after="0" w:line="123" w:lineRule="exact"/>
        <w:rPr>
          <w:sz w:val="20"/>
          <w:szCs w:val="20"/>
          <w:color w:val="auto"/>
        </w:rPr>
      </w:pPr>
    </w:p>
    <w:p>
      <w:pPr>
        <w:ind w:right="460" w:firstLine="629"/>
        <w:spacing w:after="0" w:line="276" w:lineRule="auto"/>
        <w:rPr>
          <w:sz w:val="20"/>
          <w:szCs w:val="20"/>
          <w:color w:val="auto"/>
        </w:rPr>
      </w:pPr>
      <w:r>
        <w:rPr>
          <w:rFonts w:ascii="Times New Roman" w:cs="Times New Roman" w:eastAsia="Times New Roman" w:hAnsi="Times New Roman"/>
          <w:sz w:val="17"/>
          <w:szCs w:val="17"/>
          <w:color w:val="auto"/>
        </w:rPr>
        <w:t>On October 6, 2020, the Company entered into a strategic five-year collaboration agreement with The University of Texas MD Anderson Cancer Center (MD Anderson) for the preclinical and clinical investigation of allogeneic CAR T cell product candidates. The Company and MD Anderson are collaborating on the design and conduct of preclinical and clinical studies with oversight from a joint steering committee.</w:t>
      </w:r>
    </w:p>
    <w:p>
      <w:pPr>
        <w:spacing w:after="0" w:line="59" w:lineRule="exact"/>
        <w:rPr>
          <w:sz w:val="20"/>
          <w:szCs w:val="20"/>
          <w:color w:val="auto"/>
        </w:rPr>
      </w:pPr>
    </w:p>
    <w:p>
      <w:pPr>
        <w:ind w:firstLine="629"/>
        <w:spacing w:after="0" w:line="266" w:lineRule="auto"/>
        <w:rPr>
          <w:sz w:val="20"/>
          <w:szCs w:val="20"/>
          <w:color w:val="auto"/>
        </w:rPr>
      </w:pPr>
      <w:r>
        <w:rPr>
          <w:rFonts w:ascii="Times New Roman" w:cs="Times New Roman" w:eastAsia="Times New Roman" w:hAnsi="Times New Roman"/>
          <w:sz w:val="17"/>
          <w:szCs w:val="17"/>
          <w:color w:val="auto"/>
        </w:rPr>
        <w:t>Under the terms of the agreement, the Company has committed up to $15.0 million of funding for the duration of the agreement. Payment of this funding is contingent on mutual agreement to study orders in order for any study to be included under the alliance. The Company made an advance payment of $3.0 million to MD Anderson in the year ended December 31, 2020 and made an additional advance payment of $3.0 million to MD Anderson in the year ended December 31, 2023. The Company is obligated to make further payments to MD Anderson each year upon the anniversary of the agreement effective date through the duration of the agreement term. These costs are expensed to research and development as MD Anderson renders the services under the strategic alliance.</w:t>
      </w:r>
    </w:p>
    <w:p>
      <w:pPr>
        <w:spacing w:after="0" w:line="279"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The agreement may be terminated by either party for material breach by the other party. Individual studies may be terminated for, among other things, material breach, health and safety concerns or where the institutional review board, the review board at the clinical site with oversight of the clinical study, requests termination of any study. Where any legal or regulatory authorization is finally withdrawn or terminated, the relevant study will also terminate automatically.</w:t>
      </w:r>
    </w:p>
    <w:p>
      <w:pPr>
        <w:spacing w:after="0" w:line="63" w:lineRule="exact"/>
        <w:rPr>
          <w:sz w:val="20"/>
          <w:szCs w:val="20"/>
          <w:color w:val="auto"/>
        </w:rPr>
      </w:pPr>
    </w:p>
    <w:p>
      <w:pPr>
        <w:ind w:right="140" w:firstLine="629"/>
        <w:spacing w:after="0" w:line="276" w:lineRule="auto"/>
        <w:rPr>
          <w:sz w:val="20"/>
          <w:szCs w:val="20"/>
          <w:color w:val="auto"/>
        </w:rPr>
      </w:pPr>
      <w:r>
        <w:rPr>
          <w:rFonts w:ascii="Times New Roman" w:cs="Times New Roman" w:eastAsia="Times New Roman" w:hAnsi="Times New Roman"/>
          <w:sz w:val="17"/>
          <w:szCs w:val="17"/>
          <w:color w:val="auto"/>
        </w:rPr>
        <w:t>For the three and nine months ended September 30, 2024, the Company recorded $0.8 million and $1.1 million, respectively, in collaboration costs as research and development expenses. For the three and nine months ended September 30, 2023, the Company recorded $0.2 million and $1.2 million, respectively, in collaboration costs as research and development expenses.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Investment in and License Agreement with Overland Therapeutics, Inc.</w:t>
      </w:r>
    </w:p>
    <w:p>
      <w:pPr>
        <w:spacing w:after="0" w:line="123" w:lineRule="exact"/>
        <w:rPr>
          <w:sz w:val="20"/>
          <w:szCs w:val="20"/>
          <w:color w:val="auto"/>
        </w:rPr>
      </w:pPr>
    </w:p>
    <w:p>
      <w:pPr>
        <w:ind w:right="320" w:firstLine="629"/>
        <w:spacing w:after="0" w:line="296" w:lineRule="auto"/>
        <w:rPr>
          <w:sz w:val="20"/>
          <w:szCs w:val="20"/>
          <w:color w:val="auto"/>
        </w:rPr>
      </w:pPr>
      <w:r>
        <w:rPr>
          <w:rFonts w:ascii="Times New Roman" w:cs="Times New Roman" w:eastAsia="Times New Roman" w:hAnsi="Times New Roman"/>
          <w:sz w:val="17"/>
          <w:szCs w:val="17"/>
          <w:color w:val="auto"/>
        </w:rPr>
        <w:t>Allogene Overland Biopharm (CY) Limited (Allogene Overland), later renamed Overland Therapeutics Inc. (Overland Therapeutics), was initially established as a joint venture by the Company and Overland Pharmaceuticals (CY) Inc. (Overland)</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180"/>
        <w:spacing w:after="0" w:line="276" w:lineRule="auto"/>
        <w:rPr>
          <w:sz w:val="20"/>
          <w:szCs w:val="20"/>
          <w:color w:val="auto"/>
        </w:rPr>
      </w:pPr>
      <w:r>
        <w:rPr>
          <w:rFonts w:ascii="Times New Roman" w:cs="Times New Roman" w:eastAsia="Times New Roman" w:hAnsi="Times New Roman"/>
          <w:sz w:val="17"/>
          <w:szCs w:val="17"/>
          <w:color w:val="auto"/>
        </w:rPr>
        <w:t>pursuant to a Share Purchase Agreement (Share Purchase Agreement), dated December 14, 2020. Concurrently, on December 14, 2020, the Company entered into a License Agreement (License Agreement) with Allogene Overland for the purpose of developing, manufacturing and commercializing certain allogeneic CAR T cell therapies for patients in greater China, Taiwan, South Korea and Singapore (the JV Territory).</w:t>
      </w:r>
    </w:p>
    <w:p>
      <w:pPr>
        <w:spacing w:after="0" w:line="59" w:lineRule="exact"/>
        <w:rPr>
          <w:sz w:val="20"/>
          <w:szCs w:val="20"/>
          <w:color w:val="auto"/>
        </w:rPr>
      </w:pPr>
    </w:p>
    <w:p>
      <w:pPr>
        <w:ind w:right="160" w:firstLine="629"/>
        <w:spacing w:after="0" w:line="267" w:lineRule="auto"/>
        <w:rPr>
          <w:sz w:val="20"/>
          <w:szCs w:val="20"/>
          <w:color w:val="auto"/>
        </w:rPr>
      </w:pPr>
      <w:r>
        <w:rPr>
          <w:rFonts w:ascii="Times New Roman" w:cs="Times New Roman" w:eastAsia="Times New Roman" w:hAnsi="Times New Roman"/>
          <w:sz w:val="17"/>
          <w:szCs w:val="17"/>
          <w:color w:val="auto"/>
        </w:rPr>
        <w:t>Pursuant to the Share Purchase Agreement, the Company acquired Seed Preferred Shares in Allogene Overland representing 49% of Allogene Overland’s outstanding stock as partial consideration for the License Agreement, and Overland acquired Seed Preferred Shares representing 51% of Allogene Overland’s outstanding stock for $117.0 million in upfront and certain quarterly cash payments, to support operations of Allogene Overland. The Company received $40.0 million from Allogene Overland as partial consideration for the License Agreement. Until the Organizational Restructuring (as defined below), the Company and Overland were the sole equity holders in Allogene Overland.</w:t>
      </w:r>
    </w:p>
    <w:p>
      <w:pPr>
        <w:spacing w:after="0" w:line="65" w:lineRule="exact"/>
        <w:rPr>
          <w:sz w:val="20"/>
          <w:szCs w:val="20"/>
          <w:color w:val="auto"/>
        </w:rPr>
      </w:pPr>
    </w:p>
    <w:p>
      <w:pPr>
        <w:ind w:right="80" w:firstLine="629"/>
        <w:spacing w:after="0" w:line="265" w:lineRule="auto"/>
        <w:rPr>
          <w:sz w:val="20"/>
          <w:szCs w:val="20"/>
          <w:color w:val="auto"/>
        </w:rPr>
      </w:pPr>
      <w:r>
        <w:rPr>
          <w:rFonts w:ascii="Times New Roman" w:cs="Times New Roman" w:eastAsia="Times New Roman" w:hAnsi="Times New Roman"/>
          <w:sz w:val="17"/>
          <w:szCs w:val="17"/>
          <w:color w:val="auto"/>
        </w:rPr>
        <w:t>Pursuant to the License Agreement, the Company granted Allogene Overland an exclusive license to develop, manufacture and commercialize certain allogeneic CAR T cell candidates directed at four targets, BCMA, CD70, FLT3, and DLL3 (Overland Licensed Products), in the JV Territory. As consideration, the Company would also be entitled to additional regulatory milestone payments of up to $40.0 million and, subject to certain conditions, tiered low-to-mid single-digit sales royalties. Subsequent to entering into the License Agreement, Allogene Overland assigned the License Agreement to a wholly-owned subsidiary, Allogene Overland BioPharm (HK) Limited (Allogene Overland HK). On April 1, 2022, Allogene Overland HK assigned the License Agreement to Allogene Overland Biopharm (PRC) Co., Limited (Allogene Overland PRC).</w:t>
      </w:r>
    </w:p>
    <w:p>
      <w:pPr>
        <w:spacing w:after="0" w:line="67" w:lineRule="exact"/>
        <w:rPr>
          <w:sz w:val="20"/>
          <w:szCs w:val="20"/>
          <w:color w:val="auto"/>
        </w:rPr>
      </w:pPr>
    </w:p>
    <w:p>
      <w:pPr>
        <w:ind w:right="180" w:firstLine="629"/>
        <w:spacing w:after="0" w:line="296" w:lineRule="auto"/>
        <w:rPr>
          <w:sz w:val="20"/>
          <w:szCs w:val="20"/>
          <w:color w:val="auto"/>
        </w:rPr>
      </w:pPr>
      <w:r>
        <w:rPr>
          <w:rFonts w:ascii="Times New Roman" w:cs="Times New Roman" w:eastAsia="Times New Roman" w:hAnsi="Times New Roman"/>
          <w:sz w:val="17"/>
          <w:szCs w:val="17"/>
          <w:color w:val="auto"/>
        </w:rPr>
        <w:t>On May 24, 2024, the Company, Overland, and Allogene Overland entered into a Share Exchange Agreement (Share Exchange Agreement) pursuant to which Overland’s cell therapy business merged into Allogene Overland (the Organizational Restructuring).</w:t>
      </w:r>
    </w:p>
    <w:p>
      <w:pPr>
        <w:spacing w:after="0" w:line="42" w:lineRule="exact"/>
        <w:rPr>
          <w:sz w:val="20"/>
          <w:szCs w:val="20"/>
          <w:color w:val="auto"/>
        </w:rPr>
      </w:pPr>
    </w:p>
    <w:p>
      <w:pPr>
        <w:ind w:right="80" w:firstLine="629"/>
        <w:spacing w:after="0" w:line="263" w:lineRule="auto"/>
        <w:rPr>
          <w:sz w:val="20"/>
          <w:szCs w:val="20"/>
          <w:color w:val="auto"/>
        </w:rPr>
      </w:pPr>
      <w:r>
        <w:rPr>
          <w:rFonts w:ascii="Times New Roman" w:cs="Times New Roman" w:eastAsia="Times New Roman" w:hAnsi="Times New Roman"/>
          <w:sz w:val="17"/>
          <w:szCs w:val="17"/>
          <w:color w:val="auto"/>
        </w:rPr>
        <w:t>Under the Share Exchange Agreement, Allogene Overland acquired from Overland a 100% equity interest in Overland Pharmaceuticals (US) Inc. (Overland US). Overland US includes certain research and development, clinical, and general and administrative staff, as well as select cell therapy assets, including its lead program, OL-101, an autologous GPRC5D-BCMA bispecific dual targeting CAR T for refractory multiple myeloma. Upon completion of the closing of the share exchange, Overland US became a wholly owned subsidiary of Allogene Overland, Overland’s ownership increased to 82% and the Company’s ownership decreased to 18%. Under a separate agreement between Overland and HH BioPharma Holdings Ltd. (HBP) executed on May 24, 2024, Overland distributed all Series Seed Preferred Shares of Allogene Overland held by Overland to HBP and HBP has assumed all rights and obligations attached to such shares and all rights and obligations of Overland under the Share Exchange Agreement.</w:t>
      </w:r>
    </w:p>
    <w:p>
      <w:pPr>
        <w:spacing w:after="0" w:line="72"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In connection with the Organizational Restructuring, on May 24, 2024, the Company and Allogene Overland PRC, entered into a First Amendment to the License Agreement (the License Amendment) to amend and supplement certain provisions of the License Agreement. Under the License Amendment, the Company continues to grant Allogene Overland PRC an exclusive license to develop, manufacture, and commercialize the Licensed Products in the JV Territory, with the Company retaining exclusive rights to the Licensed Products outside the JV Territory, and the royalty obligations to the Company were amended to a flat mid single-digit royalty on net sales in the JV Territory that are no longer subject to reductions. The License Amendment also provides the Company with additional rights to terminate the License Agreement in its entirety or with respect to the relevant Overland Licensed Products if Allogene Overland PRC fails to initiate manufacturing technology transfer with respect to an Overland Licensed Product as agreed in the License Amendment, or if HBP commits a funding default or a material breach of its representations, warranties, or covenants under the Share Exchange Agreement. The License Amendment also provides that the License Agreement will terminate automatically if the Company’s ownership in Allogene Overland falls below 7.5% (other than due to the Company’s sale of the shares of Allogene Overland), unless at that time Allogene Overland PRC and the Company have mutually agreed on the manufacturing technology transfer plan for the Overland Licensed Products and Allogene Overland PRC elects to continue the license for such Overland Licensed Products with increased milestones and royalties. Under the License Amendment terms such increased milestones and royalties consist of up to $115.0 million in milestone payments for each Overland Licensed Product and tiered mid single-digit to low double-digit royalties on net sales in the JV Territory.</w:t>
      </w:r>
    </w:p>
    <w:p>
      <w:pPr>
        <w:spacing w:after="0" w:line="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As part of the Organizational Restructuring, Allogene Overland was renamed Overland Therapeutics Inc. (Overland Therapeutics).</w:t>
      </w:r>
    </w:p>
    <w:p>
      <w:pPr>
        <w:spacing w:after="0" w:line="119" w:lineRule="exact"/>
        <w:rPr>
          <w:sz w:val="20"/>
          <w:szCs w:val="20"/>
          <w:color w:val="auto"/>
        </w:rPr>
      </w:pPr>
    </w:p>
    <w:p>
      <w:pPr>
        <w:ind w:right="120" w:firstLine="629"/>
        <w:spacing w:after="0" w:line="276" w:lineRule="auto"/>
        <w:rPr>
          <w:sz w:val="20"/>
          <w:szCs w:val="20"/>
          <w:color w:val="auto"/>
        </w:rPr>
      </w:pPr>
      <w:r>
        <w:rPr>
          <w:rFonts w:ascii="Times New Roman" w:cs="Times New Roman" w:eastAsia="Times New Roman" w:hAnsi="Times New Roman"/>
          <w:sz w:val="17"/>
          <w:szCs w:val="17"/>
          <w:color w:val="auto"/>
        </w:rPr>
        <w:t>Based on the License Agreement, promises that the Company concluded were distinct performance obligations included: (1) the license of intellectual property and delivery of know-how, (2) the manufacturing license, related know-how and support, (3) know-how developed in future periods, and (4) participation in the joint steering committee.</w:t>
      </w:r>
    </w:p>
    <w:p>
      <w:pPr>
        <w:spacing w:after="0" w:line="59" w:lineRule="exact"/>
        <w:rPr>
          <w:sz w:val="20"/>
          <w:szCs w:val="20"/>
          <w:color w:val="auto"/>
        </w:rPr>
      </w:pPr>
    </w:p>
    <w:p>
      <w:pPr>
        <w:ind w:right="160" w:firstLine="629"/>
        <w:spacing w:after="0" w:line="270" w:lineRule="auto"/>
        <w:rPr>
          <w:sz w:val="20"/>
          <w:szCs w:val="20"/>
          <w:color w:val="auto"/>
        </w:rPr>
      </w:pPr>
      <w:r>
        <w:rPr>
          <w:rFonts w:ascii="Times New Roman" w:cs="Times New Roman" w:eastAsia="Times New Roman" w:hAnsi="Times New Roman"/>
          <w:sz w:val="17"/>
          <w:szCs w:val="17"/>
          <w:color w:val="auto"/>
        </w:rPr>
        <w:t>In order to determine the transaction price, the Company evaluated all the consideration to be received over the duration of the contract. Fixed consideration exists in the form of the upfront payment and Seed Preferred Shares in Allogene Overland. Regulatory milestones and royalties were considered variable consideration. The Company constrains the estimated variable consideration when it assesses it is probable that a significant reversal in the amount of cumulative revenue recognized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40"/>
        <w:spacing w:after="0" w:line="276" w:lineRule="auto"/>
        <w:rPr>
          <w:sz w:val="20"/>
          <w:szCs w:val="20"/>
          <w:color w:val="auto"/>
        </w:rPr>
      </w:pPr>
      <w:r>
        <w:rPr>
          <w:rFonts w:ascii="Times New Roman" w:cs="Times New Roman" w:eastAsia="Times New Roman" w:hAnsi="Times New Roman"/>
          <w:sz w:val="17"/>
          <w:szCs w:val="17"/>
          <w:color w:val="auto"/>
        </w:rPr>
        <w:t>may occur in future periods. Milestone fees were constrained and not included in the transaction price due to the uncertainties of research and development. The Company re-evaluates the transaction price, including the estimated variable consideration included in the transaction price and all constrained amounts, in each reporting period and as uncertain events are resolved or other changes in circumstances occur.</w:t>
      </w:r>
    </w:p>
    <w:p>
      <w:pPr>
        <w:spacing w:after="0" w:line="59" w:lineRule="exact"/>
        <w:rPr>
          <w:sz w:val="20"/>
          <w:szCs w:val="20"/>
          <w:color w:val="auto"/>
        </w:rPr>
      </w:pPr>
    </w:p>
    <w:p>
      <w:pPr>
        <w:ind w:right="100" w:firstLine="629"/>
        <w:spacing w:after="0" w:line="267" w:lineRule="auto"/>
        <w:rPr>
          <w:sz w:val="20"/>
          <w:szCs w:val="20"/>
          <w:color w:val="auto"/>
        </w:rPr>
      </w:pPr>
      <w:r>
        <w:rPr>
          <w:rFonts w:ascii="Times New Roman" w:cs="Times New Roman" w:eastAsia="Times New Roman" w:hAnsi="Times New Roman"/>
          <w:sz w:val="17"/>
          <w:szCs w:val="17"/>
          <w:color w:val="auto"/>
        </w:rPr>
        <w:t>The Company estimated the fair value of the shares of Seed Preferred Stock at $79.0 million, using probability adjusted future cash infusions based on the upfront and certain quarterly cash payments of $117.0 million committed by Overland. The probability for the future quarterly cash payments of 65% was developed based on consideration of the Company’s expectations for future cash infusions from Overland and was applied on a cumulative basis for each quarterly payment. The present value of the future quarterly cash payments was estimated using 11.9% annual discount rate. The fair value measurement is based on significant inputs not observable in the market and, therefore, represents a Level 3 measurement.</w:t>
      </w:r>
    </w:p>
    <w:p>
      <w:pPr>
        <w:spacing w:after="0" w:line="65"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The Company determined that the initial transaction price consists of the upfront payment of $40.0 million and noncash consideration of $79.0 million received in the form of the shares of Seed Preferred Stock. The allocation of the transaction price is performed based on standalone selling prices, which are based on estimated amounts that the Company would charge for a performance obligation if it were sold separately. The initial transaction price of $119.0 million was allocated as follows: (i) $114.0 million to the license of intellectual property and delivery of know-how, which was recognized upon grant of license and delivery of know-how in the consolidated financial statements for the year ended December 31, 2021 when the know-how was delivered; (ii) $2.3 million to the manufacturing license, related know-how and support, which will be recognized as services are delivered; (iii) $2.1 million to the know-how developed in future periods, which will be recognized as services are delivered, and (iv) $0.6 million to participation in the joint steering committee, which will be recognized over time as the services are delivered. Funds received in advance are recorded as deferred revenue and will be recognized as the performance obligations are satisfied.</w:t>
      </w:r>
    </w:p>
    <w:p>
      <w:pPr>
        <w:spacing w:after="0" w:line="284" w:lineRule="exact"/>
        <w:rPr>
          <w:sz w:val="20"/>
          <w:szCs w:val="20"/>
          <w:color w:val="auto"/>
        </w:rPr>
      </w:pPr>
    </w:p>
    <w:p>
      <w:pPr>
        <w:jc w:val="both"/>
        <w:ind w:right="140" w:firstLine="629"/>
        <w:spacing w:after="0" w:line="270" w:lineRule="auto"/>
        <w:rPr>
          <w:sz w:val="20"/>
          <w:szCs w:val="20"/>
          <w:color w:val="auto"/>
        </w:rPr>
      </w:pPr>
      <w:r>
        <w:rPr>
          <w:rFonts w:ascii="Times New Roman" w:cs="Times New Roman" w:eastAsia="Times New Roman" w:hAnsi="Times New Roman"/>
          <w:sz w:val="17"/>
          <w:szCs w:val="17"/>
          <w:color w:val="auto"/>
        </w:rPr>
        <w:t>Based on the License Amendment, the Company determined that the remaining transaction price was $4.6 million and it was allocated as follows: (i) $1.9 million to the manufacturing license, related know-how and support, which will be recognized as services are delivered and (ii) $2.7 million to the know-how developed in future periods, which will be recognized as services are delivered. As of September 30, 2024, $4.6 million of deferred revenue was recorded in other long-term liabilities.</w:t>
      </w:r>
    </w:p>
    <w:p>
      <w:pPr>
        <w:spacing w:after="0" w:line="63" w:lineRule="exact"/>
        <w:rPr>
          <w:sz w:val="20"/>
          <w:szCs w:val="20"/>
          <w:color w:val="auto"/>
        </w:rPr>
      </w:pPr>
    </w:p>
    <w:p>
      <w:pPr>
        <w:ind w:right="200" w:firstLine="629"/>
        <w:spacing w:after="0" w:line="262" w:lineRule="auto"/>
        <w:rPr>
          <w:sz w:val="20"/>
          <w:szCs w:val="20"/>
          <w:color w:val="auto"/>
        </w:rPr>
      </w:pPr>
      <w:r>
        <w:rPr>
          <w:rFonts w:ascii="Times New Roman" w:cs="Times New Roman" w:eastAsia="Times New Roman" w:hAnsi="Times New Roman"/>
          <w:sz w:val="17"/>
          <w:szCs w:val="17"/>
          <w:color w:val="auto"/>
        </w:rPr>
        <w:t>The Company determined that Overland Therapeutics is a variable interest entity as of September 30, 2024 and December 31, 2023. The Company does not have the power to direct the activities which most significantly affect Overland Therapeutics’ economic performance. Accordingly, the Company did not consolidate Overland Therapeutics because the Company determined that it was not the primary beneficiary. After the Organizational Restructuring, the Company has 20% voting rights of Overland Therapeutics’ board of directors. The Company concluded that it has significant influence over Overland Therapeutics and continued to account for its investment in Overland Therapeutics as an equity method investment. In connection with the Organizational Restructuring, the Company recorded an increase in its equity method investment in Overland Therapeutics and corresponding gain of $1.1 million. The Company’s total equity investment in Overland Therapeutics was zero as of September 30, 2024 and December 31, 2023 (see Note 8). For the three and nine months ended September 30, 2024 and 2023, the Company recognized less than $0.1 million of collaboration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Collaboration and License Agreement with Antion</w:t>
      </w:r>
    </w:p>
    <w:p>
      <w:pPr>
        <w:spacing w:after="0" w:line="123"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On January 5, 2022, the Company entered into an exclusive collaboration and global license agreement (Antion Collaboration and License Agreement) with Antion Biosciences SA (Antion) for Antion’s miRNA technology (miCAR), to advance multiplex gene silencing as an additional tool to develop next generation allogeneic CAR T products. Pursuant to the agreement, Antion will exclusively collaborate with the Company on oncology products for a defined period. The Company will also have exclusive worldwide rights to commercialize products incorporating Antion technology developed during the collaboration.</w:t>
      </w:r>
    </w:p>
    <w:p>
      <w:pPr>
        <w:spacing w:after="0" w:line="63" w:lineRule="exact"/>
        <w:rPr>
          <w:sz w:val="20"/>
          <w:szCs w:val="20"/>
          <w:color w:val="auto"/>
        </w:rPr>
      </w:pPr>
    </w:p>
    <w:p>
      <w:pPr>
        <w:jc w:val="both"/>
        <w:ind w:right="380" w:firstLine="629"/>
        <w:spacing w:after="0" w:line="276" w:lineRule="auto"/>
        <w:rPr>
          <w:sz w:val="20"/>
          <w:szCs w:val="20"/>
          <w:color w:val="auto"/>
        </w:rPr>
      </w:pPr>
      <w:r>
        <w:rPr>
          <w:rFonts w:ascii="Times New Roman" w:cs="Times New Roman" w:eastAsia="Times New Roman" w:hAnsi="Times New Roman"/>
          <w:sz w:val="17"/>
          <w:szCs w:val="17"/>
          <w:color w:val="auto"/>
        </w:rPr>
        <w:t>The Antion Collaboration and License Agreement includes an exclusive research collaboration to conduct research and development of the use of Antion’s proprietary technologies to produce certain products for a defined period, which will be conducted in accordance with an agreed research plan and budget under the oversight of a joint steering committee. The Company will reimburse Antion's costs incurred in accordance with such plan and budget.</w:t>
      </w:r>
    </w:p>
    <w:p>
      <w:pPr>
        <w:spacing w:after="0" w:line="59" w:lineRule="exact"/>
        <w:rPr>
          <w:sz w:val="20"/>
          <w:szCs w:val="20"/>
          <w:color w:val="auto"/>
        </w:rPr>
      </w:pPr>
    </w:p>
    <w:p>
      <w:pPr>
        <w:ind w:right="40" w:firstLine="629"/>
        <w:spacing w:after="0" w:line="267" w:lineRule="auto"/>
        <w:rPr>
          <w:sz w:val="20"/>
          <w:szCs w:val="20"/>
          <w:color w:val="auto"/>
        </w:rPr>
      </w:pPr>
      <w:r>
        <w:rPr>
          <w:rFonts w:ascii="Times New Roman" w:cs="Times New Roman" w:eastAsia="Times New Roman" w:hAnsi="Times New Roman"/>
          <w:sz w:val="17"/>
          <w:szCs w:val="17"/>
          <w:color w:val="auto"/>
        </w:rPr>
        <w:t>In connection with the execution of the Antion Collaboration and License Agreement, the Company made an upfront payment to Antion of $3.5 million in return for a license to access Antion’s technology in order to conduct research pursuant to the agreement. The upfront payment was fully recognized as research and development expense as the license had no foreseeable alternative future use. In addition, the Company made a $3.0 million investment in Antion’s preferred stock. The Company accounts for its investment in Antion’s preferred stock as an equity investment measured at cost less any impairment. In connection with this investment, a Company representative was appointed to Antion’s Board of Directors.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80" w:firstLine="629"/>
        <w:spacing w:after="0" w:line="267" w:lineRule="auto"/>
        <w:rPr>
          <w:sz w:val="20"/>
          <w:szCs w:val="20"/>
          <w:color w:val="auto"/>
        </w:rPr>
      </w:pPr>
      <w:r>
        <w:rPr>
          <w:rFonts w:ascii="Times New Roman" w:cs="Times New Roman" w:eastAsia="Times New Roman" w:hAnsi="Times New Roman"/>
          <w:sz w:val="17"/>
          <w:szCs w:val="17"/>
          <w:color w:val="auto"/>
        </w:rPr>
        <w:t>In July 2023, the Company and Antion entered into an amendment to the Antion Collaboration and License Agreement. Under the terms of this amendment, Antion’s exclusivity obligation relating to the collaboration was terminated; however, Antion agreed to certain restrictions on its ability to pursue products directed against specific targets. Also, in lieu of the Company’s prior obligation to make a $3.0 million investment in Antion following the completion of certain milestones, the Company agreed to make a $2.0 million investment in Antion's preferred stock and acquired warrants to purchase an additional $3.0 million of Antion's preferred stock.</w:t>
      </w:r>
    </w:p>
    <w:p>
      <w:pPr>
        <w:spacing w:after="0" w:line="65" w:lineRule="exact"/>
        <w:rPr>
          <w:sz w:val="20"/>
          <w:szCs w:val="20"/>
          <w:color w:val="auto"/>
        </w:rPr>
      </w:pPr>
    </w:p>
    <w:p>
      <w:pPr>
        <w:ind w:right="180" w:firstLine="629"/>
        <w:spacing w:after="0" w:line="276" w:lineRule="auto"/>
        <w:rPr>
          <w:sz w:val="20"/>
          <w:szCs w:val="20"/>
          <w:color w:val="auto"/>
        </w:rPr>
      </w:pPr>
      <w:r>
        <w:rPr>
          <w:rFonts w:ascii="Times New Roman" w:cs="Times New Roman" w:eastAsia="Times New Roman" w:hAnsi="Times New Roman"/>
          <w:sz w:val="17"/>
          <w:szCs w:val="17"/>
          <w:color w:val="auto"/>
        </w:rPr>
        <w:t>Under the Antion Collaboration and License Agreement, Antion will be eligible to receive up to $35.3 million for four products upon achievement of certain development and regulatory milestones. For each additional product, Antion will be eligible to receive $2.0 million upon achievement of a regulatory milestone. Antion is also entitled to receive a low single-digit royalty on the Company’s sales of licensed products, subject to certain reductions.</w:t>
      </w:r>
    </w:p>
    <w:p>
      <w:pPr>
        <w:spacing w:after="0" w:line="59" w:lineRule="exact"/>
        <w:rPr>
          <w:sz w:val="20"/>
          <w:szCs w:val="20"/>
          <w:color w:val="auto"/>
        </w:rPr>
      </w:pPr>
    </w:p>
    <w:p>
      <w:pPr>
        <w:ind w:right="380" w:firstLine="629"/>
        <w:spacing w:after="0" w:line="276" w:lineRule="auto"/>
        <w:rPr>
          <w:sz w:val="20"/>
          <w:szCs w:val="20"/>
          <w:color w:val="auto"/>
        </w:rPr>
      </w:pPr>
      <w:r>
        <w:rPr>
          <w:rFonts w:ascii="Times New Roman" w:cs="Times New Roman" w:eastAsia="Times New Roman" w:hAnsi="Times New Roman"/>
          <w:sz w:val="17"/>
          <w:szCs w:val="17"/>
          <w:color w:val="auto"/>
        </w:rPr>
        <w:t>For the three and nine months ended September 30, 2024, the Company recorded zero research and development expenses related to collaboration costs. For the three and nine months ended September 30, 2023, the Company recorded zero and $1.8 million, respectively, in research and development expenses related to collaboration costs. As of September 30, 2024 and December 31, 2023, the Company’s total equity investment in Antion was zero.</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Strategic Collaboration Agreement with Foresight Diagnostics</w:t>
      </w:r>
    </w:p>
    <w:p>
      <w:pPr>
        <w:spacing w:after="0" w:line="110" w:lineRule="exact"/>
        <w:rPr>
          <w:sz w:val="20"/>
          <w:szCs w:val="20"/>
          <w:color w:val="auto"/>
        </w:rPr>
      </w:pPr>
    </w:p>
    <w:p>
      <w:pPr>
        <w:ind w:right="80" w:firstLine="629"/>
        <w:spacing w:after="0" w:line="244" w:lineRule="auto"/>
        <w:rPr>
          <w:sz w:val="20"/>
          <w:szCs w:val="20"/>
          <w:color w:val="auto"/>
        </w:rPr>
      </w:pPr>
      <w:r>
        <w:rPr>
          <w:rFonts w:ascii="Times New Roman" w:cs="Times New Roman" w:eastAsia="Times New Roman" w:hAnsi="Times New Roman"/>
          <w:sz w:val="17"/>
          <w:szCs w:val="17"/>
          <w:color w:val="auto"/>
        </w:rPr>
        <w:t>On January 3, 2024, the Company entered into a Strategic Collaboration Agreement with Foresight Diagnostics, Inc. (Foresight Diagnostics) (the Foresight Agreement). Pursuant to the Foresight Agreement, the parties have agreed to collaborate on a non-exclusive basis in the development of Foresight Diagnostics’ minimal residual disease (MRD) assay based on their PhasED-Seq Circulating Tumor DNA Platform as an in vitro diagnostic to identify the MRD+ patient population to be enrolled in the Company’s ALPHA3 trial of cema-cel, for treatment of large B cell lymphoma. Under the Foresight Agreement, the Company has agreed to use its commercially reasonable efforts to obtain regulatory approval of cema-cel, and Foresight Diagnostics has agreed to use its commercially reasonable efforts to obtain regulatory approval of its MRD assay for use as an in vitro diagnostic with cema-cel. The Company has agreed to fund approximately $26.2 million in MRD assay development costs, milestone payments for regulatory submissions and assay utilization to process clinical samples.</w:t>
      </w:r>
    </w:p>
    <w:p>
      <w:pPr>
        <w:spacing w:after="0" w:line="285" w:lineRule="exact"/>
        <w:rPr>
          <w:sz w:val="20"/>
          <w:szCs w:val="20"/>
          <w:color w:val="auto"/>
        </w:rPr>
      </w:pPr>
    </w:p>
    <w:p>
      <w:pPr>
        <w:ind w:right="780" w:firstLine="629"/>
        <w:spacing w:after="0" w:line="296" w:lineRule="auto"/>
        <w:rPr>
          <w:sz w:val="20"/>
          <w:szCs w:val="20"/>
          <w:color w:val="auto"/>
        </w:rPr>
      </w:pPr>
      <w:r>
        <w:rPr>
          <w:rFonts w:ascii="Times New Roman" w:cs="Times New Roman" w:eastAsia="Times New Roman" w:hAnsi="Times New Roman"/>
          <w:sz w:val="17"/>
          <w:szCs w:val="17"/>
          <w:color w:val="auto"/>
        </w:rPr>
        <w:t>For the three and nine months ended September 30, 2024, the Company recorded $0.5 million and $2.7 million, respectively, of research and development expenses related to clinical trials start readiness milestones.</w:t>
      </w:r>
    </w:p>
    <w:p>
      <w:pPr>
        <w:spacing w:after="0" w:line="249" w:lineRule="exact"/>
        <w:rPr>
          <w:sz w:val="20"/>
          <w:szCs w:val="20"/>
          <w:color w:val="auto"/>
        </w:rPr>
      </w:pPr>
    </w:p>
    <w:p>
      <w:pPr>
        <w:ind w:left="520" w:hanging="515"/>
        <w:spacing w:after="0"/>
        <w:tabs>
          <w:tab w:leader="none" w:pos="5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23" w:lineRule="exact"/>
        <w:rPr>
          <w:sz w:val="20"/>
          <w:szCs w:val="20"/>
          <w:color w:val="auto"/>
        </w:rPr>
      </w:pPr>
    </w:p>
    <w:p>
      <w:pPr>
        <w:ind w:right="20" w:firstLine="629"/>
        <w:spacing w:after="0" w:line="262" w:lineRule="auto"/>
        <w:rPr>
          <w:sz w:val="20"/>
          <w:szCs w:val="20"/>
          <w:color w:val="auto"/>
        </w:rPr>
      </w:pPr>
      <w:r>
        <w:rPr>
          <w:rFonts w:ascii="Times New Roman" w:cs="Times New Roman" w:eastAsia="Times New Roman" w:hAnsi="Times New Roman"/>
          <w:sz w:val="17"/>
          <w:szCs w:val="17"/>
          <w:color w:val="auto"/>
        </w:rPr>
        <w:t>In August 2018, the Company entered into an operating lease agreement (HQ Lease) for office and laboratory space which consists of approximately 68,000 square feet located in South San Francisco, California. The lease term was 127 months beginning August 2018 through February 2029 with an option to extend the term for seven years which was not reasonably assured of exercise. The Company has made certain tenant improvements, including the addition of laboratory space, and has received $5.0 million of tenant improvement allowances through December 31, 2020. The rent payments began on March 1, 2019 after an abatement period. In December 2021, the Company amended its lease agreement to lease an additional 47,566 square feet of office and laboratory space in South San Francisco, California, as part of the same building as the Company’s current headquarters. The lease term commenced in April 2022 and is for a period of 120 months. The rent payments for the expansion premises began in August 2022 after an abatement period. The lease term for the existing premises was also extended and the lease for both the existing and expansion premises will expire on March 31, 2032 with an option to extend the term for eight years which is not reasonably assured of exercise.</w:t>
      </w:r>
    </w:p>
    <w:p>
      <w:pPr>
        <w:spacing w:after="0" w:line="70"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In October 2018, the Company entered into an operating lease agreement for office and laboratory space which consists of 14,943 square feet located in South San Francisco, California. The lease term was 124 months beginning November 2018 through February 2029, with an option to extend the term for another seven years which was not reasonably assured of exercise. The Company has made certain tenant improvements, including the upgrading of current office and laboratory space with a lease incentive allowance of $0.8 million. Rent payments began in November 2018. In December 2021, the Company amended its lease agreement to extend the term of the lease to be co-terminus with the HQ Lease. The lease term will expire on March 31, 2032 with an option to extend the term for eight years which is not reasonably assured of exercise.</w:t>
      </w:r>
    </w:p>
    <w:p>
      <w:pPr>
        <w:spacing w:after="0" w:line="67" w:lineRule="exact"/>
        <w:rPr>
          <w:sz w:val="20"/>
          <w:szCs w:val="20"/>
          <w:color w:val="auto"/>
        </w:rPr>
      </w:pPr>
    </w:p>
    <w:p>
      <w:pPr>
        <w:ind w:right="60" w:firstLine="629"/>
        <w:spacing w:after="0" w:line="270" w:lineRule="auto"/>
        <w:rPr>
          <w:sz w:val="20"/>
          <w:szCs w:val="20"/>
          <w:color w:val="auto"/>
        </w:rPr>
      </w:pPr>
      <w:r>
        <w:rPr>
          <w:rFonts w:ascii="Times New Roman" w:cs="Times New Roman" w:eastAsia="Times New Roman" w:hAnsi="Times New Roman"/>
          <w:sz w:val="17"/>
          <w:szCs w:val="17"/>
          <w:color w:val="auto"/>
        </w:rPr>
        <w:t>In February 2019, the Company entered into a lease agreement for approximately 118,000 square feet of space to develop a cell therapy manufacturing facility in Newark, California. The lease term is 188 months and began in November 2020. Upon certain conditions, the Company has two ten-year options to extend the lease, both of which are not reasonably assured of exercise. The Company has received $3.0 million of tenant improvement allowances for costs related to the design and construction of certain Company improvements.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firstLine="629"/>
        <w:spacing w:after="0" w:line="296" w:lineRule="auto"/>
        <w:rPr>
          <w:sz w:val="20"/>
          <w:szCs w:val="20"/>
          <w:color w:val="auto"/>
        </w:rPr>
      </w:pPr>
      <w:r>
        <w:rPr>
          <w:rFonts w:ascii="Times New Roman" w:cs="Times New Roman" w:eastAsia="Times New Roman" w:hAnsi="Times New Roman"/>
          <w:sz w:val="17"/>
          <w:szCs w:val="17"/>
          <w:color w:val="auto"/>
        </w:rPr>
        <w:t>In February 2023, the Company entered into a sublease with Bellco Capital Advisors Inc. (Bellco) for 2,218 square feet of office space in Los Angeles, California. The sublease term is 115 months, subject to certain early termination rights. The sublease commenced on January 1, 2024.</w:t>
      </w:r>
    </w:p>
    <w:p>
      <w:pPr>
        <w:spacing w:after="0" w:line="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 maintains letters of credit for the benefit of landlords which is disclosed as restricted cash in the condensed consolidated balance sheets.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Restricted cash related to letters of credit due to landlords was $6.0 million as of September 30, 2024 and December 31, 2023.</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balance sheet classification of our lease liabilities were as follows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6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September 30, 2024</w:t>
            </w:r>
          </w:p>
        </w:tc>
        <w:tc>
          <w:tcPr>
            <w:tcW w:w="220" w:type="dxa"/>
            <w:vAlign w:val="bottom"/>
          </w:tcPr>
          <w:p>
            <w:pPr>
              <w:spacing w:after="0"/>
              <w:rPr>
                <w:sz w:val="19"/>
                <w:szCs w:val="19"/>
                <w:color w:val="auto"/>
              </w:rPr>
            </w:pPr>
          </w:p>
        </w:tc>
        <w:tc>
          <w:tcPr>
            <w:tcW w:w="184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03"/>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60" w:type="dxa"/>
            <w:vAlign w:val="bottom"/>
            <w:tcBorders>
              <w:top w:val="single" w:sz="8" w:color="auto"/>
            </w:tcBorders>
            <w:shd w:val="clear" w:color="auto" w:fill="CCEEFF"/>
          </w:tcPr>
          <w:p>
            <w:pPr>
              <w:spacing w:after="0"/>
              <w:rPr>
                <w:sz w:val="17"/>
                <w:szCs w:val="17"/>
                <w:color w:val="auto"/>
              </w:rPr>
            </w:pPr>
          </w:p>
        </w:tc>
        <w:tc>
          <w:tcPr>
            <w:tcW w:w="2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rPr>
                <w:sz w:val="17"/>
                <w:szCs w:val="17"/>
                <w:color w:val="auto"/>
              </w:rPr>
            </w:pPr>
          </w:p>
        </w:tc>
      </w:tr>
      <w:tr>
        <w:trPr>
          <w:trHeight w:val="223"/>
        </w:trPr>
        <w:tc>
          <w:tcPr>
            <w:tcW w:w="676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Current portion included in accrued and other current liabilities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7,389</w:t>
            </w:r>
          </w:p>
        </w:tc>
        <w:tc>
          <w:tcPr>
            <w:tcW w:w="80" w:type="dxa"/>
            <w:vAlign w:val="bottom"/>
          </w:tcPr>
          <w:p>
            <w:pPr>
              <w:spacing w:after="0"/>
              <w:rPr>
                <w:sz w:val="19"/>
                <w:szCs w:val="19"/>
                <w:color w:val="auto"/>
              </w:rPr>
            </w:pP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6,775</w:t>
            </w:r>
          </w:p>
        </w:tc>
      </w:tr>
      <w:tr>
        <w:trPr>
          <w:trHeight w:val="223"/>
        </w:trPr>
        <w:tc>
          <w:tcPr>
            <w:tcW w:w="67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Long-term portion of 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85,135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88,346</w:t>
            </w:r>
          </w:p>
        </w:tc>
      </w:tr>
      <w:tr>
        <w:trPr>
          <w:trHeight w:val="216"/>
        </w:trPr>
        <w:tc>
          <w:tcPr>
            <w:tcW w:w="67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operating lease liabilities</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92,525</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95,121</w:t>
            </w:r>
          </w:p>
        </w:tc>
      </w:tr>
      <w:tr>
        <w:trPr>
          <w:trHeight w:val="20"/>
        </w:trPr>
        <w:tc>
          <w:tcPr>
            <w:tcW w:w="6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components of lease costs for operating leases, which were recognized in operating expenses, were as follows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20" w:type="dxa"/>
            <w:vAlign w:val="bottom"/>
          </w:tcPr>
          <w:p>
            <w:pPr>
              <w:spacing w:after="0"/>
              <w:rPr>
                <w:sz w:val="17"/>
                <w:szCs w:val="17"/>
                <w:color w:val="auto"/>
              </w:rPr>
            </w:pPr>
          </w:p>
        </w:tc>
        <w:tc>
          <w:tcPr>
            <w:tcW w:w="2420" w:type="dxa"/>
            <w:vAlign w:val="bottom"/>
            <w:gridSpan w:val="4"/>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5"/>
          </w:tcPr>
          <w:p>
            <w:pPr>
              <w:ind w:left="400"/>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33"/>
        </w:trPr>
        <w:tc>
          <w:tcPr>
            <w:tcW w:w="5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9"/>
        </w:trPr>
        <w:tc>
          <w:tcPr>
            <w:tcW w:w="5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0" w:type="dxa"/>
            <w:vAlign w:val="bottom"/>
            <w:tcBorders>
              <w:bottom w:val="single" w:sz="8" w:color="CCEEFF"/>
            </w:tcBorders>
          </w:tcPr>
          <w:p>
            <w:pPr>
              <w:spacing w:after="0"/>
              <w:rPr>
                <w:sz w:val="19"/>
                <w:szCs w:val="19"/>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92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9,536</w:t>
            </w:r>
          </w:p>
        </w:tc>
        <w:tc>
          <w:tcPr>
            <w:tcW w:w="100" w:type="dxa"/>
            <w:vAlign w:val="bottom"/>
            <w:shd w:val="clear" w:color="auto" w:fill="CCEEFF"/>
          </w:tcPr>
          <w:p>
            <w:pPr>
              <w:spacing w:after="0"/>
              <w:rPr>
                <w:sz w:val="18"/>
                <w:szCs w:val="18"/>
                <w:color w:val="auto"/>
              </w:rPr>
            </w:pPr>
          </w:p>
        </w:tc>
      </w:tr>
      <w:tr>
        <w:trPr>
          <w:trHeight w:val="223"/>
        </w:trPr>
        <w:tc>
          <w:tcPr>
            <w:tcW w:w="5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2,209</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1,950</w:t>
            </w:r>
          </w:p>
        </w:tc>
        <w:tc>
          <w:tcPr>
            <w:tcW w:w="100" w:type="dxa"/>
            <w:vAlign w:val="bottom"/>
            <w:tcBorders>
              <w:bottom w:val="single" w:sz="8" w:color="CCEEFF"/>
            </w:tcBorders>
          </w:tcPr>
          <w:p>
            <w:pPr>
              <w:spacing w:after="0"/>
              <w:rPr>
                <w:sz w:val="19"/>
                <w:szCs w:val="19"/>
                <w:color w:val="auto"/>
              </w:rPr>
            </w:pPr>
          </w:p>
        </w:tc>
      </w:tr>
      <w:tr>
        <w:trPr>
          <w:trHeight w:val="241"/>
        </w:trPr>
        <w:tc>
          <w:tcPr>
            <w:tcW w:w="512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Total lease costs</w:t>
            </w: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3,734</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11,140</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70" w:lineRule="exact"/>
        <w:rPr>
          <w:sz w:val="20"/>
          <w:szCs w:val="20"/>
          <w:color w:val="auto"/>
        </w:rPr>
      </w:pPr>
    </w:p>
    <w:p>
      <w:pPr>
        <w:ind w:right="560" w:firstLine="629"/>
        <w:spacing w:after="0" w:line="296" w:lineRule="auto"/>
        <w:rPr>
          <w:sz w:val="20"/>
          <w:szCs w:val="20"/>
          <w:color w:val="auto"/>
        </w:rPr>
      </w:pPr>
      <w:r>
        <w:rPr>
          <w:rFonts w:ascii="Times New Roman" w:cs="Times New Roman" w:eastAsia="Times New Roman" w:hAnsi="Times New Roman"/>
          <w:sz w:val="17"/>
          <w:szCs w:val="17"/>
          <w:color w:val="auto"/>
        </w:rPr>
        <w:t>Cash paid for amounts included in the measurement of lease liabilities for the nine months ended September 30, 2024 was $9.3 million and was included in net cash used in operating activities in the Company's condensed consolidated statements of cash flows.</w:t>
      </w:r>
    </w:p>
    <w:p>
      <w:pPr>
        <w:spacing w:after="0" w:line="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undiscounted future non-cancellable lease payments under the Company's operating leases as of September 30, 2024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160" w:type="dxa"/>
            <w:vAlign w:val="bottom"/>
          </w:tcPr>
          <w:p>
            <w:pPr>
              <w:spacing w:after="0"/>
              <w:rPr>
                <w:sz w:val="19"/>
                <w:szCs w:val="19"/>
                <w:color w:val="auto"/>
              </w:rPr>
            </w:pPr>
          </w:p>
        </w:tc>
        <w:tc>
          <w:tcPr>
            <w:tcW w:w="1360" w:type="dxa"/>
            <w:vAlign w:val="bottom"/>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(In thousands)</w:t>
            </w:r>
          </w:p>
        </w:tc>
      </w:tr>
      <w:tr>
        <w:trPr>
          <w:trHeight w:val="223"/>
        </w:trPr>
        <w:tc>
          <w:tcPr>
            <w:tcW w:w="97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2024 (remaining 3 months)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3,197</w:t>
            </w:r>
          </w:p>
        </w:tc>
      </w:tr>
      <w:tr>
        <w:trPr>
          <w:trHeight w:val="223"/>
        </w:trPr>
        <w:tc>
          <w:tcPr>
            <w:tcW w:w="9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2025</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12,920</w:t>
            </w:r>
          </w:p>
        </w:tc>
      </w:tr>
      <w:tr>
        <w:trPr>
          <w:trHeight w:val="223"/>
        </w:trPr>
        <w:tc>
          <w:tcPr>
            <w:tcW w:w="9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2026</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13,163</w:t>
            </w:r>
          </w:p>
        </w:tc>
      </w:tr>
      <w:tr>
        <w:trPr>
          <w:trHeight w:val="223"/>
        </w:trPr>
        <w:tc>
          <w:tcPr>
            <w:tcW w:w="9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2027</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13,612</w:t>
            </w:r>
          </w:p>
        </w:tc>
      </w:tr>
      <w:tr>
        <w:trPr>
          <w:trHeight w:val="223"/>
        </w:trPr>
        <w:tc>
          <w:tcPr>
            <w:tcW w:w="9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2028</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14,076</w:t>
            </w:r>
          </w:p>
        </w:tc>
      </w:tr>
      <w:tr>
        <w:trPr>
          <w:trHeight w:val="223"/>
        </w:trPr>
        <w:tc>
          <w:tcPr>
            <w:tcW w:w="9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2029 and thereafter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65,386</w:t>
            </w:r>
          </w:p>
        </w:tc>
      </w:tr>
      <w:tr>
        <w:trPr>
          <w:trHeight w:val="216"/>
        </w:trPr>
        <w:tc>
          <w:tcPr>
            <w:tcW w:w="9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undiscounted lease payments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122,354</w:t>
            </w:r>
          </w:p>
        </w:tc>
      </w:tr>
      <w:tr>
        <w:trPr>
          <w:trHeight w:val="223"/>
        </w:trPr>
        <w:tc>
          <w:tcPr>
            <w:tcW w:w="9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Less: Present value adjustment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(29,829)</w:t>
            </w:r>
          </w:p>
        </w:tc>
      </w:tr>
      <w:tr>
        <w:trPr>
          <w:trHeight w:val="241"/>
        </w:trPr>
        <w:tc>
          <w:tcPr>
            <w:tcW w:w="9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92,525</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80" w:firstLine="629"/>
        <w:spacing w:after="0" w:line="276" w:lineRule="auto"/>
        <w:rPr>
          <w:sz w:val="20"/>
          <w:szCs w:val="20"/>
          <w:color w:val="auto"/>
        </w:rPr>
      </w:pPr>
      <w:r>
        <w:rPr>
          <w:rFonts w:ascii="Times New Roman" w:cs="Times New Roman" w:eastAsia="Times New Roman" w:hAnsi="Times New Roman"/>
          <w:sz w:val="17"/>
          <w:szCs w:val="17"/>
          <w:color w:val="auto"/>
        </w:rPr>
        <w:t>Operating lease liabilities are based on the net present value of the remaining lease payments over the remaining lease term. In determining the present value of lease payments, the Company uses its estimated incremental borrowing rate. The weighted average discount rate used to determine the operating lease liability was 6.25%. As of September 30, 2024, the weighted average remaining lease term for our operating leases is 8.35 years.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Commitments</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 July 2020, the Company entered into a Solar Power Purchase and Energy Services Agreement for the installation and operation of a solar</w:t>
      </w:r>
    </w:p>
    <w:p>
      <w:pPr>
        <w:spacing w:after="0" w:line="21"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7"/>
          <w:szCs w:val="17"/>
          <w:color w:val="auto"/>
        </w:rPr>
        <w:t>photovoltaic generating system and battery energy storage system at the Company's cell therapy manufacturing facility in Newark, California. The agreement has a term of 20 years and commenced in September 2022. The Company is obligated to pay for electricity generated from the system at an agreed rate for the duration of the agreement term. Termination of the agreement by the Company will result in a termination payment due of approximately $4.3 million. In</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7"/>
          <w:szCs w:val="17"/>
          <w:color w:val="auto"/>
        </w:rPr>
        <w:t>connection with the agreement, the Company maintains a letter of credit for the benefit of the service provider in the amount of $4.3 million which is recorded as restricted cash in the condensed consolidated balance sheets as of September 30, 2024 and December 31, 2023.</w:t>
      </w:r>
    </w:p>
    <w:p>
      <w:pPr>
        <w:spacing w:after="0" w:line="159" w:lineRule="exact"/>
        <w:rPr>
          <w:sz w:val="20"/>
          <w:szCs w:val="20"/>
          <w:color w:val="auto"/>
        </w:rPr>
      </w:pPr>
    </w:p>
    <w:p>
      <w:pPr>
        <w:ind w:right="140" w:firstLine="629"/>
        <w:spacing w:after="0" w:line="259" w:lineRule="auto"/>
        <w:rPr>
          <w:sz w:val="20"/>
          <w:szCs w:val="20"/>
          <w:color w:val="auto"/>
        </w:rPr>
      </w:pPr>
      <w:r>
        <w:rPr>
          <w:rFonts w:ascii="Times New Roman" w:cs="Times New Roman" w:eastAsia="Times New Roman" w:hAnsi="Times New Roman"/>
          <w:sz w:val="17"/>
          <w:szCs w:val="17"/>
          <w:color w:val="auto"/>
        </w:rPr>
        <w:t>The Company has entered into certain license agreements for intellectual property which is used as part of its development and manufacturing processes. Each of these respective agreements are generally cancellable by the Company. These agreements require payment of annual license fees and may include conditional milestone payments for achievement of specific research, clinical and commercial events, and royalty payments. The timing and likelihood of any significant conditional milestone payments or royalty payments becoming due was not probable as of September 30, 2024.</w:t>
      </w:r>
    </w:p>
    <w:p>
      <w:pPr>
        <w:spacing w:after="0" w:line="165" w:lineRule="exact"/>
        <w:rPr>
          <w:sz w:val="20"/>
          <w:szCs w:val="20"/>
          <w:color w:val="auto"/>
        </w:rPr>
      </w:pPr>
    </w:p>
    <w:p>
      <w:pPr>
        <w:ind w:right="20" w:firstLine="629"/>
        <w:spacing w:after="0" w:line="268" w:lineRule="auto"/>
        <w:rPr>
          <w:sz w:val="20"/>
          <w:szCs w:val="20"/>
          <w:color w:val="auto"/>
        </w:rPr>
      </w:pPr>
      <w:r>
        <w:rPr>
          <w:rFonts w:ascii="Times New Roman" w:cs="Times New Roman" w:eastAsia="Times New Roman" w:hAnsi="Times New Roman"/>
          <w:sz w:val="17"/>
          <w:szCs w:val="17"/>
          <w:color w:val="auto"/>
        </w:rPr>
        <w:t>The Company enters into contracts in the normal course of business that includes arrangements with clinical research organizations, vendors for preclinical research and vendors for manufacturing. These agreements generally allow for cancellation with notice. As of September 30, 2024, the Company had non-cancellable purchase commitments of $2.3 million.</w:t>
      </w:r>
    </w:p>
    <w:p>
      <w:pPr>
        <w:spacing w:after="0" w:line="260" w:lineRule="exact"/>
        <w:rPr>
          <w:sz w:val="20"/>
          <w:szCs w:val="20"/>
          <w:color w:val="auto"/>
        </w:rPr>
      </w:pPr>
    </w:p>
    <w:p>
      <w:pPr>
        <w:ind w:left="520" w:hanging="515"/>
        <w:spacing w:after="0"/>
        <w:tabs>
          <w:tab w:leader="none" w:pos="5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Equity Investments and Equity Method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Notch Therapeutics</w:t>
      </w:r>
    </w:p>
    <w:p>
      <w:pPr>
        <w:spacing w:after="0" w:line="123" w:lineRule="exact"/>
        <w:rPr>
          <w:sz w:val="20"/>
          <w:szCs w:val="20"/>
          <w:color w:val="auto"/>
        </w:rPr>
      </w:pPr>
    </w:p>
    <w:p>
      <w:pPr>
        <w:ind w:right="20" w:firstLine="629"/>
        <w:spacing w:after="0" w:line="264" w:lineRule="auto"/>
        <w:rPr>
          <w:sz w:val="20"/>
          <w:szCs w:val="20"/>
          <w:color w:val="auto"/>
        </w:rPr>
      </w:pPr>
      <w:r>
        <w:rPr>
          <w:rFonts w:ascii="Times New Roman" w:cs="Times New Roman" w:eastAsia="Times New Roman" w:hAnsi="Times New Roman"/>
          <w:sz w:val="17"/>
          <w:szCs w:val="17"/>
          <w:color w:val="auto"/>
        </w:rPr>
        <w:t>In conjunction with the execution of the Notch Agreement (see Note 6), the Company also entered into a Share Purchase Agreement with the Company acquiring shares of Notch’s Series Seed convertible preferred stock for a total investment cost of $5.1 million which includes transaction costs of $0.1 million, resulting in a 25% ownership interest in Notch. In February 2021, the Company made a $15.9 million investment in Notch’s Series A preferred stock. Immediately following this transaction, the Company’s share in Notch was 20.7% on a voting interest basis. In October 2021, the Company made an additional $1.8 million investment in Notch’s common stock. Immediately following this transaction, the Company’s share in Notch was 23.0% on a voting interest basis. On May 17, 2024, Notch closed the Notch Series B Financing which caused the Company’s share in Notch to decrease to 13.0% immediately following this transaction.</w:t>
      </w:r>
    </w:p>
    <w:p>
      <w:pPr>
        <w:spacing w:after="0" w:line="386" w:lineRule="exact"/>
        <w:rPr>
          <w:sz w:val="20"/>
          <w:szCs w:val="20"/>
          <w:color w:val="auto"/>
        </w:rPr>
      </w:pPr>
    </w:p>
    <w:p>
      <w:pPr>
        <w:ind w:right="40" w:firstLine="629"/>
        <w:spacing w:after="0" w:line="262" w:lineRule="auto"/>
        <w:rPr>
          <w:sz w:val="20"/>
          <w:szCs w:val="20"/>
          <w:color w:val="auto"/>
        </w:rPr>
      </w:pPr>
      <w:r>
        <w:rPr>
          <w:rFonts w:ascii="Times New Roman" w:cs="Times New Roman" w:eastAsia="Times New Roman" w:hAnsi="Times New Roman"/>
          <w:sz w:val="17"/>
          <w:szCs w:val="17"/>
          <w:color w:val="auto"/>
        </w:rPr>
        <w:t>Accordingly, effective May 17, 2024, the Company started to account for its investment in Notch as an equity investment measured at cost less impairment. The Company’s total equity investment in Notch as of September 30, 2024 was $2.0 million. The Company’s total equity investment in Notch as of December 31, 2023 was $3.6 million and the Company accounted for the investment using the equity method of accounting. For the quarter to date and year to date periods through May 17, 2024, the Company recognized its share of Notch’s net loss of zero and $1.7 million, respectively, under the other income and expense, net caption within the condensed consolidated statements of operations. For the three and nine months ended September 30, 2023, the Company recognized its share of Notch’s net loss of $1.5 million and $4.5 million, respectively, under the other income and expense, net caption within the condensed consolidated statements of operations. During the three and nine months ended September 30, 2023, the Company recognized $3.0 million of impairment loss under the other expenses caption within the condensed consolidated statements of operations. No impairment loss was recorded in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Overland Therapeutics, Inc.</w:t>
      </w:r>
    </w:p>
    <w:p>
      <w:pPr>
        <w:spacing w:after="0" w:line="123" w:lineRule="exact"/>
        <w:rPr>
          <w:sz w:val="20"/>
          <w:szCs w:val="20"/>
          <w:color w:val="auto"/>
        </w:rPr>
      </w:pPr>
    </w:p>
    <w:p>
      <w:pPr>
        <w:ind w:right="60" w:firstLine="629"/>
        <w:spacing w:after="0" w:line="267" w:lineRule="auto"/>
        <w:rPr>
          <w:sz w:val="20"/>
          <w:szCs w:val="20"/>
          <w:color w:val="auto"/>
        </w:rPr>
      </w:pPr>
      <w:r>
        <w:rPr>
          <w:rFonts w:ascii="Times New Roman" w:cs="Times New Roman" w:eastAsia="Times New Roman" w:hAnsi="Times New Roman"/>
          <w:sz w:val="17"/>
          <w:szCs w:val="17"/>
          <w:color w:val="auto"/>
        </w:rPr>
        <w:t>In conjunction with the execution of the License Agreement with Allogene Overland (see Note 6), the Company also entered into the Share Purchase Agreement and a Shareholders’ Agreement with the joint venture company acquiring shares of Allogene Overland’s Seed Preferred Shares representing a 49% ownership interest in exchange for entering into a License Agreement. Upon completion of the Organizational Restructuring, Overland’s ownership in Allogene Overland increased to 82% and the Company’s ownership decreased to 18%. As part of the Organizational Restructuring, Overland distributed all Series Seed Preferred Shares of Allogene Overland held by Overland to HBP and Allogene Overland was renamed to Overland Therapeutics.</w:t>
      </w:r>
    </w:p>
    <w:p>
      <w:pPr>
        <w:spacing w:after="0" w:line="65"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The Company’s total equity investment in Overland Therapeutics was zero as of September 30, 2024 and December 31, 2023, and the Company accounted for the investment using the equity method of accounting. For the three months ended September 30, 2024, the Company recognized its share of Overland Therapeutics' net loss of $1.1 million under the other income and expense, net caption within the condensed consolidated statements of operations. For the nine months ended September 30, 2024, the Company recognized its gain from the Organizational Restructuring of $1.1 million which was offset by its share of Overland Therapeutics' net loss of $1.1 million under the other income and expense, net caption within the condensed consolidated statement of operations. For the three and nine months ended September 30, 2023, the Company recognized its share of Overland Therapeutics’ net loss of $1.0 million and $3.4 million, respectively, under the other income and expense, net caption within the condensed consolidated statement of operations.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0" w:hanging="515"/>
        <w:spacing w:after="0"/>
        <w:tabs>
          <w:tab w:leader="none" w:pos="52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w:t>
      </w:r>
    </w:p>
    <w:p>
      <w:pPr>
        <w:spacing w:after="0" w:line="121"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In June 2018, the Company adopted its 2018 Equity Incentive Plan (Prior 2018 Plan). The Prior 2018 Plan provided for the Company to sell or issue common stock or restricted common stock, or to grant incentive stock options or nonqualified stock options for the purchase of common stock, to employees, members of the Company’s Board of Directors and consultants of the Company under terms and provisions established by the Company’s Board of Directors. In September 2018, the Board of Directors adopted a new amended and restated 2018 Equity Incentive Plan as a successor to and continuation of the Prior 2018 Plan, which became effective in October 2018 (the 2018 Plan), which authorized additional shares for issuance and provided for an automatic annual increase to the number of shares issuable under the 2018 Plan by an amount equal to 5% of the total number of shares of common stock outstanding on December 31st of the preceding calendar year. The term of any stock option granted under the 2018 Plan cannot exceed 10 years. The Company generally grants stock-based awards with service conditions only. Options granted typically vest over a four-year period but may be granted with different vesting terms. Restricted Stock Units granted typically vest annually over a four-year period but may be granted with different vesting terms. Options shall not have an exercise price less than 100% of the fair market value of the Company’s common stock on the grant date. If the individual possesses more than 10% of the combined voting power of all classes of stock of the Company, the exercise price shall not be less than 110% of the fair market value of a common share of stock on the date of grant. This requirement is applicable to incentive stock options only.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As of September 30, 2024, there were 9,508,639 shares reserved by the Company under the 2018 Plan for the future issuance of equity awards.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 Exchange Program</w:t>
      </w:r>
    </w:p>
    <w:p>
      <w:pPr>
        <w:spacing w:after="0" w:line="123" w:lineRule="exact"/>
        <w:rPr>
          <w:sz w:val="20"/>
          <w:szCs w:val="20"/>
          <w:color w:val="auto"/>
        </w:rPr>
      </w:pPr>
    </w:p>
    <w:p>
      <w:pPr>
        <w:ind w:right="60" w:firstLine="629"/>
        <w:spacing w:after="0" w:line="262" w:lineRule="auto"/>
        <w:rPr>
          <w:sz w:val="20"/>
          <w:szCs w:val="20"/>
          <w:color w:val="auto"/>
        </w:rPr>
      </w:pPr>
      <w:r>
        <w:rPr>
          <w:rFonts w:ascii="Times New Roman" w:cs="Times New Roman" w:eastAsia="Times New Roman" w:hAnsi="Times New Roman"/>
          <w:sz w:val="17"/>
          <w:szCs w:val="17"/>
          <w:color w:val="auto"/>
        </w:rPr>
        <w:t>On June 21, 2022, the Company commenced an offer to exchange certain eligible options held by eligible employees of the Company for new options (the Exchange Offer). The Exchange Offer expired on July 19, 2022. Pursuant to the Exchange Offer, 199 eligible holders elected to exchange, and the Company accepted for cancellation, eligible options to purchase an aggregate of 3,666,600 shares of the Company’s common stock, representing approximately 93.5% of the total shares of common stock underlying the eligible options. On July 19, 2022, immediately following the expiration of the Exchange Offer, the Company granted new options to purchase 3,666,600 shares of common stock, pursuant to the terms of the Exchange Offer and the 2018 Plan. The exercise price of the new options granted pursuant to the Exchange Offer was $13.31 per share, which was the closing price of the common stock on the Nasdaq Global Select Market on the grant date of the new options. The new options are subject to a new three-year vesting schedule, vesting in equal annual installments over the vesting term. Each new option has a maximum term of seven years.</w:t>
      </w:r>
    </w:p>
    <w:p>
      <w:pPr>
        <w:spacing w:after="0" w:line="74" w:lineRule="exact"/>
        <w:rPr>
          <w:sz w:val="20"/>
          <w:szCs w:val="20"/>
          <w:color w:val="auto"/>
        </w:rPr>
      </w:pPr>
    </w:p>
    <w:p>
      <w:pPr>
        <w:ind w:right="20" w:firstLine="629"/>
        <w:spacing w:after="0" w:line="276" w:lineRule="auto"/>
        <w:rPr>
          <w:sz w:val="20"/>
          <w:szCs w:val="20"/>
          <w:color w:val="auto"/>
        </w:rPr>
      </w:pPr>
      <w:r>
        <w:rPr>
          <w:rFonts w:ascii="Times New Roman" w:cs="Times New Roman" w:eastAsia="Times New Roman" w:hAnsi="Times New Roman"/>
          <w:sz w:val="17"/>
          <w:szCs w:val="17"/>
          <w:color w:val="auto"/>
        </w:rPr>
        <w:t>The exchange of stock options was treated as a modification for accounting purposes. The incremental expense of $5.2 million for the modified options was calculated using a lattice option pricing model. The incremental expense and the unamortized expense remaining on the exchanged options as of the modification date are being recognized over the new three-year service period.</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 Activity</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summarizes option activity under the 2018 Plan:</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7"/>
                <w:szCs w:val="17"/>
                <w:b w:val="1"/>
                <w:bCs w:val="1"/>
                <w:color w:val="auto"/>
              </w:rPr>
              <w:t>Outstanding Options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620" w:type="dxa"/>
            <w:vAlign w:val="bottom"/>
            <w:gridSpan w:val="2"/>
          </w:tcPr>
          <w:p>
            <w:pPr>
              <w:jc w:val="center"/>
              <w:ind w:right="100"/>
              <w:spacing w:after="0" w:line="163" w:lineRule="exact"/>
              <w:rPr>
                <w:sz w:val="20"/>
                <w:szCs w:val="20"/>
                <w:color w:val="auto"/>
              </w:rPr>
            </w:pPr>
            <w:r>
              <w:rPr>
                <w:rFonts w:ascii="Times New Roman" w:cs="Times New Roman" w:eastAsia="Times New Roman" w:hAnsi="Times New Roman"/>
                <w:sz w:val="17"/>
                <w:szCs w:val="17"/>
                <w:b w:val="1"/>
                <w:bCs w:val="1"/>
                <w:color w:val="auto"/>
              </w:rPr>
              <w:t>Weighted-</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6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7"/>
                <w:szCs w:val="17"/>
                <w:b w:val="1"/>
                <w:bCs w:val="1"/>
                <w:color w:val="auto"/>
                <w:w w:val="99"/>
              </w:rPr>
              <w:t>Average</w:t>
            </w: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7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360"/>
              <w:spacing w:after="0" w:line="171" w:lineRule="exact"/>
              <w:rPr>
                <w:sz w:val="20"/>
                <w:szCs w:val="20"/>
                <w:color w:val="auto"/>
              </w:rPr>
            </w:pPr>
            <w:r>
              <w:rPr>
                <w:rFonts w:ascii="Times New Roman" w:cs="Times New Roman" w:eastAsia="Times New Roman" w:hAnsi="Times New Roman"/>
                <w:sz w:val="17"/>
                <w:szCs w:val="17"/>
                <w:b w:val="1"/>
                <w:bCs w:val="1"/>
                <w:color w:val="auto"/>
                <w:w w:val="99"/>
              </w:rPr>
              <w:t>Average</w:t>
            </w:r>
          </w:p>
        </w:tc>
        <w:tc>
          <w:tcPr>
            <w:tcW w:w="1620" w:type="dxa"/>
            <w:vAlign w:val="bottom"/>
            <w:gridSpan w:val="2"/>
          </w:tcPr>
          <w:p>
            <w:pPr>
              <w:jc w:val="center"/>
              <w:ind w:right="100"/>
              <w:spacing w:after="0" w:line="171" w:lineRule="exact"/>
              <w:rPr>
                <w:sz w:val="20"/>
                <w:szCs w:val="20"/>
                <w:color w:val="auto"/>
              </w:rPr>
            </w:pPr>
            <w:r>
              <w:rPr>
                <w:rFonts w:ascii="Times New Roman" w:cs="Times New Roman" w:eastAsia="Times New Roman" w:hAnsi="Times New Roman"/>
                <w:sz w:val="17"/>
                <w:szCs w:val="17"/>
                <w:b w:val="1"/>
                <w:bCs w:val="1"/>
                <w:color w:val="auto"/>
              </w:rPr>
              <w:t>Remaining</w:t>
            </w:r>
          </w:p>
        </w:tc>
        <w:tc>
          <w:tcPr>
            <w:tcW w:w="16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Aggregate Intrinsic</w:t>
            </w: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1540" w:type="dxa"/>
            <w:vAlign w:val="bottom"/>
          </w:tcPr>
          <w:p>
            <w:pPr>
              <w:jc w:val="center"/>
              <w:spacing w:after="0" w:line="184" w:lineRule="exact"/>
              <w:rPr>
                <w:sz w:val="20"/>
                <w:szCs w:val="20"/>
                <w:color w:val="auto"/>
              </w:rPr>
            </w:pPr>
            <w:r>
              <w:rPr>
                <w:rFonts w:ascii="Times New Roman" w:cs="Times New Roman" w:eastAsia="Times New Roman" w:hAnsi="Times New Roman"/>
                <w:sz w:val="17"/>
                <w:szCs w:val="17"/>
                <w:b w:val="1"/>
                <w:bCs w:val="1"/>
                <w:color w:val="auto"/>
                <w:w w:val="98"/>
              </w:rPr>
              <w:t>of</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7"/>
                <w:szCs w:val="17"/>
                <w:b w:val="1"/>
                <w:bCs w:val="1"/>
                <w:color w:val="auto"/>
              </w:rPr>
              <w:t>Exercise</w:t>
            </w:r>
          </w:p>
        </w:tc>
        <w:tc>
          <w:tcPr>
            <w:tcW w:w="16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7"/>
                <w:szCs w:val="17"/>
                <w:b w:val="1"/>
                <w:bCs w:val="1"/>
                <w:color w:val="auto"/>
              </w:rPr>
              <w:t>Contract</w:t>
            </w:r>
          </w:p>
        </w:tc>
        <w:tc>
          <w:tcPr>
            <w:tcW w:w="16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Term</w:t>
            </w:r>
          </w:p>
        </w:tc>
        <w:tc>
          <w:tcPr>
            <w:tcW w:w="16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(in years)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center"/>
              <w:ind w:right="73"/>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21,812,946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5,894,664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exercised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(357,993)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Options forfeited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(3,394,248)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10.93</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September 30,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23,955,369</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Exercisable, September 30, 2024</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720" w:type="dxa"/>
            <w:vAlign w:val="bottom"/>
            <w:vMerge w:val="continue"/>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17,409,307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and expected to vest, September 30,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23,955,369</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0"/>
        </w:trPr>
        <w:tc>
          <w:tcPr>
            <w:tcW w:w="4720" w:type="dxa"/>
            <w:vAlign w:val="bottom"/>
          </w:tcPr>
          <w:p>
            <w:pPr>
              <w:spacing w:after="0"/>
              <w:rPr>
                <w:sz w:val="24"/>
                <w:szCs w:val="24"/>
                <w:color w:val="auto"/>
              </w:rPr>
            </w:pPr>
          </w:p>
        </w:tc>
        <w:tc>
          <w:tcPr>
            <w:tcW w:w="1540" w:type="dxa"/>
            <w:vAlign w:val="bottom"/>
          </w:tcPr>
          <w:p>
            <w:pPr>
              <w:jc w:val="right"/>
              <w:ind w:right="453"/>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720" w:type="dxa"/>
            <w:vAlign w:val="bottom"/>
            <w:tcBorders>
              <w:bottom w:val="single" w:sz="8" w:color="9A9A9A"/>
            </w:tcBorders>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629"/>
        <w:spacing w:after="0" w:line="267" w:lineRule="auto"/>
        <w:rPr>
          <w:sz w:val="20"/>
          <w:szCs w:val="20"/>
          <w:color w:val="auto"/>
        </w:rPr>
      </w:pPr>
      <w:r>
        <w:rPr>
          <w:rFonts w:ascii="Times New Roman" w:cs="Times New Roman" w:eastAsia="Times New Roman" w:hAnsi="Times New Roman"/>
          <w:sz w:val="17"/>
          <w:szCs w:val="17"/>
          <w:color w:val="auto"/>
        </w:rPr>
        <w:t>The aggregate intrinsic values of options outstanding, exercisable, vested and expected to vest were calculated as the difference between the exercise price of the options and the closing price of the Company’s common stock on the Nasdaq Global Select Market on September 30, 2024. For the nine months ended September 30, 2024, the estimated weighted-average grant-date fair value of employee options granted was $2.07 per share. As of September 30, 2024, there was $41.7 million of unrecognized stock-based compensation related to unvested stock options, which is expected to be recognized over a weighted-average period of 2.0 years.</w:t>
      </w:r>
    </w:p>
    <w:p>
      <w:pPr>
        <w:spacing w:after="0" w:line="65" w:lineRule="exact"/>
        <w:rPr>
          <w:sz w:val="20"/>
          <w:szCs w:val="20"/>
          <w:color w:val="auto"/>
        </w:rPr>
      </w:pPr>
    </w:p>
    <w:p>
      <w:pPr>
        <w:ind w:right="100" w:firstLine="629"/>
        <w:spacing w:after="0" w:line="280" w:lineRule="auto"/>
        <w:rPr>
          <w:sz w:val="20"/>
          <w:szCs w:val="20"/>
          <w:color w:val="auto"/>
        </w:rPr>
      </w:pPr>
      <w:r>
        <w:rPr>
          <w:rFonts w:ascii="Times New Roman" w:cs="Times New Roman" w:eastAsia="Times New Roman" w:hAnsi="Times New Roman"/>
          <w:sz w:val="17"/>
          <w:szCs w:val="17"/>
          <w:color w:val="auto"/>
        </w:rPr>
        <w:t>The fair value of employee, consultant and director stock option awards was estimated at the date of grant using a Black-Scholes option-pricing model with the following assumptions:</w:t>
      </w: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6"/>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153"/>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173"/>
              <w:spacing w:after="0"/>
              <w:rPr>
                <w:sz w:val="20"/>
                <w:szCs w:val="20"/>
                <w:color w:val="auto"/>
              </w:rPr>
            </w:pPr>
            <w:r>
              <w:rPr>
                <w:rFonts w:ascii="Times New Roman" w:cs="Times New Roman" w:eastAsia="Times New Roman" w:hAnsi="Times New Roman"/>
                <w:sz w:val="17"/>
                <w:szCs w:val="17"/>
                <w:color w:val="auto"/>
              </w:rPr>
              <w:t>5.02 - 6.12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193"/>
              <w:spacing w:after="0"/>
              <w:rPr>
                <w:sz w:val="20"/>
                <w:szCs w:val="20"/>
                <w:color w:val="auto"/>
              </w:rPr>
            </w:pPr>
            <w:r>
              <w:rPr>
                <w:rFonts w:ascii="Times New Roman" w:cs="Times New Roman" w:eastAsia="Times New Roman" w:hAnsi="Times New Roman"/>
                <w:sz w:val="17"/>
                <w:szCs w:val="17"/>
                <w:color w:val="auto"/>
              </w:rPr>
              <w:t>5.27 - 6.08</w:t>
            </w: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153"/>
              <w:spacing w:after="0"/>
              <w:rPr>
                <w:sz w:val="20"/>
                <w:szCs w:val="20"/>
                <w:color w:val="auto"/>
              </w:rPr>
            </w:pPr>
            <w:r>
              <w:rPr>
                <w:rFonts w:ascii="Times New Roman" w:cs="Times New Roman" w:eastAsia="Times New Roman" w:hAnsi="Times New Roman"/>
                <w:sz w:val="17"/>
                <w:szCs w:val="17"/>
                <w:color w:val="auto"/>
              </w:rPr>
              <w:t>72.85% - 73.97%</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center"/>
              <w:ind w:right="93"/>
              <w:spacing w:after="0"/>
              <w:rPr>
                <w:sz w:val="20"/>
                <w:szCs w:val="20"/>
                <w:color w:val="auto"/>
              </w:rPr>
            </w:pPr>
            <w:r>
              <w:rPr>
                <w:rFonts w:ascii="Times New Roman" w:cs="Times New Roman" w:eastAsia="Times New Roman" w:hAnsi="Times New Roman"/>
                <w:sz w:val="17"/>
                <w:szCs w:val="17"/>
                <w:color w:val="auto"/>
              </w:rPr>
              <w:t>73.18% - 73.85%</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risk-free interest rate</w:t>
            </w: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center"/>
              <w:ind w:right="173"/>
              <w:spacing w:after="0"/>
              <w:rPr>
                <w:sz w:val="20"/>
                <w:szCs w:val="20"/>
                <w:color w:val="auto"/>
              </w:rPr>
            </w:pPr>
            <w:r>
              <w:rPr>
                <w:rFonts w:ascii="Times New Roman" w:cs="Times New Roman" w:eastAsia="Times New Roman" w:hAnsi="Times New Roman"/>
                <w:sz w:val="17"/>
                <w:szCs w:val="17"/>
                <w:color w:val="auto"/>
              </w:rPr>
              <w:t>3.42% - 4.32%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center"/>
              <w:ind w:right="213"/>
              <w:spacing w:after="0"/>
              <w:rPr>
                <w:sz w:val="20"/>
                <w:szCs w:val="20"/>
                <w:color w:val="auto"/>
              </w:rPr>
            </w:pPr>
            <w:r>
              <w:rPr>
                <w:rFonts w:ascii="Times New Roman" w:cs="Times New Roman" w:eastAsia="Times New Roman" w:hAnsi="Times New Roman"/>
                <w:sz w:val="17"/>
                <w:szCs w:val="17"/>
                <w:color w:val="auto"/>
              </w:rPr>
              <w:t>3.45% - 4.30%</w:t>
            </w: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Expected dividend</w:t>
            </w: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173"/>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center"/>
              <w:ind w:right="213"/>
              <w:spacing w:after="0"/>
              <w:rPr>
                <w:sz w:val="20"/>
                <w:szCs w:val="20"/>
                <w:color w:val="auto"/>
              </w:rPr>
            </w:pPr>
            <w:r>
              <w:rPr>
                <w:rFonts w:ascii="Times New Roman" w:cs="Times New Roman" w:eastAsia="Times New Roman" w:hAnsi="Times New Roman"/>
                <w:sz w:val="17"/>
                <w:szCs w:val="17"/>
                <w:color w:val="auto"/>
                <w:w w:val="96"/>
              </w:rPr>
              <w:t>0%</w:t>
            </w:r>
          </w:p>
        </w:tc>
        <w:tc>
          <w:tcPr>
            <w:tcW w:w="0" w:type="dxa"/>
            <w:vAlign w:val="bottom"/>
          </w:tcPr>
          <w:p>
            <w:pPr>
              <w:spacing w:after="0"/>
              <w:rPr>
                <w:sz w:val="1"/>
                <w:szCs w:val="1"/>
                <w:color w:val="auto"/>
              </w:rPr>
            </w:pPr>
          </w:p>
        </w:tc>
      </w:tr>
      <w:tr>
        <w:trPr>
          <w:trHeight w:val="615"/>
        </w:trPr>
        <w:tc>
          <w:tcPr>
            <w:tcW w:w="472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 Activity</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2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The following summarizes restricted stock unit activity under the 2018 Plan:</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4720" w:type="dxa"/>
            <w:vAlign w:val="bottom"/>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17"/>
                <w:szCs w:val="17"/>
                <w:b w:val="1"/>
                <w:bCs w:val="1"/>
                <w:color w:val="auto"/>
              </w:rPr>
              <w:t>Outstanding Restricted Stock Units</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4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273"/>
              <w:spacing w:after="0" w:line="163" w:lineRule="exact"/>
              <w:rPr>
                <w:sz w:val="20"/>
                <w:szCs w:val="20"/>
                <w:color w:val="auto"/>
              </w:rPr>
            </w:pPr>
            <w:r>
              <w:rPr>
                <w:rFonts w:ascii="Times New Roman" w:cs="Times New Roman" w:eastAsia="Times New Roman" w:hAnsi="Times New Roman"/>
                <w:sz w:val="17"/>
                <w:szCs w:val="17"/>
                <w:b w:val="1"/>
                <w:bCs w:val="1"/>
                <w:color w:val="auto"/>
              </w:rPr>
              <w:t>Weighted-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spacing w:after="0" w:line="171" w:lineRule="exact"/>
              <w:rPr>
                <w:sz w:val="20"/>
                <w:szCs w:val="20"/>
                <w:color w:val="auto"/>
              </w:rPr>
            </w:pPr>
            <w:r>
              <w:rPr>
                <w:rFonts w:ascii="Times New Roman" w:cs="Times New Roman" w:eastAsia="Times New Roman" w:hAnsi="Times New Roman"/>
                <w:sz w:val="17"/>
                <w:szCs w:val="17"/>
                <w:b w:val="1"/>
                <w:bCs w:val="1"/>
                <w:color w:val="auto"/>
              </w:rPr>
              <w:t>Average Grant</w:t>
            </w:r>
          </w:p>
        </w:tc>
        <w:tc>
          <w:tcPr>
            <w:tcW w:w="100" w:type="dxa"/>
            <w:vAlign w:val="bottom"/>
          </w:tcPr>
          <w:p>
            <w:pPr>
              <w:spacing w:after="0"/>
              <w:rPr>
                <w:sz w:val="14"/>
                <w:szCs w:val="14"/>
                <w:color w:val="auto"/>
              </w:rPr>
            </w:pPr>
          </w:p>
        </w:tc>
        <w:tc>
          <w:tcPr>
            <w:tcW w:w="16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Weighted Average</w:t>
            </w: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720" w:type="dxa"/>
            <w:vAlign w:val="bottom"/>
          </w:tcPr>
          <w:p>
            <w:pPr>
              <w:spacing w:after="0"/>
              <w:rPr>
                <w:sz w:val="15"/>
                <w:szCs w:val="15"/>
                <w:color w:val="auto"/>
              </w:rPr>
            </w:pPr>
          </w:p>
        </w:tc>
        <w:tc>
          <w:tcPr>
            <w:tcW w:w="1540" w:type="dxa"/>
            <w:vAlign w:val="bottom"/>
            <w:vMerge w:val="restart"/>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Restricted</w:t>
            </w:r>
          </w:p>
        </w:tc>
        <w:tc>
          <w:tcPr>
            <w:tcW w:w="100" w:type="dxa"/>
            <w:vAlign w:val="bottom"/>
          </w:tcPr>
          <w:p>
            <w:pPr>
              <w:spacing w:after="0"/>
              <w:rPr>
                <w:sz w:val="15"/>
                <w:szCs w:val="15"/>
                <w:color w:val="auto"/>
              </w:rPr>
            </w:pPr>
          </w:p>
        </w:tc>
        <w:tc>
          <w:tcPr>
            <w:tcW w:w="1160" w:type="dxa"/>
            <w:vAlign w:val="bottom"/>
          </w:tcPr>
          <w:p>
            <w:pPr>
              <w:jc w:val="center"/>
              <w:ind w:left="273"/>
              <w:spacing w:after="0" w:line="184" w:lineRule="exact"/>
              <w:rPr>
                <w:sz w:val="20"/>
                <w:szCs w:val="20"/>
                <w:color w:val="auto"/>
              </w:rPr>
            </w:pPr>
            <w:r>
              <w:rPr>
                <w:rFonts w:ascii="Times New Roman" w:cs="Times New Roman" w:eastAsia="Times New Roman" w:hAnsi="Times New Roman"/>
                <w:sz w:val="17"/>
                <w:szCs w:val="17"/>
                <w:b w:val="1"/>
                <w:bCs w:val="1"/>
                <w:color w:val="auto"/>
              </w:rPr>
              <w:t>Date Fair</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4"/>
            <w:vMerge w:val="continue"/>
          </w:tcPr>
          <w:p>
            <w:pPr>
              <w:spacing w:after="0"/>
              <w:rPr>
                <w:sz w:val="15"/>
                <w:szCs w:val="15"/>
                <w:color w:val="auto"/>
              </w:rPr>
            </w:pPr>
          </w:p>
        </w:tc>
        <w:tc>
          <w:tcPr>
            <w:tcW w:w="1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Aggregate Intrinsic</w:t>
            </w:r>
          </w:p>
        </w:tc>
        <w:tc>
          <w:tcPr>
            <w:tcW w:w="0" w:type="dxa"/>
            <w:vAlign w:val="bottom"/>
          </w:tcPr>
          <w:p>
            <w:pPr>
              <w:spacing w:after="0"/>
              <w:rPr>
                <w:sz w:val="1"/>
                <w:szCs w:val="1"/>
                <w:color w:val="auto"/>
              </w:rPr>
            </w:pPr>
          </w:p>
        </w:tc>
      </w:tr>
      <w:tr>
        <w:trPr>
          <w:trHeight w:val="170"/>
        </w:trPr>
        <w:tc>
          <w:tcPr>
            <w:tcW w:w="47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273"/>
              <w:spacing w:after="0" w:line="171" w:lineRule="exact"/>
              <w:rPr>
                <w:sz w:val="20"/>
                <w:szCs w:val="20"/>
                <w:color w:val="auto"/>
              </w:rPr>
            </w:pPr>
            <w:r>
              <w:rPr>
                <w:rFonts w:ascii="Times New Roman" w:cs="Times New Roman" w:eastAsia="Times New Roman" w:hAnsi="Times New Roman"/>
                <w:sz w:val="17"/>
                <w:szCs w:val="17"/>
                <w:b w:val="1"/>
                <w:bCs w:val="1"/>
                <w:color w:val="auto"/>
              </w:rPr>
              <w:t>Value per</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center"/>
              <w:ind w:right="120"/>
              <w:spacing w:after="0" w:line="171" w:lineRule="exact"/>
              <w:rPr>
                <w:sz w:val="20"/>
                <w:szCs w:val="20"/>
                <w:color w:val="auto"/>
              </w:rPr>
            </w:pPr>
            <w:r>
              <w:rPr>
                <w:rFonts w:ascii="Times New Roman" w:cs="Times New Roman" w:eastAsia="Times New Roman" w:hAnsi="Times New Roman"/>
                <w:sz w:val="17"/>
                <w:szCs w:val="17"/>
                <w:b w:val="1"/>
                <w:bCs w:val="1"/>
                <w:color w:val="auto"/>
              </w:rPr>
              <w:t>Remaining Vesting</w:t>
            </w: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720" w:type="dxa"/>
            <w:vAlign w:val="bottom"/>
          </w:tcPr>
          <w:p>
            <w:pPr>
              <w:spacing w:after="0"/>
              <w:rPr>
                <w:sz w:val="20"/>
                <w:szCs w:val="20"/>
                <w:color w:val="auto"/>
              </w:rPr>
            </w:pPr>
          </w:p>
        </w:tc>
        <w:tc>
          <w:tcPr>
            <w:tcW w:w="154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Stock Units</w:t>
            </w:r>
          </w:p>
        </w:tc>
        <w:tc>
          <w:tcPr>
            <w:tcW w:w="100" w:type="dxa"/>
            <w:vAlign w:val="bottom"/>
          </w:tcPr>
          <w:p>
            <w:pPr>
              <w:spacing w:after="0"/>
              <w:rPr>
                <w:sz w:val="20"/>
                <w:szCs w:val="20"/>
                <w:color w:val="auto"/>
              </w:rPr>
            </w:pPr>
          </w:p>
        </w:tc>
        <w:tc>
          <w:tcPr>
            <w:tcW w:w="1160" w:type="dxa"/>
            <w:vAlign w:val="bottom"/>
          </w:tcPr>
          <w:p>
            <w:pPr>
              <w:jc w:val="center"/>
              <w:ind w:left="273"/>
              <w:spacing w:after="0"/>
              <w:rPr>
                <w:sz w:val="20"/>
                <w:szCs w:val="20"/>
                <w:color w:val="auto"/>
              </w:rPr>
            </w:pPr>
            <w:r>
              <w:rPr>
                <w:rFonts w:ascii="Times New Roman" w:cs="Times New Roman" w:eastAsia="Times New Roman" w:hAnsi="Times New Roman"/>
                <w:sz w:val="17"/>
                <w:szCs w:val="17"/>
                <w:b w:val="1"/>
                <w:bCs w:val="1"/>
                <w:color w:val="auto"/>
              </w:rPr>
              <w:t>Share</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Life</w:t>
            </w:r>
          </w:p>
        </w:tc>
        <w:tc>
          <w:tcPr>
            <w:tcW w:w="120" w:type="dxa"/>
            <w:vAlign w:val="bottom"/>
          </w:tcPr>
          <w:p>
            <w:pPr>
              <w:spacing w:after="0"/>
              <w:rPr>
                <w:sz w:val="20"/>
                <w:szCs w:val="20"/>
                <w:color w:val="auto"/>
              </w:rPr>
            </w:pPr>
          </w:p>
        </w:tc>
        <w:tc>
          <w:tcPr>
            <w:tcW w:w="1400" w:type="dxa"/>
            <w:vAlign w:val="bottom"/>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0" w:type="dxa"/>
            <w:vAlign w:val="bottom"/>
          </w:tcPr>
          <w:p>
            <w:pPr>
              <w:spacing w:after="0"/>
              <w:rPr>
                <w:sz w:val="1"/>
                <w:szCs w:val="1"/>
                <w:color w:val="auto"/>
              </w:rPr>
            </w:pPr>
          </w:p>
        </w:tc>
      </w:tr>
      <w:tr>
        <w:trPr>
          <w:trHeight w:val="219"/>
        </w:trPr>
        <w:tc>
          <w:tcPr>
            <w:tcW w:w="4720" w:type="dxa"/>
            <w:vAlign w:val="bottom"/>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rPr>
              <w:t>(in years)</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December 31, 2023</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12,180,471</w:t>
            </w:r>
          </w:p>
        </w:tc>
        <w:tc>
          <w:tcPr>
            <w:tcW w:w="1260" w:type="dxa"/>
            <w:vAlign w:val="bottom"/>
            <w:gridSpan w:val="2"/>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3"/>
              </w:rPr>
              <w:t>6.68</w:t>
            </w:r>
          </w:p>
        </w:tc>
        <w:tc>
          <w:tcPr>
            <w:tcW w:w="1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39,099</w:t>
            </w:r>
          </w:p>
        </w:tc>
        <w:tc>
          <w:tcPr>
            <w:tcW w:w="0" w:type="dxa"/>
            <w:vAlign w:val="bottom"/>
          </w:tcPr>
          <w:p>
            <w:pPr>
              <w:spacing w:after="0"/>
              <w:rPr>
                <w:sz w:val="1"/>
                <w:szCs w:val="1"/>
                <w:color w:val="auto"/>
              </w:rPr>
            </w:pPr>
          </w:p>
        </w:tc>
      </w:tr>
      <w:tr>
        <w:trPr>
          <w:trHeight w:val="223"/>
        </w:trPr>
        <w:tc>
          <w:tcPr>
            <w:tcW w:w="47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Granted</w:t>
            </w: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5,091,392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3"/>
              </w:rPr>
              <w:t>4.09</w:t>
            </w: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Vested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(1,796,660)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3"/>
              </w:rPr>
              <w:t>9.76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Forfeited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(2,199,686)</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3"/>
              </w:rPr>
              <w:t>7.92</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September 30, 2024</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13,275,517</w:t>
            </w:r>
          </w:p>
        </w:tc>
        <w:tc>
          <w:tcPr>
            <w:tcW w:w="1260" w:type="dxa"/>
            <w:vAlign w:val="bottom"/>
            <w:tcBorders>
              <w:bottom w:val="single" w:sz="8" w:color="CCEEFF"/>
            </w:tcBorders>
            <w:gridSpan w:val="2"/>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3"/>
              </w:rPr>
              <w:t>5.06</w:t>
            </w:r>
          </w:p>
        </w:tc>
        <w:tc>
          <w:tcPr>
            <w:tcW w:w="16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37,171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Vested and expected to vest, September 30, 2024</w:t>
            </w: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720" w:type="dxa"/>
            <w:vAlign w:val="bottom"/>
            <w:vMerge w:val="continue"/>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13,275,517</w:t>
            </w:r>
          </w:p>
        </w:tc>
        <w:tc>
          <w:tcPr>
            <w:tcW w:w="1260" w:type="dxa"/>
            <w:vAlign w:val="bottom"/>
            <w:gridSpan w:val="2"/>
          </w:tcPr>
          <w:p>
            <w:pPr>
              <w:jc w:val="right"/>
              <w:ind w:right="973"/>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3"/>
              </w:rPr>
              <w:t>5.06</w:t>
            </w: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37,171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0"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As of September 30, 2024, there was $38.4 million of unrecognized stock-based compensation related to unvested restricted stock units, which is expected to be recognized over a weighted-average period of 2.2 years.</w:t>
      </w:r>
    </w:p>
    <w:p>
      <w:pPr>
        <w:spacing w:after="0" w:line="42"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As of September 30, 2024, the Company had 2,433,913 outstanding performance-based restricted stock units and 1,814,134 outstanding restricted stock units with a market condition granted to certain executive officers and other employees pursuant to the 2018 Plan, including 30,653 performance-based restricted stock units granted in the quarter ended September 30, 2024. These awards are subject to the holders’ continuous service to the Company through each applicable vesting event. Through September 30, 2024, the Company believes that the achievement of the requisite performance conditions for these awards are not probable. As a result, no compensation expense has been recognized related to the performance-based restricted stock units for the three and nine months ended September 30, 2024 and 2023. The Company recognized $0.7 million and $2.2 million in stock-based compensation expense related to the restricted stock units with a market condition for the three and nine months ended September 30, 2024, respectively. The Company recognized $0.5 million and $1.5 million in stock-based compensation expense related to the restricted stock units with market condition for the three and nine months ended September 30, 2023, respectively.</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 expense</w:t>
      </w:r>
    </w:p>
    <w:p>
      <w:pPr>
        <w:spacing w:after="0" w:line="123" w:lineRule="exact"/>
        <w:rPr>
          <w:sz w:val="20"/>
          <w:szCs w:val="20"/>
          <w:color w:val="auto"/>
        </w:rPr>
      </w:pPr>
    </w:p>
    <w:p>
      <w:pPr>
        <w:ind w:right="100" w:firstLine="629"/>
        <w:spacing w:after="0" w:line="268" w:lineRule="auto"/>
        <w:rPr>
          <w:sz w:val="20"/>
          <w:szCs w:val="20"/>
          <w:color w:val="auto"/>
        </w:rPr>
      </w:pPr>
      <w:r>
        <w:rPr>
          <w:rFonts w:ascii="Times New Roman" w:cs="Times New Roman" w:eastAsia="Times New Roman" w:hAnsi="Times New Roman"/>
          <w:sz w:val="17"/>
          <w:szCs w:val="17"/>
          <w:color w:val="auto"/>
        </w:rPr>
        <w:t>For the three and nine months ended September 30, 2024, the Company recorded $13.4 million and $38.9 million, respectively, of stock-based compensation expense related to stock options, restricted stock units and employee stock purchase plans as research and development and general and administrative expense in its condensed consolidated statements of operations and comprehensive loss. For the three and nine months ended September 30, 2023, the Company recorded $15.4 million and $50.7 million, respectively, of stock-based compensation expense related to stock options, restricted stock units and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7"/>
          <w:szCs w:val="17"/>
          <w:color w:val="auto"/>
        </w:rPr>
        <w:t>employee stock purchase plans as research and development and general and administrative expense in its condensed consolidated statements of operations and comprehensive loss.</w:t>
      </w:r>
    </w:p>
    <w:p>
      <w:pPr>
        <w:spacing w:after="0" w:line="249" w:lineRule="exact"/>
        <w:rPr>
          <w:sz w:val="20"/>
          <w:szCs w:val="20"/>
          <w:color w:val="auto"/>
        </w:rPr>
      </w:pPr>
    </w:p>
    <w:p>
      <w:pPr>
        <w:ind w:left="620" w:hanging="615"/>
        <w:spacing w:after="0"/>
        <w:tabs>
          <w:tab w:leader="none" w:pos="62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Collaboration Revenue and Equity Method Investment</w:t>
      </w:r>
    </w:p>
    <w:p>
      <w:pPr>
        <w:spacing w:after="0" w:line="123" w:lineRule="exact"/>
        <w:rPr>
          <w:sz w:val="20"/>
          <w:szCs w:val="20"/>
          <w:color w:val="auto"/>
        </w:rPr>
      </w:pPr>
    </w:p>
    <w:p>
      <w:pPr>
        <w:ind w:right="80" w:firstLine="629"/>
        <w:spacing w:after="0" w:line="266" w:lineRule="auto"/>
        <w:rPr>
          <w:sz w:val="20"/>
          <w:szCs w:val="20"/>
          <w:color w:val="auto"/>
        </w:rPr>
      </w:pPr>
      <w:r>
        <w:rPr>
          <w:rFonts w:ascii="Times New Roman" w:cs="Times New Roman" w:eastAsia="Times New Roman" w:hAnsi="Times New Roman"/>
          <w:sz w:val="17"/>
          <w:szCs w:val="17"/>
          <w:color w:val="auto"/>
        </w:rPr>
        <w:t>In December 2020, the Company entered into the License Agreement with Allogene Overland, a corporate joint venture entity and related party (see Note 6). The License Agreement was subsequently assigned to a wholly-owned subsidiary of Allogene Overland, Allogene Overland HK. On April 1, 2022, Allogene Overland HK assigned the License Agreement to Allogene Overland PRC. On May 24, 2024, the License Agreement was amended. During the three months ended September 30, 2024 and 2023, the Company recognized zero and less than $0.1 million of collaboration revenue under this arrangement, respectively. During the nine months ended September 30, 2024 and 2023, the Company recognized less than $0.1 million of collaboration revenue under this arrangement.</w:t>
      </w:r>
    </w:p>
    <w:p>
      <w:pPr>
        <w:spacing w:after="0" w:line="279"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For the three months ended September 30, 2024, the Company recognized its share of Overland Therapeutics' net loss of $1.1 million under the other income and expense, net caption within the condensed consolidated statements of operations. For the nine months ended September 30, 2024, the Company recognized its gain from the Organizational Restructuring of $1.1 million which was offset by its share of Overland Therapeutics' net loss of $1.1 million under the other income and expense, net caption within the condensed consolidated statement of operations. For the three and nine months ended September 30, 2023, the Company recognized its share of Overland Therapeutics’ net loss of $1.0 million and $3.4 million, respectively, under the other income and expense, net caption within the condensed consolidated statement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Sublease Agreement</w:t>
      </w:r>
    </w:p>
    <w:p>
      <w:pPr>
        <w:spacing w:after="0" w:line="123" w:lineRule="exact"/>
        <w:rPr>
          <w:sz w:val="20"/>
          <w:szCs w:val="20"/>
          <w:color w:val="auto"/>
        </w:rPr>
      </w:pPr>
    </w:p>
    <w:p>
      <w:pPr>
        <w:jc w:val="both"/>
        <w:ind w:right="20" w:firstLine="629"/>
        <w:spacing w:after="0" w:line="264" w:lineRule="auto"/>
        <w:rPr>
          <w:sz w:val="20"/>
          <w:szCs w:val="20"/>
          <w:color w:val="auto"/>
        </w:rPr>
      </w:pPr>
      <w:r>
        <w:rPr>
          <w:rFonts w:ascii="Times New Roman" w:cs="Times New Roman" w:eastAsia="Times New Roman" w:hAnsi="Times New Roman"/>
          <w:sz w:val="17"/>
          <w:szCs w:val="17"/>
          <w:color w:val="auto"/>
        </w:rPr>
        <w:t>In December 2018, the Company entered into a sublease with Bellco Capital LLC for 1,293 square feet of office space in Los Angeles, California for a three year term. On April 1, 2020, Bellco assumed all rights, title, interests and obligations under the sublease from Bellco Capital LLC. In November 2021, the sublease was extended to June 30, 2025. The sublease was amended, effective in July 2022, to move to a nearby location, with office space of 737 square feet.</w:t>
      </w:r>
    </w:p>
    <w:p>
      <w:pPr>
        <w:spacing w:after="0" w:line="2"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7"/>
          <w:szCs w:val="17"/>
          <w:color w:val="auto"/>
        </w:rPr>
        <w:t>The Company’s executive chairman, Arie Belldegrun, M.D., FACS, is a trustee of the Belldegrun Family Trust, which controls Bellco. In 2023, the Company exercised its early termination right under the sublease agreement and the sublease was terminated effective December 31, 2023.</w:t>
      </w:r>
    </w:p>
    <w:p>
      <w:pPr>
        <w:spacing w:after="0" w:line="164" w:lineRule="exact"/>
        <w:rPr>
          <w:sz w:val="20"/>
          <w:szCs w:val="20"/>
          <w:color w:val="auto"/>
        </w:rPr>
      </w:pPr>
    </w:p>
    <w:p>
      <w:pPr>
        <w:ind w:right="240" w:firstLine="629"/>
        <w:spacing w:after="0" w:line="270" w:lineRule="auto"/>
        <w:rPr>
          <w:sz w:val="20"/>
          <w:szCs w:val="20"/>
          <w:color w:val="auto"/>
        </w:rPr>
      </w:pPr>
      <w:r>
        <w:rPr>
          <w:rFonts w:ascii="Times New Roman" w:cs="Times New Roman" w:eastAsia="Times New Roman" w:hAnsi="Times New Roman"/>
          <w:sz w:val="17"/>
          <w:szCs w:val="17"/>
          <w:color w:val="auto"/>
        </w:rPr>
        <w:t>In February 2023, the Company entered into a new sublease agreement with Bellco for 2,218 square feet of office space in Los Angeles, California. The sublease term is 115 months, subject to certain early termination rights. The sublease commenced on January 1, 2024. The total right of use asset and associated lease liability recorded related to this related party lease was $2.3 million as of September 30, 2024. For the three and nine months ended September 30, 2024, the Company recorded $0.1 million and $0.3 million of rent expense related to this lease,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Consulting Agreements</w:t>
      </w:r>
    </w:p>
    <w:p>
      <w:pPr>
        <w:spacing w:after="0" w:line="123" w:lineRule="exact"/>
        <w:rPr>
          <w:sz w:val="20"/>
          <w:szCs w:val="20"/>
          <w:color w:val="auto"/>
        </w:rPr>
      </w:pPr>
    </w:p>
    <w:p>
      <w:pPr>
        <w:ind w:right="100" w:firstLine="629"/>
        <w:spacing w:after="0" w:line="267" w:lineRule="auto"/>
        <w:rPr>
          <w:sz w:val="20"/>
          <w:szCs w:val="20"/>
          <w:color w:val="auto"/>
        </w:rPr>
      </w:pPr>
      <w:r>
        <w:rPr>
          <w:rFonts w:ascii="Times New Roman" w:cs="Times New Roman" w:eastAsia="Times New Roman" w:hAnsi="Times New Roman"/>
          <w:sz w:val="17"/>
          <w:szCs w:val="17"/>
          <w:color w:val="auto"/>
        </w:rPr>
        <w:t>In June 2018, the Company entered into a services agreement with Two River Consulting, LLC (Two River), a firm affiliated with the Company’s President and Chief Executive Officer, the Company’s Executive Chair of the board of directors, and a director of the Company to provide various managerial, clinical development, administrative, accounting and financial services to the Company. In December 2023, the service agreement between the Company and Two River was terminated. The costs incurred for services provided under this agreement were $0.1 million and $0.3 million for the three and nine months ended September 30, 2023, respectively.</w:t>
      </w:r>
    </w:p>
    <w:p>
      <w:pPr>
        <w:spacing w:after="0" w:line="170"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In August 2018, the Company entered into a consulting agreement with Bellco Capital LLC. Pursuant to the consulting agreement, Bellco Capital LLC provides certain services for the Company, which are performed by Dr. Belldegrun, the Company's executive chair, and include without limitation, providing advice and analysis with respect to the Company’s business, business strategy and potential opportunities in the field of allogeneic CAR T cell therapy and any other aspect of the CAR T cell therapy business as the Company may agree. In consideration for these services, the Company paid Bellco Capital LLC $40,217 per month in arrears commencing January 2022. The Company may also, at its discretion, pay Bellco Capital LLC an annual performance award in an amount up to 60% of the aggregate compensation payable to Bellco Capital LLC in a calendar year. The Company also reimburses Bellco Capital LLC for out of pocket expenses incurred in performing the services. The costs incurred for services provided, bonus, and out-of-pocket expenses incurred under this consulting agreement were $0.2 million and $0.6 million for the three and nine months ended September 30, 2024, respectively, and $0.3 million and $0.7 million for the three and nine months ended September 30, 2023, respectively.</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0" w:hanging="595"/>
        <w:spacing w:after="0"/>
        <w:tabs>
          <w:tab w:leader="none" w:pos="60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ind w:right="20" w:firstLine="629"/>
        <w:spacing w:after="0" w:line="296" w:lineRule="auto"/>
        <w:rPr>
          <w:sz w:val="20"/>
          <w:szCs w:val="20"/>
          <w:color w:val="auto"/>
        </w:rPr>
      </w:pPr>
      <w:r>
        <w:rPr>
          <w:rFonts w:ascii="Times New Roman" w:cs="Times New Roman" w:eastAsia="Times New Roman" w:hAnsi="Times New Roman"/>
          <w:sz w:val="17"/>
          <w:szCs w:val="17"/>
          <w:color w:val="auto"/>
        </w:rPr>
        <w:t>The Company has a history of losses and expects to record a loss in 2024. The Company continues to maintain a full valuation allowance against its net deferred tax assets.</w:t>
      </w:r>
    </w:p>
    <w:p>
      <w:pPr>
        <w:spacing w:after="0" w:line="249" w:lineRule="exact"/>
        <w:rPr>
          <w:sz w:val="20"/>
          <w:szCs w:val="20"/>
          <w:color w:val="auto"/>
        </w:rPr>
      </w:pPr>
    </w:p>
    <w:p>
      <w:pPr>
        <w:ind w:left="620" w:hanging="615"/>
        <w:spacing w:after="0"/>
        <w:tabs>
          <w:tab w:leader="none" w:pos="62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Net Loss Per Share</w:t>
      </w:r>
    </w:p>
    <w:p>
      <w:pPr>
        <w:spacing w:after="0" w:line="121" w:lineRule="exact"/>
        <w:rPr>
          <w:sz w:val="20"/>
          <w:szCs w:val="20"/>
          <w:color w:val="auto"/>
        </w:rPr>
      </w:pPr>
    </w:p>
    <w:p>
      <w:pPr>
        <w:ind w:right="60" w:firstLine="629"/>
        <w:spacing w:after="0" w:line="277" w:lineRule="auto"/>
        <w:rPr>
          <w:sz w:val="20"/>
          <w:szCs w:val="20"/>
          <w:color w:val="auto"/>
        </w:rPr>
      </w:pPr>
      <w:r>
        <w:rPr>
          <w:rFonts w:ascii="Times New Roman" w:cs="Times New Roman" w:eastAsia="Times New Roman" w:hAnsi="Times New Roman"/>
          <w:sz w:val="17"/>
          <w:szCs w:val="17"/>
          <w:color w:val="auto"/>
        </w:rPr>
        <w:t>The following outstanding potentially dilutive shares have been excluded from the calculation of diluted net loss per share for the period presented due to their anti-dilutive effect: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820" w:type="dxa"/>
            <w:vAlign w:val="bottom"/>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45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40" w:type="dxa"/>
            <w:vAlign w:val="bottom"/>
            <w:tcBorders>
              <w:bottom w:val="single" w:sz="8" w:color="CCEEFF"/>
            </w:tcBorders>
          </w:tcPr>
          <w:p>
            <w:pPr>
              <w:spacing w:after="0"/>
              <w:rPr>
                <w:sz w:val="15"/>
                <w:szCs w:val="15"/>
                <w:color w:val="auto"/>
              </w:rPr>
            </w:pPr>
          </w:p>
        </w:tc>
        <w:tc>
          <w:tcPr>
            <w:tcW w:w="3240" w:type="dxa"/>
            <w:vAlign w:val="bottom"/>
            <w:tcBorders>
              <w:bottom w:val="single" w:sz="8" w:color="CCEEFF"/>
            </w:tcBorders>
          </w:tcPr>
          <w:p>
            <w:pPr>
              <w:spacing w:after="0"/>
              <w:rPr>
                <w:sz w:val="15"/>
                <w:szCs w:val="15"/>
                <w:color w:val="auto"/>
              </w:rPr>
            </w:pPr>
          </w:p>
        </w:tc>
        <w:tc>
          <w:tcPr>
            <w:tcW w:w="130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 to purchase common stock</w:t>
            </w:r>
          </w:p>
        </w:tc>
        <w:tc>
          <w:tcPr>
            <w:tcW w:w="3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23,955,369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21,989,462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stock units subject to vesting</w:t>
            </w:r>
          </w:p>
        </w:tc>
        <w:tc>
          <w:tcPr>
            <w:tcW w:w="4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13,275,517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12,169,837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shares to be purchased under Employee Stock Purchase Plan</w:t>
            </w:r>
          </w:p>
        </w:tc>
        <w:tc>
          <w:tcPr>
            <w:tcW w:w="4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1,140,573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1,289,434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Early exercised stock options subject to future vesting</w:t>
            </w:r>
          </w:p>
        </w:tc>
        <w:tc>
          <w:tcPr>
            <w:tcW w:w="3240" w:type="dxa"/>
            <w:vAlign w:val="bottom"/>
          </w:tcPr>
          <w:p>
            <w:pPr>
              <w:spacing w:after="0"/>
              <w:rPr>
                <w:sz w:val="19"/>
                <w:szCs w:val="19"/>
                <w:color w:val="auto"/>
              </w:rPr>
            </w:pPr>
          </w:p>
        </w:tc>
        <w:tc>
          <w:tcPr>
            <w:tcW w:w="1820" w:type="dxa"/>
            <w:vAlign w:val="bottom"/>
            <w:gridSpan w:val="3"/>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2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324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38,371,459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35,507,093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bottom w:val="single" w:sz="8" w:color="CCEEFF"/>
            </w:tcBorders>
            <w:vMerge w:val="restart"/>
          </w:tcPr>
          <w:p>
            <w:pPr>
              <w:jc w:val="right"/>
              <w:ind w:right="2673"/>
              <w:spacing w:after="0"/>
              <w:rPr>
                <w:sz w:val="20"/>
                <w:szCs w:val="20"/>
                <w:color w:val="auto"/>
              </w:rPr>
            </w:pPr>
            <w:r>
              <w:rPr>
                <w:rFonts w:ascii="Times New Roman" w:cs="Times New Roman" w:eastAsia="Times New Roman" w:hAnsi="Times New Roman"/>
                <w:sz w:val="17"/>
                <w:szCs w:val="17"/>
                <w:color w:val="auto"/>
              </w:rPr>
              <w:t>24</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0"/>
        </w:trPr>
        <w:tc>
          <w:tcPr>
            <w:tcW w:w="524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240" w:type="dxa"/>
            <w:vAlign w:val="bottom"/>
            <w:tcBorders>
              <w:bottom w:val="single" w:sz="8" w:color="9A9A9A"/>
            </w:tcBorders>
          </w:tcPr>
          <w:p>
            <w:pPr>
              <w:spacing w:after="0"/>
              <w:rPr>
                <w:sz w:val="9"/>
                <w:szCs w:val="9"/>
                <w:color w:val="auto"/>
              </w:rPr>
            </w:pPr>
          </w:p>
        </w:tc>
        <w:tc>
          <w:tcPr>
            <w:tcW w:w="32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19" w:lineRule="exact"/>
        <w:rPr>
          <w:sz w:val="20"/>
          <w:szCs w:val="20"/>
          <w:color w:val="auto"/>
        </w:rPr>
      </w:pPr>
    </w:p>
    <w:p>
      <w:pPr>
        <w:ind w:firstLine="629"/>
        <w:spacing w:after="0" w:line="264"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of our financial condition and results of operations in conjunction with our unaudited condensed consolidated financial statements and the related notes and other financial information included elsewhere in this Quarterly Report on Form 10-Q (Quarterly Report) and the audited financial statements and notes thereto as of and for the year ended December 31, 2023 and the related Management’s Discussion and Analysis of Financial Condition and Results of Operations, both of which are contained in our Annual Report on Form 10-K for the year ended December 31, 2023 (Annual Report), which was filed with the Securities and Exchange Commission (SEC) on March 14, 2024. Unless the context requires otherwise, references in this Quarterly Report to the “Company”, “Allogene,” “we,” “us” and “our” refer to Allogene Therapeutics, Inc., and references to “Servier” collectively refer to Les Laboratoires Servier SAS and Institut de Recherches Internationales Servier SAS.</w:t>
      </w:r>
    </w:p>
    <w:p>
      <w:pPr>
        <w:spacing w:after="0" w:line="171"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i w:val="1"/>
          <w:iCs w:val="1"/>
          <w:color w:val="auto"/>
        </w:rPr>
        <w:t>In addition to historical financial information, this discussion contains forward-looking statements based upon current expectations that involve risks and uncertainties. Our actual results could differ materially from those anticipated in these forward-looking statements as a result of various factors, including those set forth in the section titled “Risk Factors” under Part II, Item 1A below. In some cases, you can identify forward-looking statements by terminology such as “anticipate,” “believe,” “continue,” “could,” “estimate,” “expect,” “intend,” “may,” “plan,” “potentially,” “predict,” “should,” “will” or the negative of these terms or other similar expressions.</w:t>
      </w:r>
    </w:p>
    <w:p>
      <w:pPr>
        <w:spacing w:after="0" w:line="170" w:lineRule="exact"/>
        <w:rPr>
          <w:sz w:val="20"/>
          <w:szCs w:val="20"/>
          <w:color w:val="auto"/>
        </w:rPr>
      </w:pPr>
    </w:p>
    <w:p>
      <w:pPr>
        <w:ind w:right="140" w:firstLine="629"/>
        <w:spacing w:after="0" w:line="269" w:lineRule="auto"/>
        <w:rPr>
          <w:sz w:val="20"/>
          <w:szCs w:val="20"/>
          <w:color w:val="auto"/>
        </w:rPr>
      </w:pPr>
      <w:r>
        <w:rPr>
          <w:rFonts w:ascii="Times New Roman" w:cs="Times New Roman" w:eastAsia="Times New Roman" w:hAnsi="Times New Roman"/>
          <w:sz w:val="17"/>
          <w:szCs w:val="17"/>
          <w:i w:val="1"/>
          <w:iCs w:val="1"/>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r>
        <w:rPr>
          <w:rFonts w:ascii="Times New Roman" w:cs="Times New Roman" w:eastAsia="Times New Roman" w:hAnsi="Times New Roman"/>
          <w:sz w:val="17"/>
          <w:szCs w:val="17"/>
          <w:i w:val="1"/>
          <w:iCs w:val="1"/>
          <w:color w:val="32406B"/>
        </w:rPr>
        <w: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21" w:lineRule="exact"/>
        <w:rPr>
          <w:sz w:val="20"/>
          <w:szCs w:val="20"/>
          <w:color w:val="auto"/>
        </w:rPr>
      </w:pPr>
    </w:p>
    <w:p>
      <w:pPr>
        <w:ind w:right="100" w:firstLine="629"/>
        <w:spacing w:after="0" w:line="267" w:lineRule="auto"/>
        <w:rPr>
          <w:sz w:val="20"/>
          <w:szCs w:val="20"/>
          <w:color w:val="auto"/>
        </w:rPr>
      </w:pPr>
      <w:r>
        <w:rPr>
          <w:rFonts w:ascii="Times New Roman" w:cs="Times New Roman" w:eastAsia="Times New Roman" w:hAnsi="Times New Roman"/>
          <w:sz w:val="17"/>
          <w:szCs w:val="17"/>
          <w:color w:val="auto"/>
        </w:rPr>
        <w:t>We are a clinical stage immuno-oncology company pioneering the development of genetically engineered allogeneic T cell product candidates for the treatment of cancer and autoimmune diseases. We are developing a pipeline of “off-the-shelf” T cell product candidates that are designed to target and kill cancer cells in patients or eliminate pathogenic autoreactive cells in patients with autoimmune disorders. Our engineered T cells are allogeneic, meaning they are derived from healthy donors for intended use in any patient, rather than from an individual patient for that patient’s use, as in the case of autologous T cells. We believe this key difference will enable us to deliver readily available treatments faster, more reliably, at greater scale, and to more patients.</w:t>
      </w:r>
    </w:p>
    <w:p>
      <w:pPr>
        <w:spacing w:after="0" w:line="65"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We have a deep pipeline of allogeneic chimeric antigen receptor (CAR) T cell product candidates targeting multiple promising antigens in a host of hematological malignancies, solid tumors, and autoimmune disease. Earlier this year, we announced our 2024 Platform Vision under which we are now focusing on four core programs.</w:t>
      </w:r>
    </w:p>
    <w:p>
      <w:pPr>
        <w:spacing w:after="0" w:line="59" w:lineRule="exact"/>
        <w:rPr>
          <w:sz w:val="20"/>
          <w:szCs w:val="20"/>
          <w:color w:val="auto"/>
        </w:rPr>
      </w:pPr>
    </w:p>
    <w:p>
      <w:pPr>
        <w:ind w:right="20" w:firstLine="629"/>
        <w:spacing w:after="0" w:line="260" w:lineRule="auto"/>
        <w:rPr>
          <w:sz w:val="20"/>
          <w:szCs w:val="20"/>
          <w:color w:val="auto"/>
        </w:rPr>
      </w:pPr>
      <w:r>
        <w:rPr>
          <w:rFonts w:ascii="Times New Roman" w:cs="Times New Roman" w:eastAsia="Times New Roman" w:hAnsi="Times New Roman"/>
          <w:sz w:val="17"/>
          <w:szCs w:val="17"/>
          <w:color w:val="auto"/>
        </w:rPr>
        <w:t>We are currently focused on developing cemacabtagene ansegedleucel (cema-cel, previously ALLO-501A) in large B-cell lymphoma (LBCL) and chronic lymphocytic leukemia (CLL). In June 2024, we initiated a pivotal Phase 2 clinical trial (ALPHA3) for cema-cel as part of a first line (1L) treatment plan for newly diagnosed and treated LBCL patients who are likely to relapse and need further therapy, and we now have almost 30 sites activated. The design of the ALPHA3 1L consolidation trial builds upon the results demonstrated in the Phase 1 ALPHA2 trial and leverages an investigational diagnostic test developed by Foresight Diagnostics, Inc. that we believe will identify patients who have achieved remission by standard disease assessment but who have minimal residual disease (MRD) at the completion of 1L chemoimmunotherapy. The ALPHA3 trial is designed to study the impact of treating MRD positive patients with cema-cel. The study will randomize approximately 240 patients who achieve a complete response or partial response to 1L therapy, but who are MRD positive. The patients will be randomized to either consolidation with cema-cel or the current standard of care, which is observation. The design, with a primary endpoint of event free survival (EFS), will initially include two lymphodepletion arms (one with standard fludarabine and cyclophosphamide plus ALLO-647 and one with standard fludarabine and cyclophosphamide but without ALLO-647). One lymphodepletion arm will be discontinued following a planned interim analysis in mid-2025 designed to select the most appropriate regimen for this patient population. ALPHA3 is expected to complete enrollment in the first half of 2026. Efficacy analyses are expected to occur in 2026, and will include the Independent Data Safety Monitoring Board (IDSMB) interim EFS analysis in the first half of 2026 and the data readout of the primary EFS analysis is expected year-end 2026. A biologics license application (BLA) submission is targeted for 2027. In view of the potential of the earlier line ALPHA3 trial, we have deprioritized the third line (3L) LBCL ALPHA2 and EXPAND trials.</w:t>
      </w:r>
    </w:p>
    <w:p>
      <w:pPr>
        <w:spacing w:after="0" w:line="74" w:lineRule="exact"/>
        <w:rPr>
          <w:sz w:val="20"/>
          <w:szCs w:val="20"/>
          <w:color w:val="auto"/>
        </w:rPr>
      </w:pPr>
    </w:p>
    <w:p>
      <w:pPr>
        <w:ind w:right="200" w:firstLine="629"/>
        <w:spacing w:after="0" w:line="296" w:lineRule="auto"/>
        <w:rPr>
          <w:sz w:val="20"/>
          <w:szCs w:val="20"/>
          <w:color w:val="auto"/>
        </w:rPr>
      </w:pPr>
      <w:r>
        <w:rPr>
          <w:rFonts w:ascii="Times New Roman" w:cs="Times New Roman" w:eastAsia="Times New Roman" w:hAnsi="Times New Roman"/>
          <w:sz w:val="17"/>
          <w:szCs w:val="17"/>
          <w:color w:val="auto"/>
        </w:rPr>
        <w:t>We have initiated the Phase 1b cohort of our ALPHA2 trial to evaluate cema-cel following lymphodepletion with fludarabine/cyclophosphamide and ALLO-647 in patients with relapsed/refractory chronic lymphocytic leukemia/small</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560"/>
        <w:spacing w:after="0" w:line="296" w:lineRule="auto"/>
        <w:rPr>
          <w:sz w:val="20"/>
          <w:szCs w:val="20"/>
          <w:color w:val="auto"/>
        </w:rPr>
      </w:pPr>
      <w:r>
        <w:rPr>
          <w:rFonts w:ascii="Times New Roman" w:cs="Times New Roman" w:eastAsia="Times New Roman" w:hAnsi="Times New Roman"/>
          <w:sz w:val="17"/>
          <w:szCs w:val="17"/>
          <w:color w:val="auto"/>
        </w:rPr>
        <w:t>lymphocytic lymphoma (CLL/SLL). We will continue to evaluate clinical development and commercial opportunities for cema-cel in CLL/SLL and will provide an update on this program in early 2025.</w:t>
      </w:r>
    </w:p>
    <w:p>
      <w:pPr>
        <w:spacing w:after="0" w:line="42" w:lineRule="exact"/>
        <w:rPr>
          <w:sz w:val="20"/>
          <w:szCs w:val="20"/>
          <w:color w:val="auto"/>
        </w:rPr>
      </w:pPr>
    </w:p>
    <w:p>
      <w:pPr>
        <w:ind w:right="140" w:firstLine="629"/>
        <w:spacing w:after="0" w:line="270" w:lineRule="auto"/>
        <w:rPr>
          <w:sz w:val="20"/>
          <w:szCs w:val="20"/>
          <w:color w:val="auto"/>
        </w:rPr>
      </w:pPr>
      <w:r>
        <w:rPr>
          <w:rFonts w:ascii="Times New Roman" w:cs="Times New Roman" w:eastAsia="Times New Roman" w:hAnsi="Times New Roman"/>
          <w:sz w:val="17"/>
          <w:szCs w:val="17"/>
          <w:color w:val="auto"/>
        </w:rPr>
        <w:t>We are enrolling a Phase 1 clinical trial (TRAVERSE) of ALLO-316, an allogeneic CAR T cell product candidate targeting CD70, in adult patients with advanced or metastatic clear cell renal cell carcinoma (RCC). We have implemented a protocol amendment that incorporates a diagnostic and treatment algorithm into the study design. The algorithm is designed to mitigate the treatment-associated hyperinflammatory response without compromising the CAR T function needed to eradicate solid tumors.</w:t>
      </w:r>
    </w:p>
    <w:p>
      <w:pPr>
        <w:spacing w:after="0" w:line="63"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In November 2024, we provided a data update from patients with CD70 positive RCC, and highlighted that the newly implemented diagnostic and management algorithm appears effective in abating IEC-HS while preserving CAR T efficacy. Additional data from dose escalation cohorts, as well as a newly opened Phase 1b expansion cohort, will be presented in two upcoming scientific meetings, including the 2024 International Kidney Cancer Symposium (IKCS, November 8, 2024) and the Society for Immunotherapy of Cancer’s (SITC) Annual Meeting (November 9, 2024).</w:t>
      </w:r>
    </w:p>
    <w:p>
      <w:pPr>
        <w:spacing w:after="0" w:line="63" w:lineRule="exact"/>
        <w:rPr>
          <w:sz w:val="20"/>
          <w:szCs w:val="20"/>
          <w:color w:val="auto"/>
        </w:rPr>
      </w:pPr>
    </w:p>
    <w:p>
      <w:pPr>
        <w:ind w:right="100" w:firstLine="629"/>
        <w:spacing w:after="0" w:line="265" w:lineRule="auto"/>
        <w:rPr>
          <w:sz w:val="20"/>
          <w:szCs w:val="20"/>
          <w:color w:val="auto"/>
        </w:rPr>
      </w:pPr>
      <w:r>
        <w:rPr>
          <w:rFonts w:ascii="Times New Roman" w:cs="Times New Roman" w:eastAsia="Times New Roman" w:hAnsi="Times New Roman"/>
          <w:sz w:val="17"/>
          <w:szCs w:val="17"/>
          <w:color w:val="auto"/>
        </w:rPr>
        <w:t>As of the October 14, 2024, data cutoff, 39 patients had been enrolled in the ongoing Phase 1 trial, of which 26 were confirmed to have CD70 positive RCC and were evaluable for efficacy outcomes. The median time from enrollment to the start of therapy was five days. Data from dose escalation cohorts and ongoing Phase 1b expansion cohort are included in the presentations. The Phase 1b expansion cohort is evaluating safety and efficacy of ALLO-316 at DL2 (80M CAR T cells) following a standard FC500 (fludarabine (30 mg/m2/day) and cyclophosphamide (500 mg/m2/d) for three days) lymphodepletion regimen. The Phase 1b expansion cohort is expected to ultimately include approximately 20 patients. Additional data from the Phase 1b expansion cohort is expected to be announced in mid-2025.</w:t>
      </w:r>
    </w:p>
    <w:p>
      <w:pPr>
        <w:spacing w:after="0" w:line="67" w:lineRule="exact"/>
        <w:rPr>
          <w:sz w:val="20"/>
          <w:szCs w:val="20"/>
          <w:color w:val="auto"/>
        </w:rPr>
      </w:pPr>
    </w:p>
    <w:p>
      <w:pPr>
        <w:ind w:right="220" w:firstLine="629"/>
        <w:spacing w:after="0" w:line="270" w:lineRule="auto"/>
        <w:rPr>
          <w:sz w:val="20"/>
          <w:szCs w:val="20"/>
          <w:color w:val="auto"/>
        </w:rPr>
      </w:pPr>
      <w:r>
        <w:rPr>
          <w:rFonts w:ascii="Times New Roman" w:cs="Times New Roman" w:eastAsia="Times New Roman" w:hAnsi="Times New Roman"/>
          <w:sz w:val="17"/>
          <w:szCs w:val="17"/>
          <w:color w:val="auto"/>
        </w:rPr>
        <w:t>Following a single infusion of ALLO-316 in heavily pretreated patients, the trial demonstrated best Overall Response Rate (ORR) of 50% and Confirmed Response Rate of 33% in those patients with CD70 Tumor Proportion Score (TPS) of ≥50% who received DL2. Patients with a TPS of ≥50% represents the majority of patients with advanced or metastatic RCC. Of those with a TPS ≥50, 76% (16/21) experienced a reduction in tumor burden. Two of six (33%) patients with high TPS who received the Phase 1b expansion regimen showed durable responses ongoing at ≥four months.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Response Rates by CD70 Status and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028180" cy="2153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28180" cy="2153920"/>
                    </a:xfrm>
                    <a:prstGeom prst="rect">
                      <a:avLst/>
                    </a:prstGeom>
                    <a:noFill/>
                  </pic:spPr>
                </pic:pic>
              </a:graphicData>
            </a:graphic>
          </wp:anchor>
        </w:drawing>
      </w:r>
    </w:p>
    <w:p>
      <w:pPr>
        <w:spacing w:after="0" w:line="2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Patients Evaluable for Disease Outcomes</w:t>
      </w:r>
      <w:r>
        <w:rPr>
          <w:rFonts w:ascii="Times New Roman" w:cs="Times New Roman" w:eastAsia="Times New Roman" w:hAnsi="Times New Roman"/>
          <w:sz w:val="22"/>
          <w:szCs w:val="22"/>
          <w:color w:val="auto"/>
          <w:vertAlign w:val="superscript"/>
        </w:rPr>
        <w:t>a</w:t>
      </w:r>
      <w:r>
        <w:rPr>
          <w:rFonts w:ascii="Times New Roman" w:cs="Times New Roman" w:eastAsia="Times New Roman" w:hAnsi="Times New Roman"/>
          <w:sz w:val="17"/>
          <w:szCs w:val="17"/>
          <w:color w:val="auto"/>
        </w:rPr>
        <w:t xml:space="preserve"> (N=34)</w:t>
      </w:r>
    </w:p>
    <w:tbl>
      <w:tblPr>
        <w:tblLayout w:type="fixed"/>
        <w:tblInd w:w="0" w:type="dxa"/>
        <w:tblCellMar>
          <w:top w:w="0" w:type="dxa"/>
          <w:left w:w="0" w:type="dxa"/>
          <w:bottom w:w="0" w:type="dxa"/>
          <w:right w:w="0" w:type="dxa"/>
        </w:tblCellMar>
      </w:tblPr>
      <w:tr>
        <w:trPr>
          <w:trHeight w:val="242"/>
        </w:trPr>
        <w:tc>
          <w:tcPr>
            <w:tcW w:w="2960" w:type="dxa"/>
            <w:vAlign w:val="bottom"/>
            <w:tcBorders>
              <w:top w:val="single" w:sz="8" w:color="auto"/>
              <w:bottom w:val="single" w:sz="8" w:color="auto"/>
            </w:tcBorders>
          </w:tcPr>
          <w:p>
            <w:pPr>
              <w:spacing w:after="0"/>
              <w:rPr>
                <w:sz w:val="21"/>
                <w:szCs w:val="21"/>
                <w:color w:val="auto"/>
              </w:rPr>
            </w:pPr>
          </w:p>
        </w:tc>
        <w:tc>
          <w:tcPr>
            <w:tcW w:w="2380" w:type="dxa"/>
            <w:vAlign w:val="bottom"/>
            <w:tcBorders>
              <w:top w:val="single" w:sz="8" w:color="auto"/>
              <w:bottom w:val="single" w:sz="8" w:color="auto"/>
            </w:tcBorders>
            <w:gridSpan w:val="4"/>
          </w:tcPr>
          <w:p>
            <w:pPr>
              <w:ind w:left="720"/>
              <w:spacing w:after="0"/>
              <w:rPr>
                <w:sz w:val="20"/>
                <w:szCs w:val="20"/>
                <w:color w:val="auto"/>
              </w:rPr>
            </w:pPr>
            <w:r>
              <w:rPr>
                <w:rFonts w:ascii="Times New Roman" w:cs="Times New Roman" w:eastAsia="Times New Roman" w:hAnsi="Times New Roman"/>
                <w:sz w:val="17"/>
                <w:szCs w:val="17"/>
                <w:color w:val="auto"/>
              </w:rPr>
              <w:t>CD70 Positive (N=26)</w:t>
            </w:r>
          </w:p>
        </w:tc>
        <w:tc>
          <w:tcPr>
            <w:tcW w:w="10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right w:val="single" w:sz="8" w:color="auto"/>
            </w:tcBorders>
          </w:tcPr>
          <w:p>
            <w:pPr>
              <w:spacing w:after="0"/>
              <w:rPr>
                <w:sz w:val="21"/>
                <w:szCs w:val="21"/>
                <w:color w:val="auto"/>
              </w:rPr>
            </w:pPr>
          </w:p>
        </w:tc>
        <w:tc>
          <w:tcPr>
            <w:tcW w:w="2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08"/>
        </w:trPr>
        <w:tc>
          <w:tcPr>
            <w:tcW w:w="296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rPr>
              <w:t>All</w:t>
            </w:r>
          </w:p>
        </w:tc>
        <w:tc>
          <w:tcPr>
            <w:tcW w:w="280" w:type="dxa"/>
            <w:vAlign w:val="bottom"/>
          </w:tcPr>
          <w:p>
            <w:pPr>
              <w:spacing w:after="0"/>
              <w:rPr>
                <w:sz w:val="24"/>
                <w:szCs w:val="24"/>
                <w:color w:val="auto"/>
              </w:rPr>
            </w:pPr>
          </w:p>
        </w:tc>
        <w:tc>
          <w:tcPr>
            <w:tcW w:w="1020" w:type="dxa"/>
            <w:vAlign w:val="bottom"/>
            <w:tcBorders>
              <w:right w:val="single" w:sz="8" w:color="auto"/>
            </w:tcBorders>
            <w:vMerge w:val="restart"/>
          </w:tcPr>
          <w:p>
            <w:pPr>
              <w:ind w:left="160"/>
              <w:spacing w:after="0"/>
              <w:rPr>
                <w:sz w:val="20"/>
                <w:szCs w:val="20"/>
                <w:color w:val="auto"/>
              </w:rPr>
            </w:pPr>
            <w:r>
              <w:rPr>
                <w:rFonts w:ascii="Times New Roman" w:cs="Times New Roman" w:eastAsia="Times New Roman" w:hAnsi="Times New Roman"/>
                <w:sz w:val="17"/>
                <w:szCs w:val="17"/>
                <w:color w:val="auto"/>
              </w:rPr>
              <w:t>FCA</w:t>
            </w:r>
            <w:r>
              <w:rPr>
                <w:rFonts w:ascii="Times New Roman" w:cs="Times New Roman" w:eastAsia="Times New Roman" w:hAnsi="Times New Roman"/>
                <w:sz w:val="22"/>
                <w:szCs w:val="22"/>
                <w:color w:val="auto"/>
                <w:vertAlign w:val="superscript"/>
              </w:rPr>
              <w:t>b</w:t>
            </w:r>
          </w:p>
        </w:tc>
        <w:tc>
          <w:tcPr>
            <w:tcW w:w="13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rPr>
              <w:t>FC</w:t>
            </w:r>
            <w:r>
              <w:rPr>
                <w:rFonts w:ascii="Times New Roman" w:cs="Times New Roman" w:eastAsia="Times New Roman" w:hAnsi="Times New Roman"/>
                <w:sz w:val="22"/>
                <w:szCs w:val="22"/>
                <w:color w:val="auto"/>
                <w:vertAlign w:val="superscript"/>
              </w:rPr>
              <w:t>c</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DL2 FC500</w:t>
            </w: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CD70 Negative or Unknown</w:t>
            </w:r>
          </w:p>
        </w:tc>
        <w:tc>
          <w:tcPr>
            <w:tcW w:w="0" w:type="dxa"/>
            <w:vAlign w:val="bottom"/>
          </w:tcPr>
          <w:p>
            <w:pPr>
              <w:spacing w:after="0"/>
              <w:rPr>
                <w:sz w:val="1"/>
                <w:szCs w:val="1"/>
                <w:color w:val="auto"/>
              </w:rPr>
            </w:pPr>
          </w:p>
        </w:tc>
      </w:tr>
      <w:tr>
        <w:trPr>
          <w:trHeight w:val="170"/>
        </w:trPr>
        <w:tc>
          <w:tcPr>
            <w:tcW w:w="296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Borders>
              <w:right w:val="single" w:sz="8" w:color="auto"/>
            </w:tcBorders>
            <w:vMerge w:val="continue"/>
          </w:tcPr>
          <w:p>
            <w:pPr>
              <w:spacing w:after="0"/>
              <w:rPr>
                <w:sz w:val="14"/>
                <w:szCs w:val="14"/>
                <w:color w:val="auto"/>
              </w:rPr>
            </w:pPr>
          </w:p>
        </w:tc>
        <w:tc>
          <w:tcPr>
            <w:tcW w:w="1300" w:type="dxa"/>
            <w:vAlign w:val="bottom"/>
            <w:tcBorders>
              <w:right w:val="single" w:sz="8" w:color="auto"/>
            </w:tcBorders>
            <w:gridSpan w:val="2"/>
            <w:vMerge w:val="continue"/>
          </w:tcPr>
          <w:p>
            <w:pPr>
              <w:spacing w:after="0"/>
              <w:rPr>
                <w:sz w:val="14"/>
                <w:szCs w:val="14"/>
                <w:color w:val="auto"/>
              </w:rPr>
            </w:pPr>
          </w:p>
        </w:tc>
        <w:tc>
          <w:tcPr>
            <w:tcW w:w="1300" w:type="dxa"/>
            <w:vAlign w:val="bottom"/>
            <w:tcBorders>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7"/>
                <w:szCs w:val="17"/>
                <w:color w:val="auto"/>
              </w:rPr>
              <w:t>(Phase 1b)</w:t>
            </w:r>
          </w:p>
        </w:tc>
        <w:tc>
          <w:tcPr>
            <w:tcW w:w="2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96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(N=26)</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jc w:val="center"/>
              <w:ind w:right="213"/>
              <w:spacing w:after="0"/>
              <w:rPr>
                <w:sz w:val="20"/>
                <w:szCs w:val="20"/>
                <w:color w:val="auto"/>
              </w:rPr>
            </w:pPr>
            <w:r>
              <w:rPr>
                <w:rFonts w:ascii="Times New Roman" w:cs="Times New Roman" w:eastAsia="Times New Roman" w:hAnsi="Times New Roman"/>
                <w:sz w:val="17"/>
                <w:szCs w:val="17"/>
                <w:color w:val="auto"/>
              </w:rPr>
              <w:t>(N=8)</w:t>
            </w:r>
          </w:p>
        </w:tc>
        <w:tc>
          <w:tcPr>
            <w:tcW w:w="13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(N=18)</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(N=8)</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(N=8)</w:t>
            </w:r>
          </w:p>
        </w:tc>
        <w:tc>
          <w:tcPr>
            <w:tcW w:w="0" w:type="dxa"/>
            <w:vAlign w:val="bottom"/>
          </w:tcPr>
          <w:p>
            <w:pPr>
              <w:spacing w:after="0"/>
              <w:rPr>
                <w:sz w:val="1"/>
                <w:szCs w:val="1"/>
                <w:color w:val="auto"/>
              </w:rPr>
            </w:pPr>
          </w:p>
        </w:tc>
      </w:tr>
      <w:tr>
        <w:trPr>
          <w:trHeight w:val="164"/>
        </w:trPr>
        <w:tc>
          <w:tcPr>
            <w:tcW w:w="2960" w:type="dxa"/>
            <w:vAlign w:val="bottom"/>
          </w:tcPr>
          <w:p>
            <w:pPr>
              <w:ind w:left="40"/>
              <w:spacing w:after="0" w:line="163" w:lineRule="exact"/>
              <w:rPr>
                <w:sz w:val="20"/>
                <w:szCs w:val="20"/>
                <w:color w:val="auto"/>
              </w:rPr>
            </w:pPr>
            <w:r>
              <w:rPr>
                <w:rFonts w:ascii="Times New Roman" w:cs="Times New Roman" w:eastAsia="Times New Roman" w:hAnsi="Times New Roman"/>
                <w:sz w:val="14"/>
                <w:szCs w:val="14"/>
                <w:color w:val="auto"/>
              </w:rPr>
              <w:t>Best overall response,</w:t>
            </w:r>
            <w:r>
              <w:rPr>
                <w:rFonts w:ascii="Times New Roman" w:cs="Times New Roman" w:eastAsia="Times New Roman" w:hAnsi="Times New Roman"/>
                <w:sz w:val="18"/>
                <w:szCs w:val="18"/>
                <w:color w:val="auto"/>
                <w:vertAlign w:val="superscript"/>
              </w:rPr>
              <w:t>d</w:t>
            </w:r>
            <w:r>
              <w:rPr>
                <w:rFonts w:ascii="Times New Roman" w:cs="Times New Roman" w:eastAsia="Times New Roman" w:hAnsi="Times New Roman"/>
                <w:sz w:val="14"/>
                <w:szCs w:val="14"/>
                <w:color w:val="auto"/>
              </w:rPr>
              <w:t xml:space="preserve"> n/N (%)</w:t>
            </w:r>
          </w:p>
        </w:tc>
        <w:tc>
          <w:tcPr>
            <w:tcW w:w="820" w:type="dxa"/>
            <w:vAlign w:val="bottom"/>
            <w:tcBorders>
              <w:right w:val="single" w:sz="8" w:color="auto"/>
            </w:tcBorders>
          </w:tcPr>
          <w:p>
            <w:pPr>
              <w:spacing w:after="0"/>
              <w:rPr>
                <w:sz w:val="14"/>
                <w:szCs w:val="14"/>
                <w:color w:val="auto"/>
              </w:rPr>
            </w:pPr>
          </w:p>
        </w:tc>
        <w:tc>
          <w:tcPr>
            <w:tcW w:w="64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7/26</w:t>
            </w:r>
          </w:p>
        </w:tc>
        <w:tc>
          <w:tcPr>
            <w:tcW w:w="640" w:type="dxa"/>
            <w:vAlign w:val="bottom"/>
            <w:tcBorders>
              <w:right w:val="single" w:sz="8" w:color="auto"/>
            </w:tcBorders>
          </w:tcPr>
          <w:p>
            <w:pPr>
              <w:ind w:left="20"/>
              <w:spacing w:after="0" w:line="163" w:lineRule="exact"/>
              <w:rPr>
                <w:sz w:val="20"/>
                <w:szCs w:val="20"/>
                <w:color w:val="auto"/>
              </w:rPr>
            </w:pPr>
            <w:r>
              <w:rPr>
                <w:rFonts w:ascii="Times New Roman" w:cs="Times New Roman" w:eastAsia="Times New Roman" w:hAnsi="Times New Roman"/>
                <w:sz w:val="17"/>
                <w:szCs w:val="17"/>
                <w:color w:val="auto"/>
              </w:rPr>
              <w:t>(27)</w:t>
            </w:r>
          </w:p>
        </w:tc>
        <w:tc>
          <w:tcPr>
            <w:tcW w:w="280" w:type="dxa"/>
            <w:vAlign w:val="bottom"/>
          </w:tcPr>
          <w:p>
            <w:pPr>
              <w:spacing w:after="0"/>
              <w:rPr>
                <w:sz w:val="14"/>
                <w:szCs w:val="14"/>
                <w:color w:val="auto"/>
              </w:rPr>
            </w:pPr>
          </w:p>
        </w:tc>
        <w:tc>
          <w:tcPr>
            <w:tcW w:w="1020" w:type="dxa"/>
            <w:vAlign w:val="bottom"/>
            <w:tcBorders>
              <w:right w:val="single" w:sz="8" w:color="auto"/>
            </w:tcBorders>
          </w:tcPr>
          <w:p>
            <w:pPr>
              <w:jc w:val="center"/>
              <w:ind w:right="213"/>
              <w:spacing w:after="0" w:line="163" w:lineRule="exact"/>
              <w:rPr>
                <w:sz w:val="20"/>
                <w:szCs w:val="20"/>
                <w:color w:val="auto"/>
              </w:rPr>
            </w:pPr>
            <w:r>
              <w:rPr>
                <w:rFonts w:ascii="Times New Roman" w:cs="Times New Roman" w:eastAsia="Times New Roman" w:hAnsi="Times New Roman"/>
                <w:sz w:val="17"/>
                <w:szCs w:val="17"/>
                <w:color w:val="auto"/>
              </w:rPr>
              <w:t>1/8 (13)</w:t>
            </w:r>
          </w:p>
        </w:tc>
        <w:tc>
          <w:tcPr>
            <w:tcW w:w="64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6/18</w:t>
            </w:r>
          </w:p>
        </w:tc>
        <w:tc>
          <w:tcPr>
            <w:tcW w:w="660" w:type="dxa"/>
            <w:vAlign w:val="bottom"/>
            <w:tcBorders>
              <w:right w:val="single" w:sz="8" w:color="auto"/>
            </w:tcBorders>
          </w:tcPr>
          <w:p>
            <w:pPr>
              <w:ind w:left="40"/>
              <w:spacing w:after="0" w:line="163" w:lineRule="exact"/>
              <w:rPr>
                <w:sz w:val="20"/>
                <w:szCs w:val="20"/>
                <w:color w:val="auto"/>
              </w:rPr>
            </w:pPr>
            <w:r>
              <w:rPr>
                <w:rFonts w:ascii="Times New Roman" w:cs="Times New Roman" w:eastAsia="Times New Roman" w:hAnsi="Times New Roman"/>
                <w:sz w:val="17"/>
                <w:szCs w:val="17"/>
                <w:color w:val="auto"/>
              </w:rPr>
              <w:t>(33)</w:t>
            </w:r>
          </w:p>
        </w:tc>
        <w:tc>
          <w:tcPr>
            <w:tcW w:w="130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7"/>
                <w:szCs w:val="17"/>
                <w:color w:val="auto"/>
              </w:rPr>
              <w:t>3/8 (38)</w:t>
            </w:r>
          </w:p>
        </w:tc>
        <w:tc>
          <w:tcPr>
            <w:tcW w:w="212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rPr>
              <w:t>0/8 (0)</w:t>
            </w:r>
          </w:p>
        </w:tc>
        <w:tc>
          <w:tcPr>
            <w:tcW w:w="0" w:type="dxa"/>
            <w:vAlign w:val="bottom"/>
          </w:tcPr>
          <w:p>
            <w:pPr>
              <w:spacing w:after="0"/>
              <w:rPr>
                <w:sz w:val="1"/>
                <w:szCs w:val="1"/>
                <w:color w:val="auto"/>
              </w:rPr>
            </w:pPr>
          </w:p>
        </w:tc>
      </w:tr>
      <w:tr>
        <w:trPr>
          <w:trHeight w:val="178"/>
        </w:trPr>
        <w:tc>
          <w:tcPr>
            <w:tcW w:w="2960" w:type="dxa"/>
            <w:vAlign w:val="bottom"/>
          </w:tcPr>
          <w:p>
            <w:pPr>
              <w:ind w:left="120"/>
              <w:spacing w:after="0" w:line="178" w:lineRule="exact"/>
              <w:rPr>
                <w:sz w:val="20"/>
                <w:szCs w:val="20"/>
                <w:color w:val="auto"/>
              </w:rPr>
            </w:pPr>
            <w:r>
              <w:rPr>
                <w:rFonts w:ascii="Times New Roman" w:cs="Times New Roman" w:eastAsia="Times New Roman" w:hAnsi="Times New Roman"/>
                <w:sz w:val="17"/>
                <w:szCs w:val="17"/>
                <w:color w:val="auto"/>
              </w:rPr>
              <w:t>High TPS (≥50)</w:t>
            </w:r>
          </w:p>
        </w:tc>
        <w:tc>
          <w:tcPr>
            <w:tcW w:w="820" w:type="dxa"/>
            <w:vAlign w:val="bottom"/>
            <w:tcBorders>
              <w:right w:val="single" w:sz="8" w:color="auto"/>
            </w:tcBorders>
          </w:tcPr>
          <w:p>
            <w:pPr>
              <w:spacing w:after="0"/>
              <w:rPr>
                <w:sz w:val="15"/>
                <w:szCs w:val="15"/>
                <w:color w:val="auto"/>
              </w:rPr>
            </w:pPr>
          </w:p>
        </w:tc>
        <w:tc>
          <w:tcPr>
            <w:tcW w:w="6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7/21</w:t>
            </w:r>
          </w:p>
        </w:tc>
        <w:tc>
          <w:tcPr>
            <w:tcW w:w="640" w:type="dxa"/>
            <w:vAlign w:val="bottom"/>
            <w:tcBorders>
              <w:right w:val="single" w:sz="8" w:color="auto"/>
            </w:tcBorders>
          </w:tcPr>
          <w:p>
            <w:pPr>
              <w:ind w:left="20"/>
              <w:spacing w:after="0" w:line="178" w:lineRule="exact"/>
              <w:rPr>
                <w:sz w:val="20"/>
                <w:szCs w:val="20"/>
                <w:color w:val="auto"/>
              </w:rPr>
            </w:pPr>
            <w:r>
              <w:rPr>
                <w:rFonts w:ascii="Times New Roman" w:cs="Times New Roman" w:eastAsia="Times New Roman" w:hAnsi="Times New Roman"/>
                <w:sz w:val="17"/>
                <w:szCs w:val="17"/>
                <w:color w:val="auto"/>
              </w:rPr>
              <w:t>(33)</w:t>
            </w:r>
          </w:p>
        </w:tc>
        <w:tc>
          <w:tcPr>
            <w:tcW w:w="280" w:type="dxa"/>
            <w:vAlign w:val="bottom"/>
          </w:tcPr>
          <w:p>
            <w:pPr>
              <w:spacing w:after="0"/>
              <w:rPr>
                <w:sz w:val="15"/>
                <w:szCs w:val="15"/>
                <w:color w:val="auto"/>
              </w:rPr>
            </w:pPr>
          </w:p>
        </w:tc>
        <w:tc>
          <w:tcPr>
            <w:tcW w:w="1020" w:type="dxa"/>
            <w:vAlign w:val="bottom"/>
            <w:tcBorders>
              <w:right w:val="single" w:sz="8" w:color="auto"/>
            </w:tcBorders>
          </w:tcPr>
          <w:p>
            <w:pPr>
              <w:jc w:val="center"/>
              <w:ind w:right="213"/>
              <w:spacing w:after="0" w:line="178" w:lineRule="exact"/>
              <w:rPr>
                <w:sz w:val="20"/>
                <w:szCs w:val="20"/>
                <w:color w:val="auto"/>
              </w:rPr>
            </w:pPr>
            <w:r>
              <w:rPr>
                <w:rFonts w:ascii="Times New Roman" w:cs="Times New Roman" w:eastAsia="Times New Roman" w:hAnsi="Times New Roman"/>
                <w:sz w:val="17"/>
                <w:szCs w:val="17"/>
                <w:color w:val="auto"/>
              </w:rPr>
              <w:t>1/6 (17)</w:t>
            </w:r>
          </w:p>
        </w:tc>
        <w:tc>
          <w:tcPr>
            <w:tcW w:w="6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6/15</w:t>
            </w:r>
          </w:p>
        </w:tc>
        <w:tc>
          <w:tcPr>
            <w:tcW w:w="660" w:type="dxa"/>
            <w:vAlign w:val="bottom"/>
            <w:tcBorders>
              <w:right w:val="single" w:sz="8" w:color="auto"/>
            </w:tcBorders>
          </w:tcPr>
          <w:p>
            <w:pPr>
              <w:ind w:left="40"/>
              <w:spacing w:after="0" w:line="178" w:lineRule="exact"/>
              <w:rPr>
                <w:sz w:val="20"/>
                <w:szCs w:val="20"/>
                <w:color w:val="auto"/>
              </w:rPr>
            </w:pPr>
            <w:r>
              <w:rPr>
                <w:rFonts w:ascii="Times New Roman" w:cs="Times New Roman" w:eastAsia="Times New Roman" w:hAnsi="Times New Roman"/>
                <w:sz w:val="17"/>
                <w:szCs w:val="17"/>
                <w:color w:val="auto"/>
              </w:rPr>
              <w:t>(40)</w:t>
            </w:r>
          </w:p>
        </w:tc>
        <w:tc>
          <w:tcPr>
            <w:tcW w:w="1300" w:type="dxa"/>
            <w:vAlign w:val="bottom"/>
            <w:tcBorders>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rPr>
              <w:t>3/6 (50)</w:t>
            </w:r>
          </w:p>
        </w:tc>
        <w:tc>
          <w:tcPr>
            <w:tcW w:w="2120" w:type="dxa"/>
            <w:vAlign w:val="bottom"/>
          </w:tcPr>
          <w:p>
            <w:pPr>
              <w:jc w:val="center"/>
              <w:spacing w:after="0" w:line="178" w:lineRule="exact"/>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8"/>
        </w:trPr>
        <w:tc>
          <w:tcPr>
            <w:tcW w:w="2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Low TPS (&lt;50)</w:t>
            </w:r>
          </w:p>
        </w:tc>
        <w:tc>
          <w:tcPr>
            <w:tcW w:w="82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(0)</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ind w:right="213"/>
              <w:spacing w:after="0"/>
              <w:rPr>
                <w:sz w:val="20"/>
                <w:szCs w:val="20"/>
                <w:color w:val="auto"/>
              </w:rPr>
            </w:pPr>
            <w:r>
              <w:rPr>
                <w:rFonts w:ascii="Times New Roman" w:cs="Times New Roman" w:eastAsia="Times New Roman" w:hAnsi="Times New Roman"/>
                <w:sz w:val="17"/>
                <w:szCs w:val="17"/>
                <w:color w:val="auto"/>
              </w:rPr>
              <w:t>0/2 (0)</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6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0/2 (0)</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164"/>
        </w:trPr>
        <w:tc>
          <w:tcPr>
            <w:tcW w:w="2960" w:type="dxa"/>
            <w:vAlign w:val="bottom"/>
          </w:tcPr>
          <w:p>
            <w:pPr>
              <w:ind w:left="40"/>
              <w:spacing w:after="0" w:line="163" w:lineRule="exact"/>
              <w:rPr>
                <w:sz w:val="20"/>
                <w:szCs w:val="20"/>
                <w:color w:val="auto"/>
              </w:rPr>
            </w:pPr>
            <w:r>
              <w:rPr>
                <w:rFonts w:ascii="Times New Roman" w:cs="Times New Roman" w:eastAsia="Times New Roman" w:hAnsi="Times New Roman"/>
                <w:sz w:val="14"/>
                <w:szCs w:val="14"/>
                <w:color w:val="auto"/>
              </w:rPr>
              <w:t>Confirmed ORR,</w:t>
            </w:r>
            <w:r>
              <w:rPr>
                <w:rFonts w:ascii="Times New Roman" w:cs="Times New Roman" w:eastAsia="Times New Roman" w:hAnsi="Times New Roman"/>
                <w:sz w:val="18"/>
                <w:szCs w:val="18"/>
                <w:color w:val="auto"/>
                <w:vertAlign w:val="superscript"/>
              </w:rPr>
              <w:t>e</w:t>
            </w:r>
            <w:r>
              <w:rPr>
                <w:rFonts w:ascii="Times New Roman" w:cs="Times New Roman" w:eastAsia="Times New Roman" w:hAnsi="Times New Roman"/>
                <w:sz w:val="14"/>
                <w:szCs w:val="14"/>
                <w:color w:val="auto"/>
              </w:rPr>
              <w:t xml:space="preserve"> n/N (%)</w:t>
            </w:r>
          </w:p>
        </w:tc>
        <w:tc>
          <w:tcPr>
            <w:tcW w:w="820" w:type="dxa"/>
            <w:vAlign w:val="bottom"/>
            <w:tcBorders>
              <w:right w:val="single" w:sz="8" w:color="auto"/>
            </w:tcBorders>
          </w:tcPr>
          <w:p>
            <w:pPr>
              <w:spacing w:after="0"/>
              <w:rPr>
                <w:sz w:val="14"/>
                <w:szCs w:val="14"/>
                <w:color w:val="auto"/>
              </w:rPr>
            </w:pPr>
          </w:p>
        </w:tc>
        <w:tc>
          <w:tcPr>
            <w:tcW w:w="64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5/26</w:t>
            </w:r>
          </w:p>
        </w:tc>
        <w:tc>
          <w:tcPr>
            <w:tcW w:w="640" w:type="dxa"/>
            <w:vAlign w:val="bottom"/>
            <w:tcBorders>
              <w:right w:val="single" w:sz="8" w:color="auto"/>
            </w:tcBorders>
          </w:tcPr>
          <w:p>
            <w:pPr>
              <w:ind w:left="20"/>
              <w:spacing w:after="0" w:line="163" w:lineRule="exact"/>
              <w:rPr>
                <w:sz w:val="20"/>
                <w:szCs w:val="20"/>
                <w:color w:val="auto"/>
              </w:rPr>
            </w:pPr>
            <w:r>
              <w:rPr>
                <w:rFonts w:ascii="Times New Roman" w:cs="Times New Roman" w:eastAsia="Times New Roman" w:hAnsi="Times New Roman"/>
                <w:sz w:val="17"/>
                <w:szCs w:val="17"/>
                <w:color w:val="auto"/>
              </w:rPr>
              <w:t>(19)</w:t>
            </w:r>
          </w:p>
        </w:tc>
        <w:tc>
          <w:tcPr>
            <w:tcW w:w="280" w:type="dxa"/>
            <w:vAlign w:val="bottom"/>
          </w:tcPr>
          <w:p>
            <w:pPr>
              <w:spacing w:after="0"/>
              <w:rPr>
                <w:sz w:val="14"/>
                <w:szCs w:val="14"/>
                <w:color w:val="auto"/>
              </w:rPr>
            </w:pPr>
          </w:p>
        </w:tc>
        <w:tc>
          <w:tcPr>
            <w:tcW w:w="1020" w:type="dxa"/>
            <w:vAlign w:val="bottom"/>
            <w:tcBorders>
              <w:right w:val="single" w:sz="8" w:color="auto"/>
            </w:tcBorders>
          </w:tcPr>
          <w:p>
            <w:pPr>
              <w:jc w:val="center"/>
              <w:ind w:right="213"/>
              <w:spacing w:after="0" w:line="163" w:lineRule="exact"/>
              <w:rPr>
                <w:sz w:val="20"/>
                <w:szCs w:val="20"/>
                <w:color w:val="auto"/>
              </w:rPr>
            </w:pPr>
            <w:r>
              <w:rPr>
                <w:rFonts w:ascii="Times New Roman" w:cs="Times New Roman" w:eastAsia="Times New Roman" w:hAnsi="Times New Roman"/>
                <w:sz w:val="17"/>
                <w:szCs w:val="17"/>
                <w:color w:val="auto"/>
              </w:rPr>
              <w:t>1/8 (13)</w:t>
            </w:r>
          </w:p>
        </w:tc>
        <w:tc>
          <w:tcPr>
            <w:tcW w:w="640" w:type="dxa"/>
            <w:vAlign w:val="bottom"/>
          </w:tcPr>
          <w:p>
            <w:pPr>
              <w:jc w:val="right"/>
              <w:spacing w:after="0" w:line="163" w:lineRule="exact"/>
              <w:rPr>
                <w:sz w:val="20"/>
                <w:szCs w:val="20"/>
                <w:color w:val="auto"/>
              </w:rPr>
            </w:pPr>
            <w:r>
              <w:rPr>
                <w:rFonts w:ascii="Times New Roman" w:cs="Times New Roman" w:eastAsia="Times New Roman" w:hAnsi="Times New Roman"/>
                <w:sz w:val="17"/>
                <w:szCs w:val="17"/>
                <w:color w:val="auto"/>
              </w:rPr>
              <w:t>4/18</w:t>
            </w:r>
          </w:p>
        </w:tc>
        <w:tc>
          <w:tcPr>
            <w:tcW w:w="660" w:type="dxa"/>
            <w:vAlign w:val="bottom"/>
            <w:tcBorders>
              <w:right w:val="single" w:sz="8" w:color="auto"/>
            </w:tcBorders>
          </w:tcPr>
          <w:p>
            <w:pPr>
              <w:ind w:left="40"/>
              <w:spacing w:after="0" w:line="163" w:lineRule="exact"/>
              <w:rPr>
                <w:sz w:val="20"/>
                <w:szCs w:val="20"/>
                <w:color w:val="auto"/>
              </w:rPr>
            </w:pPr>
            <w:r>
              <w:rPr>
                <w:rFonts w:ascii="Times New Roman" w:cs="Times New Roman" w:eastAsia="Times New Roman" w:hAnsi="Times New Roman"/>
                <w:sz w:val="17"/>
                <w:szCs w:val="17"/>
                <w:color w:val="auto"/>
              </w:rPr>
              <w:t>(22)</w:t>
            </w:r>
          </w:p>
        </w:tc>
        <w:tc>
          <w:tcPr>
            <w:tcW w:w="1300" w:type="dxa"/>
            <w:vAlign w:val="bottom"/>
            <w:tcBorders>
              <w:right w:val="single" w:sz="8" w:color="auto"/>
            </w:tcBorders>
          </w:tcPr>
          <w:p>
            <w:pPr>
              <w:jc w:val="center"/>
              <w:spacing w:after="0" w:line="163" w:lineRule="exact"/>
              <w:rPr>
                <w:sz w:val="20"/>
                <w:szCs w:val="20"/>
                <w:color w:val="auto"/>
              </w:rPr>
            </w:pPr>
            <w:r>
              <w:rPr>
                <w:rFonts w:ascii="Times New Roman" w:cs="Times New Roman" w:eastAsia="Times New Roman" w:hAnsi="Times New Roman"/>
                <w:sz w:val="17"/>
                <w:szCs w:val="17"/>
                <w:color w:val="auto"/>
              </w:rPr>
              <w:t>2/8 (25)</w:t>
            </w:r>
          </w:p>
        </w:tc>
        <w:tc>
          <w:tcPr>
            <w:tcW w:w="212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color w:val="auto"/>
              </w:rPr>
              <w:t>0/8 (0)</w:t>
            </w:r>
          </w:p>
        </w:tc>
        <w:tc>
          <w:tcPr>
            <w:tcW w:w="0" w:type="dxa"/>
            <w:vAlign w:val="bottom"/>
          </w:tcPr>
          <w:p>
            <w:pPr>
              <w:spacing w:after="0"/>
              <w:rPr>
                <w:sz w:val="1"/>
                <w:szCs w:val="1"/>
                <w:color w:val="auto"/>
              </w:rPr>
            </w:pPr>
          </w:p>
        </w:tc>
      </w:tr>
      <w:tr>
        <w:trPr>
          <w:trHeight w:val="178"/>
        </w:trPr>
        <w:tc>
          <w:tcPr>
            <w:tcW w:w="2960" w:type="dxa"/>
            <w:vAlign w:val="bottom"/>
          </w:tcPr>
          <w:p>
            <w:pPr>
              <w:ind w:left="120"/>
              <w:spacing w:after="0" w:line="178" w:lineRule="exact"/>
              <w:rPr>
                <w:sz w:val="20"/>
                <w:szCs w:val="20"/>
                <w:color w:val="auto"/>
              </w:rPr>
            </w:pPr>
            <w:r>
              <w:rPr>
                <w:rFonts w:ascii="Times New Roman" w:cs="Times New Roman" w:eastAsia="Times New Roman" w:hAnsi="Times New Roman"/>
                <w:sz w:val="17"/>
                <w:szCs w:val="17"/>
                <w:color w:val="auto"/>
              </w:rPr>
              <w:t>High TPS (≥50)</w:t>
            </w:r>
          </w:p>
        </w:tc>
        <w:tc>
          <w:tcPr>
            <w:tcW w:w="820" w:type="dxa"/>
            <w:vAlign w:val="bottom"/>
            <w:tcBorders>
              <w:right w:val="single" w:sz="8" w:color="auto"/>
            </w:tcBorders>
          </w:tcPr>
          <w:p>
            <w:pPr>
              <w:spacing w:after="0"/>
              <w:rPr>
                <w:sz w:val="15"/>
                <w:szCs w:val="15"/>
                <w:color w:val="auto"/>
              </w:rPr>
            </w:pPr>
          </w:p>
        </w:tc>
        <w:tc>
          <w:tcPr>
            <w:tcW w:w="6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5/21</w:t>
            </w:r>
          </w:p>
        </w:tc>
        <w:tc>
          <w:tcPr>
            <w:tcW w:w="640" w:type="dxa"/>
            <w:vAlign w:val="bottom"/>
            <w:tcBorders>
              <w:right w:val="single" w:sz="8" w:color="auto"/>
            </w:tcBorders>
          </w:tcPr>
          <w:p>
            <w:pPr>
              <w:ind w:left="20"/>
              <w:spacing w:after="0" w:line="178" w:lineRule="exact"/>
              <w:rPr>
                <w:sz w:val="20"/>
                <w:szCs w:val="20"/>
                <w:color w:val="auto"/>
              </w:rPr>
            </w:pPr>
            <w:r>
              <w:rPr>
                <w:rFonts w:ascii="Times New Roman" w:cs="Times New Roman" w:eastAsia="Times New Roman" w:hAnsi="Times New Roman"/>
                <w:sz w:val="17"/>
                <w:szCs w:val="17"/>
                <w:color w:val="auto"/>
              </w:rPr>
              <w:t>(24)</w:t>
            </w:r>
          </w:p>
        </w:tc>
        <w:tc>
          <w:tcPr>
            <w:tcW w:w="280" w:type="dxa"/>
            <w:vAlign w:val="bottom"/>
          </w:tcPr>
          <w:p>
            <w:pPr>
              <w:spacing w:after="0"/>
              <w:rPr>
                <w:sz w:val="15"/>
                <w:szCs w:val="15"/>
                <w:color w:val="auto"/>
              </w:rPr>
            </w:pPr>
          </w:p>
        </w:tc>
        <w:tc>
          <w:tcPr>
            <w:tcW w:w="1020" w:type="dxa"/>
            <w:vAlign w:val="bottom"/>
            <w:tcBorders>
              <w:right w:val="single" w:sz="8" w:color="auto"/>
            </w:tcBorders>
          </w:tcPr>
          <w:p>
            <w:pPr>
              <w:jc w:val="center"/>
              <w:ind w:right="213"/>
              <w:spacing w:after="0" w:line="178" w:lineRule="exact"/>
              <w:rPr>
                <w:sz w:val="20"/>
                <w:szCs w:val="20"/>
                <w:color w:val="auto"/>
              </w:rPr>
            </w:pPr>
            <w:r>
              <w:rPr>
                <w:rFonts w:ascii="Times New Roman" w:cs="Times New Roman" w:eastAsia="Times New Roman" w:hAnsi="Times New Roman"/>
                <w:sz w:val="17"/>
                <w:szCs w:val="17"/>
                <w:color w:val="auto"/>
              </w:rPr>
              <w:t>1/6 (17)</w:t>
            </w:r>
          </w:p>
        </w:tc>
        <w:tc>
          <w:tcPr>
            <w:tcW w:w="640" w:type="dxa"/>
            <w:vAlign w:val="bottom"/>
          </w:tcPr>
          <w:p>
            <w:pPr>
              <w:jc w:val="right"/>
              <w:spacing w:after="0" w:line="178" w:lineRule="exact"/>
              <w:rPr>
                <w:sz w:val="20"/>
                <w:szCs w:val="20"/>
                <w:color w:val="auto"/>
              </w:rPr>
            </w:pPr>
            <w:r>
              <w:rPr>
                <w:rFonts w:ascii="Times New Roman" w:cs="Times New Roman" w:eastAsia="Times New Roman" w:hAnsi="Times New Roman"/>
                <w:sz w:val="17"/>
                <w:szCs w:val="17"/>
                <w:color w:val="auto"/>
              </w:rPr>
              <w:t>4/15</w:t>
            </w:r>
          </w:p>
        </w:tc>
        <w:tc>
          <w:tcPr>
            <w:tcW w:w="660" w:type="dxa"/>
            <w:vAlign w:val="bottom"/>
            <w:tcBorders>
              <w:right w:val="single" w:sz="8" w:color="auto"/>
            </w:tcBorders>
          </w:tcPr>
          <w:p>
            <w:pPr>
              <w:ind w:left="40"/>
              <w:spacing w:after="0" w:line="178" w:lineRule="exact"/>
              <w:rPr>
                <w:sz w:val="20"/>
                <w:szCs w:val="20"/>
                <w:color w:val="auto"/>
              </w:rPr>
            </w:pPr>
            <w:r>
              <w:rPr>
                <w:rFonts w:ascii="Times New Roman" w:cs="Times New Roman" w:eastAsia="Times New Roman" w:hAnsi="Times New Roman"/>
                <w:sz w:val="17"/>
                <w:szCs w:val="17"/>
                <w:color w:val="auto"/>
              </w:rPr>
              <w:t>(27)</w:t>
            </w:r>
          </w:p>
        </w:tc>
        <w:tc>
          <w:tcPr>
            <w:tcW w:w="1300" w:type="dxa"/>
            <w:vAlign w:val="bottom"/>
            <w:tcBorders>
              <w:right w:val="single" w:sz="8" w:color="auto"/>
            </w:tcBorders>
          </w:tcPr>
          <w:p>
            <w:pPr>
              <w:jc w:val="center"/>
              <w:spacing w:after="0" w:line="178" w:lineRule="exact"/>
              <w:rPr>
                <w:sz w:val="20"/>
                <w:szCs w:val="20"/>
                <w:color w:val="auto"/>
              </w:rPr>
            </w:pPr>
            <w:r>
              <w:rPr>
                <w:rFonts w:ascii="Times New Roman" w:cs="Times New Roman" w:eastAsia="Times New Roman" w:hAnsi="Times New Roman"/>
                <w:sz w:val="17"/>
                <w:szCs w:val="17"/>
                <w:color w:val="auto"/>
              </w:rPr>
              <w:t>2/6 (33)</w:t>
            </w:r>
          </w:p>
        </w:tc>
        <w:tc>
          <w:tcPr>
            <w:tcW w:w="2120" w:type="dxa"/>
            <w:vAlign w:val="bottom"/>
          </w:tcPr>
          <w:p>
            <w:pPr>
              <w:jc w:val="center"/>
              <w:spacing w:after="0" w:line="178" w:lineRule="exact"/>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28"/>
        </w:trPr>
        <w:tc>
          <w:tcPr>
            <w:tcW w:w="29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Low TPS (&lt;50)</w:t>
            </w:r>
          </w:p>
        </w:tc>
        <w:tc>
          <w:tcPr>
            <w:tcW w:w="82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(0)</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center"/>
              <w:ind w:right="213"/>
              <w:spacing w:after="0"/>
              <w:rPr>
                <w:sz w:val="20"/>
                <w:szCs w:val="20"/>
                <w:color w:val="auto"/>
              </w:rPr>
            </w:pPr>
            <w:r>
              <w:rPr>
                <w:rFonts w:ascii="Times New Roman" w:cs="Times New Roman" w:eastAsia="Times New Roman" w:hAnsi="Times New Roman"/>
                <w:sz w:val="17"/>
                <w:szCs w:val="17"/>
                <w:color w:val="auto"/>
              </w:rPr>
              <w:t>0/2 (0)</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66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(0)</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0/2 (0)</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bl>
    <w:p>
      <w:pPr>
        <w:ind w:left="40"/>
        <w:spacing w:after="0" w:line="187" w:lineRule="auto"/>
        <w:rPr>
          <w:sz w:val="20"/>
          <w:szCs w:val="20"/>
          <w:color w:val="auto"/>
        </w:rPr>
      </w:pPr>
      <w:r>
        <w:rPr>
          <w:rFonts w:ascii="Times New Roman" w:cs="Times New Roman" w:eastAsia="Times New Roman" w:hAnsi="Times New Roman"/>
          <w:sz w:val="22"/>
          <w:szCs w:val="22"/>
          <w:color w:val="auto"/>
          <w:vertAlign w:val="superscript"/>
        </w:rPr>
        <w:t>a</w:t>
      </w:r>
      <w:r>
        <w:rPr>
          <w:rFonts w:ascii="Times New Roman" w:cs="Times New Roman" w:eastAsia="Times New Roman" w:hAnsi="Times New Roman"/>
          <w:sz w:val="17"/>
          <w:szCs w:val="17"/>
          <w:color w:val="auto"/>
        </w:rPr>
        <w:t>Patients evaluable for disease outcome includes those who received ALLO-316 and had at least one tumor assessment.</w:t>
      </w:r>
    </w:p>
    <w:p>
      <w:pPr>
        <w:ind w:left="40"/>
        <w:spacing w:after="0" w:line="187" w:lineRule="auto"/>
        <w:rPr>
          <w:sz w:val="20"/>
          <w:szCs w:val="20"/>
          <w:color w:val="auto"/>
        </w:rPr>
      </w:pPr>
      <w:r>
        <w:rPr>
          <w:rFonts w:ascii="Times New Roman" w:cs="Times New Roman" w:eastAsia="Times New Roman" w:hAnsi="Times New Roman"/>
          <w:sz w:val="22"/>
          <w:szCs w:val="22"/>
          <w:color w:val="auto"/>
          <w:vertAlign w:val="superscript"/>
        </w:rPr>
        <w:t>b</w:t>
      </w:r>
      <w:r>
        <w:rPr>
          <w:rFonts w:ascii="Times New Roman" w:cs="Times New Roman" w:eastAsia="Times New Roman" w:hAnsi="Times New Roman"/>
          <w:sz w:val="17"/>
          <w:szCs w:val="17"/>
          <w:color w:val="auto"/>
        </w:rPr>
        <w:t>Standard fludarabine and cyclophosphamide plus ALLO-647</w:t>
      </w:r>
    </w:p>
    <w:p>
      <w:pPr>
        <w:ind w:left="40"/>
        <w:spacing w:after="0" w:line="180" w:lineRule="auto"/>
        <w:rPr>
          <w:sz w:val="20"/>
          <w:szCs w:val="20"/>
          <w:color w:val="auto"/>
        </w:rPr>
      </w:pPr>
      <w:r>
        <w:rPr>
          <w:rFonts w:ascii="Times New Roman" w:cs="Times New Roman" w:eastAsia="Times New Roman" w:hAnsi="Times New Roman"/>
          <w:sz w:val="20"/>
          <w:szCs w:val="20"/>
          <w:color w:val="auto"/>
          <w:vertAlign w:val="superscript"/>
        </w:rPr>
        <w:t>c</w:t>
      </w:r>
      <w:r>
        <w:rPr>
          <w:rFonts w:ascii="Times New Roman" w:cs="Times New Roman" w:eastAsia="Times New Roman" w:hAnsi="Times New Roman"/>
          <w:sz w:val="16"/>
          <w:szCs w:val="16"/>
          <w:color w:val="auto"/>
        </w:rPr>
        <w:t>Includes FC300 and FC500</w:t>
      </w:r>
    </w:p>
    <w:p>
      <w:pPr>
        <w:ind w:left="40"/>
        <w:spacing w:after="0" w:line="187" w:lineRule="auto"/>
        <w:rPr>
          <w:sz w:val="20"/>
          <w:szCs w:val="20"/>
          <w:color w:val="auto"/>
        </w:rPr>
      </w:pPr>
      <w:r>
        <w:rPr>
          <w:rFonts w:ascii="Times New Roman" w:cs="Times New Roman" w:eastAsia="Times New Roman" w:hAnsi="Times New Roman"/>
          <w:sz w:val="19"/>
          <w:szCs w:val="19"/>
          <w:color w:val="auto"/>
          <w:vertAlign w:val="superscript"/>
        </w:rPr>
        <w:t>d</w:t>
      </w:r>
      <w:r>
        <w:rPr>
          <w:rFonts w:ascii="Times New Roman" w:cs="Times New Roman" w:eastAsia="Times New Roman" w:hAnsi="Times New Roman"/>
          <w:sz w:val="15"/>
          <w:szCs w:val="15"/>
          <w:color w:val="auto"/>
        </w:rPr>
        <w:t>Best overall response across visits did not require confirmation for CR/PR.</w:t>
      </w:r>
    </w:p>
    <w:p>
      <w:pPr>
        <w:ind w:left="40"/>
        <w:spacing w:after="0"/>
        <w:rPr>
          <w:sz w:val="20"/>
          <w:szCs w:val="20"/>
          <w:color w:val="auto"/>
        </w:rPr>
      </w:pPr>
      <w:r>
        <w:rPr>
          <w:rFonts w:ascii="Times New Roman" w:cs="Times New Roman" w:eastAsia="Times New Roman" w:hAnsi="Times New Roman"/>
          <w:sz w:val="22"/>
          <w:szCs w:val="22"/>
          <w:color w:val="auto"/>
          <w:vertAlign w:val="superscript"/>
        </w:rPr>
        <w:t>e</w:t>
      </w:r>
      <w:r>
        <w:rPr>
          <w:rFonts w:ascii="Times New Roman" w:cs="Times New Roman" w:eastAsia="Times New Roman" w:hAnsi="Times New Roman"/>
          <w:sz w:val="17"/>
          <w:szCs w:val="17"/>
          <w:color w:val="auto"/>
        </w:rPr>
        <w:t>Confirmed overall response of CR/PR required confirmation at the subsequent visit.</w:t>
      </w:r>
    </w:p>
    <w:p>
      <w:pPr>
        <w:spacing w:after="0" w:line="157"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The most common all-grade adverse events were cytokine release syndrome (CRS) (with only one grade ≥3), fatigue (59%), neutropenia (56%), decreased white blood cell count (54%), anemia (51%) and nausea (51%). Immune effector cell-associated neurotoxicity syndrome (ICANS) was minimal at 8% and no graft-versus-host disease (GvHD) occurred.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Safety: Most Prevalent TEAEs (&gt;40% Any Grade Incidence) and AESI</w:t>
      </w:r>
    </w:p>
    <w:p>
      <w:pPr>
        <w:spacing w:after="0" w:line="41"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36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Adverse Event, n(%)</w:t>
            </w:r>
          </w:p>
        </w:tc>
        <w:tc>
          <w:tcPr>
            <w:tcW w:w="2900" w:type="dxa"/>
            <w:vAlign w:val="bottom"/>
            <w:tcBorders>
              <w:top w:val="single" w:sz="8" w:color="auto"/>
            </w:tcBorders>
            <w:gridSpan w:val="3"/>
          </w:tcPr>
          <w:p>
            <w:pPr>
              <w:jc w:val="right"/>
              <w:ind w:right="153"/>
              <w:spacing w:after="0"/>
              <w:rPr>
                <w:sz w:val="20"/>
                <w:szCs w:val="20"/>
                <w:color w:val="auto"/>
              </w:rPr>
            </w:pPr>
            <w:r>
              <w:rPr>
                <w:rFonts w:ascii="Times New Roman" w:cs="Times New Roman" w:eastAsia="Times New Roman" w:hAnsi="Times New Roman"/>
                <w:sz w:val="17"/>
                <w:szCs w:val="17"/>
                <w:color w:val="auto"/>
              </w:rPr>
              <w:t>All Patients (N=39)</w:t>
            </w:r>
          </w:p>
        </w:tc>
        <w:tc>
          <w:tcPr>
            <w:tcW w:w="1060" w:type="dxa"/>
            <w:vAlign w:val="bottom"/>
            <w:tcBorders>
              <w:top w:val="single" w:sz="8" w:color="auto"/>
              <w:right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700" w:type="dxa"/>
            <w:vAlign w:val="bottom"/>
            <w:tcBorders>
              <w:top w:val="single" w:sz="8" w:color="auto"/>
              <w:right w:val="single" w:sz="8" w:color="auto"/>
            </w:tcBorders>
            <w:gridSpan w:val="2"/>
          </w:tcPr>
          <w:p>
            <w:pPr>
              <w:ind w:left="260"/>
              <w:spacing w:after="0"/>
              <w:rPr>
                <w:sz w:val="20"/>
                <w:szCs w:val="20"/>
                <w:color w:val="auto"/>
              </w:rPr>
            </w:pPr>
            <w:r>
              <w:rPr>
                <w:rFonts w:ascii="Times New Roman" w:cs="Times New Roman" w:eastAsia="Times New Roman" w:hAnsi="Times New Roman"/>
                <w:sz w:val="17"/>
                <w:szCs w:val="17"/>
                <w:color w:val="auto"/>
              </w:rPr>
              <w:t>DL2 FC500 (N=11)</w:t>
            </w:r>
          </w:p>
        </w:tc>
        <w:tc>
          <w:tcPr>
            <w:tcW w:w="220" w:type="dxa"/>
            <w:vAlign w:val="bottom"/>
          </w:tcPr>
          <w:p>
            <w:pPr>
              <w:spacing w:after="0"/>
              <w:rPr>
                <w:sz w:val="20"/>
                <w:szCs w:val="20"/>
                <w:color w:val="auto"/>
              </w:rPr>
            </w:pPr>
          </w:p>
        </w:tc>
      </w:tr>
      <w:tr>
        <w:trPr>
          <w:trHeight w:val="21"/>
        </w:trPr>
        <w:tc>
          <w:tcPr>
            <w:tcW w:w="3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gridSpan w:val="2"/>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1"/>
        </w:trPr>
        <w:tc>
          <w:tcPr>
            <w:tcW w:w="3620" w:type="dxa"/>
            <w:vAlign w:val="bottom"/>
            <w:tcBorders>
              <w:left w:val="single" w:sz="8" w:color="auto"/>
              <w:right w:val="single" w:sz="8" w:color="auto"/>
            </w:tcBorders>
          </w:tcPr>
          <w:p>
            <w:pPr>
              <w:spacing w:after="0"/>
              <w:rPr>
                <w:sz w:val="19"/>
                <w:szCs w:val="19"/>
                <w:color w:val="auto"/>
              </w:rPr>
            </w:pPr>
          </w:p>
        </w:tc>
        <w:tc>
          <w:tcPr>
            <w:tcW w:w="16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All Grades</w:t>
            </w:r>
          </w:p>
        </w:tc>
        <w:tc>
          <w:tcPr>
            <w:tcW w:w="34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gridSpan w:val="2"/>
          </w:tcPr>
          <w:p>
            <w:pPr>
              <w:ind w:left="660"/>
              <w:spacing w:after="0"/>
              <w:rPr>
                <w:sz w:val="20"/>
                <w:szCs w:val="20"/>
                <w:color w:val="auto"/>
              </w:rPr>
            </w:pPr>
            <w:r>
              <w:rPr>
                <w:rFonts w:ascii="Times New Roman" w:cs="Times New Roman" w:eastAsia="Times New Roman" w:hAnsi="Times New Roman"/>
                <w:sz w:val="17"/>
                <w:szCs w:val="17"/>
                <w:color w:val="auto"/>
              </w:rPr>
              <w:t>Grade ≥3</w:t>
            </w:r>
          </w:p>
        </w:tc>
        <w:tc>
          <w:tcPr>
            <w:tcW w:w="1720" w:type="dxa"/>
            <w:vAlign w:val="bottom"/>
            <w:tcBorders>
              <w:right w:val="single" w:sz="8" w:color="auto"/>
            </w:tcBorders>
            <w:gridSpan w:val="2"/>
          </w:tcPr>
          <w:p>
            <w:pPr>
              <w:ind w:left="460"/>
              <w:spacing w:after="0"/>
              <w:rPr>
                <w:sz w:val="20"/>
                <w:szCs w:val="20"/>
                <w:color w:val="auto"/>
              </w:rPr>
            </w:pPr>
            <w:r>
              <w:rPr>
                <w:rFonts w:ascii="Times New Roman" w:cs="Times New Roman" w:eastAsia="Times New Roman" w:hAnsi="Times New Roman"/>
                <w:sz w:val="17"/>
                <w:szCs w:val="17"/>
                <w:color w:val="auto"/>
              </w:rPr>
              <w:t>All Grades</w:t>
            </w:r>
          </w:p>
        </w:tc>
        <w:tc>
          <w:tcPr>
            <w:tcW w:w="172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Grade ≥3</w:t>
            </w:r>
          </w:p>
        </w:tc>
        <w:tc>
          <w:tcPr>
            <w:tcW w:w="220" w:type="dxa"/>
            <w:vAlign w:val="bottom"/>
          </w:tcPr>
          <w:p>
            <w:pPr>
              <w:spacing w:after="0"/>
              <w:rPr>
                <w:sz w:val="19"/>
                <w:szCs w:val="19"/>
                <w:color w:val="auto"/>
              </w:rPr>
            </w:pPr>
          </w:p>
        </w:tc>
      </w:tr>
      <w:tr>
        <w:trPr>
          <w:trHeight w:val="21"/>
        </w:trPr>
        <w:tc>
          <w:tcPr>
            <w:tcW w:w="3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1"/>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Any TEAE</w:t>
            </w:r>
          </w:p>
        </w:tc>
        <w:tc>
          <w:tcPr>
            <w:tcW w:w="1640" w:type="dxa"/>
            <w:vAlign w:val="bottom"/>
          </w:tcPr>
          <w:p>
            <w:pPr>
              <w:jc w:val="center"/>
              <w:ind w:left="233"/>
              <w:spacing w:after="0"/>
              <w:rPr>
                <w:sz w:val="20"/>
                <w:szCs w:val="20"/>
                <w:color w:val="auto"/>
              </w:rPr>
            </w:pPr>
            <w:r>
              <w:rPr>
                <w:rFonts w:ascii="Times New Roman" w:cs="Times New Roman" w:eastAsia="Times New Roman" w:hAnsi="Times New Roman"/>
                <w:sz w:val="17"/>
                <w:szCs w:val="17"/>
                <w:color w:val="auto"/>
              </w:rPr>
              <w:t>39 (100)</w:t>
            </w:r>
          </w:p>
        </w:tc>
        <w:tc>
          <w:tcPr>
            <w:tcW w:w="340" w:type="dxa"/>
            <w:vAlign w:val="bottom"/>
            <w:tcBorders>
              <w:right w:val="single" w:sz="8" w:color="auto"/>
            </w:tcBorders>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(81)</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(100)</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 (73)</w:t>
            </w:r>
          </w:p>
        </w:tc>
        <w:tc>
          <w:tcPr>
            <w:tcW w:w="220" w:type="dxa"/>
            <w:vAlign w:val="bottom"/>
          </w:tcPr>
          <w:p>
            <w:pPr>
              <w:spacing w:after="0"/>
              <w:rPr>
                <w:sz w:val="19"/>
                <w:szCs w:val="19"/>
                <w:color w:val="auto"/>
              </w:rPr>
            </w:pPr>
          </w:p>
        </w:tc>
      </w:tr>
      <w:tr>
        <w:trPr>
          <w:trHeight w:val="21"/>
        </w:trPr>
        <w:tc>
          <w:tcPr>
            <w:tcW w:w="3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1"/>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CRS</w:t>
            </w:r>
          </w:p>
        </w:tc>
        <w:tc>
          <w:tcPr>
            <w:tcW w:w="1640" w:type="dxa"/>
            <w:vAlign w:val="bottom"/>
          </w:tcPr>
          <w:p>
            <w:pPr>
              <w:jc w:val="center"/>
              <w:ind w:left="233"/>
              <w:spacing w:after="0"/>
              <w:rPr>
                <w:sz w:val="20"/>
                <w:szCs w:val="20"/>
                <w:color w:val="auto"/>
              </w:rPr>
            </w:pPr>
            <w:r>
              <w:rPr>
                <w:rFonts w:ascii="Times New Roman" w:cs="Times New Roman" w:eastAsia="Times New Roman" w:hAnsi="Times New Roman"/>
                <w:sz w:val="17"/>
                <w:szCs w:val="17"/>
                <w:color w:val="auto"/>
              </w:rPr>
              <w:t>24 (62)</w:t>
            </w:r>
          </w:p>
        </w:tc>
        <w:tc>
          <w:tcPr>
            <w:tcW w:w="340" w:type="dxa"/>
            <w:vAlign w:val="bottom"/>
            <w:tcBorders>
              <w:right w:val="single" w:sz="8" w:color="auto"/>
            </w:tcBorders>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(3)</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(73)</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220" w:type="dxa"/>
            <w:vAlign w:val="bottom"/>
          </w:tcPr>
          <w:p>
            <w:pPr>
              <w:spacing w:after="0"/>
              <w:rPr>
                <w:sz w:val="19"/>
                <w:szCs w:val="19"/>
                <w:color w:val="auto"/>
              </w:rPr>
            </w:pPr>
          </w:p>
        </w:tc>
      </w:tr>
      <w:tr>
        <w:trPr>
          <w:trHeight w:val="21"/>
        </w:trPr>
        <w:tc>
          <w:tcPr>
            <w:tcW w:w="3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1"/>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Fatigue</w:t>
            </w:r>
          </w:p>
        </w:tc>
        <w:tc>
          <w:tcPr>
            <w:tcW w:w="1640" w:type="dxa"/>
            <w:vAlign w:val="bottom"/>
          </w:tcPr>
          <w:p>
            <w:pPr>
              <w:jc w:val="center"/>
              <w:ind w:left="233"/>
              <w:spacing w:after="0"/>
              <w:rPr>
                <w:sz w:val="20"/>
                <w:szCs w:val="20"/>
                <w:color w:val="auto"/>
              </w:rPr>
            </w:pPr>
            <w:r>
              <w:rPr>
                <w:rFonts w:ascii="Times New Roman" w:cs="Times New Roman" w:eastAsia="Times New Roman" w:hAnsi="Times New Roman"/>
                <w:sz w:val="17"/>
                <w:szCs w:val="17"/>
                <w:color w:val="auto"/>
              </w:rPr>
              <w:t>23 (59)</w:t>
            </w:r>
          </w:p>
        </w:tc>
        <w:tc>
          <w:tcPr>
            <w:tcW w:w="340" w:type="dxa"/>
            <w:vAlign w:val="bottom"/>
            <w:tcBorders>
              <w:right w:val="single" w:sz="8" w:color="auto"/>
            </w:tcBorders>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(3)</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(18)</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0</w:t>
            </w:r>
          </w:p>
        </w:tc>
        <w:tc>
          <w:tcPr>
            <w:tcW w:w="220" w:type="dxa"/>
            <w:vAlign w:val="bottom"/>
          </w:tcPr>
          <w:p>
            <w:pPr>
              <w:spacing w:after="0"/>
              <w:rPr>
                <w:sz w:val="19"/>
                <w:szCs w:val="19"/>
                <w:color w:val="auto"/>
              </w:rPr>
            </w:pPr>
          </w:p>
        </w:tc>
      </w:tr>
      <w:tr>
        <w:trPr>
          <w:trHeight w:val="21"/>
        </w:trPr>
        <w:tc>
          <w:tcPr>
            <w:tcW w:w="3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1"/>
        </w:trPr>
        <w:tc>
          <w:tcPr>
            <w:tcW w:w="36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Neutropenia</w:t>
            </w:r>
          </w:p>
        </w:tc>
        <w:tc>
          <w:tcPr>
            <w:tcW w:w="1640" w:type="dxa"/>
            <w:vAlign w:val="bottom"/>
          </w:tcPr>
          <w:p>
            <w:pPr>
              <w:jc w:val="center"/>
              <w:ind w:left="233"/>
              <w:spacing w:after="0"/>
              <w:rPr>
                <w:sz w:val="20"/>
                <w:szCs w:val="20"/>
                <w:color w:val="auto"/>
              </w:rPr>
            </w:pPr>
            <w:r>
              <w:rPr>
                <w:rFonts w:ascii="Times New Roman" w:cs="Times New Roman" w:eastAsia="Times New Roman" w:hAnsi="Times New Roman"/>
                <w:sz w:val="17"/>
                <w:szCs w:val="17"/>
                <w:color w:val="auto"/>
              </w:rPr>
              <w:t>22 (56)</w:t>
            </w:r>
          </w:p>
        </w:tc>
        <w:tc>
          <w:tcPr>
            <w:tcW w:w="340" w:type="dxa"/>
            <w:vAlign w:val="bottom"/>
            <w:tcBorders>
              <w:right w:val="single" w:sz="8" w:color="auto"/>
            </w:tcBorders>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(51)</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(64)</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 (64)</w:t>
            </w:r>
          </w:p>
        </w:tc>
        <w:tc>
          <w:tcPr>
            <w:tcW w:w="220" w:type="dxa"/>
            <w:vAlign w:val="bottom"/>
          </w:tcPr>
          <w:p>
            <w:pPr>
              <w:spacing w:after="0"/>
              <w:rPr>
                <w:sz w:val="19"/>
                <w:szCs w:val="19"/>
                <w:color w:val="auto"/>
              </w:rPr>
            </w:pPr>
          </w:p>
        </w:tc>
      </w:tr>
      <w:tr>
        <w:trPr>
          <w:trHeight w:val="21"/>
        </w:trPr>
        <w:tc>
          <w:tcPr>
            <w:tcW w:w="3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818"/>
        </w:trPr>
        <w:tc>
          <w:tcPr>
            <w:tcW w:w="3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60" w:type="dxa"/>
            <w:vAlign w:val="bottom"/>
            <w:gridSpan w:val="2"/>
          </w:tcPr>
          <w:p>
            <w:pPr>
              <w:jc w:val="right"/>
              <w:ind w:right="713"/>
              <w:spacing w:after="0"/>
              <w:rPr>
                <w:sz w:val="20"/>
                <w:szCs w:val="20"/>
                <w:color w:val="auto"/>
              </w:rPr>
            </w:pPr>
            <w:r>
              <w:rPr>
                <w:rFonts w:ascii="Times New Roman" w:cs="Times New Roman" w:eastAsia="Times New Roman" w:hAnsi="Times New Roman"/>
                <w:sz w:val="17"/>
                <w:szCs w:val="17"/>
                <w:color w:val="auto"/>
              </w:rPr>
              <w:t>26</w:t>
            </w: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1"/>
        </w:trPr>
        <w:tc>
          <w:tcPr>
            <w:tcW w:w="362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378460</wp:posOffset>
            </wp:positionV>
            <wp:extent cx="6986905" cy="3194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86905" cy="319405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White blood cell count decreased</w:t>
            </w:r>
          </w:p>
        </w:tc>
        <w:tc>
          <w:tcPr>
            <w:tcW w:w="1980" w:type="dxa"/>
            <w:vAlign w:val="bottom"/>
            <w:tcBorders>
              <w:top w:val="single" w:sz="8" w:color="auto"/>
              <w:right w:val="single" w:sz="8" w:color="auto"/>
            </w:tcBorders>
            <w:gridSpan w:val="2"/>
          </w:tcPr>
          <w:p>
            <w:pPr>
              <w:jc w:val="right"/>
              <w:ind w:right="653"/>
              <w:spacing w:after="0"/>
              <w:rPr>
                <w:sz w:val="20"/>
                <w:szCs w:val="20"/>
                <w:color w:val="auto"/>
              </w:rPr>
            </w:pPr>
            <w:r>
              <w:rPr>
                <w:rFonts w:ascii="Times New Roman" w:cs="Times New Roman" w:eastAsia="Times New Roman" w:hAnsi="Times New Roman"/>
                <w:sz w:val="17"/>
                <w:szCs w:val="17"/>
                <w:color w:val="auto"/>
              </w:rPr>
              <w:t>21/(54)</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(49)</w:t>
            </w:r>
          </w:p>
        </w:tc>
        <w:tc>
          <w:tcPr>
            <w:tcW w:w="1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 (73)</w:t>
            </w: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 (73)</w:t>
            </w:r>
          </w:p>
        </w:tc>
      </w:tr>
      <w:tr>
        <w:trPr>
          <w:trHeight w:val="21"/>
        </w:trPr>
        <w:tc>
          <w:tcPr>
            <w:tcW w:w="362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1"/>
        </w:trPr>
        <w:tc>
          <w:tcPr>
            <w:tcW w:w="3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Anemia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60" w:type="dxa"/>
            <w:vAlign w:val="bottom"/>
            <w:tcBorders>
              <w:right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color w:val="auto"/>
              </w:rPr>
              <w:t>(51)</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(33)</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 (64)</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 (46)</w:t>
            </w:r>
          </w:p>
        </w:tc>
      </w:tr>
      <w:tr>
        <w:trPr>
          <w:trHeight w:val="21"/>
        </w:trPr>
        <w:tc>
          <w:tcPr>
            <w:tcW w:w="362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1"/>
        </w:trPr>
        <w:tc>
          <w:tcPr>
            <w:tcW w:w="3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Nausea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60" w:type="dxa"/>
            <w:vAlign w:val="bottom"/>
            <w:tcBorders>
              <w:right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color w:val="auto"/>
              </w:rPr>
              <w:t>(51)</w:t>
            </w:r>
          </w:p>
        </w:tc>
        <w:tc>
          <w:tcPr>
            <w:tcW w:w="920" w:type="dxa"/>
            <w:vAlign w:val="bottom"/>
          </w:tcPr>
          <w:p>
            <w:pPr>
              <w:spacing w:after="0"/>
              <w:rPr>
                <w:sz w:val="19"/>
                <w:szCs w:val="19"/>
                <w:color w:val="auto"/>
              </w:rPr>
            </w:pP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0</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 (27)</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r>
      <w:tr>
        <w:trPr>
          <w:trHeight w:val="21"/>
        </w:trPr>
        <w:tc>
          <w:tcPr>
            <w:tcW w:w="362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1"/>
        </w:trPr>
        <w:tc>
          <w:tcPr>
            <w:tcW w:w="3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Thrombocytopenia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60" w:type="dxa"/>
            <w:vAlign w:val="bottom"/>
            <w:tcBorders>
              <w:right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color w:val="auto"/>
              </w:rPr>
              <w:t>(46)</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(26)</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 (64)</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 (27)</w:t>
            </w:r>
          </w:p>
        </w:tc>
      </w:tr>
      <w:tr>
        <w:trPr>
          <w:trHeight w:val="21"/>
        </w:trPr>
        <w:tc>
          <w:tcPr>
            <w:tcW w:w="362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1"/>
        </w:trPr>
        <w:tc>
          <w:tcPr>
            <w:tcW w:w="3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Pyrexia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60" w:type="dxa"/>
            <w:vAlign w:val="bottom"/>
            <w:tcBorders>
              <w:right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color w:val="auto"/>
              </w:rPr>
              <w:t>(41)</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(5)</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 (36)</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r>
      <w:tr>
        <w:trPr>
          <w:trHeight w:val="21"/>
        </w:trPr>
        <w:tc>
          <w:tcPr>
            <w:tcW w:w="362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gridSpan w:val="2"/>
          </w:tcPr>
          <w:p>
            <w:pPr>
              <w:spacing w:after="0" w:line="20" w:lineRule="exact"/>
              <w:rPr>
                <w:sz w:val="1"/>
                <w:szCs w:val="1"/>
                <w:color w:val="auto"/>
              </w:rPr>
            </w:pPr>
          </w:p>
        </w:tc>
        <w:tc>
          <w:tcPr>
            <w:tcW w:w="1980" w:type="dxa"/>
            <w:vAlign w:val="bottom"/>
            <w:tcBorders>
              <w:bottom w:val="single" w:sz="8" w:color="auto"/>
              <w:right w:val="single" w:sz="8" w:color="auto"/>
            </w:tcBorders>
            <w:gridSpan w:val="2"/>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1"/>
        </w:trPr>
        <w:tc>
          <w:tcPr>
            <w:tcW w:w="3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AEs of Special interest</w:t>
            </w:r>
          </w:p>
        </w:tc>
        <w:tc>
          <w:tcPr>
            <w:tcW w:w="1980" w:type="dxa"/>
            <w:vAlign w:val="bottom"/>
            <w:tcBorders>
              <w:right w:val="single" w:sz="8" w:color="auto"/>
            </w:tcBorders>
            <w:gridSpan w:val="2"/>
          </w:tcPr>
          <w:p>
            <w:pPr>
              <w:jc w:val="right"/>
              <w:ind w:right="533"/>
              <w:spacing w:after="0"/>
              <w:rPr>
                <w:sz w:val="20"/>
                <w:szCs w:val="20"/>
                <w:color w:val="auto"/>
              </w:rPr>
            </w:pPr>
            <w:r>
              <w:rPr>
                <w:rFonts w:ascii="Times New Roman" w:cs="Times New Roman" w:eastAsia="Times New Roman" w:hAnsi="Times New Roman"/>
                <w:sz w:val="17"/>
                <w:szCs w:val="17"/>
                <w:color w:val="auto"/>
              </w:rPr>
              <w:t>Any Grade</w:t>
            </w:r>
          </w:p>
        </w:tc>
        <w:tc>
          <w:tcPr>
            <w:tcW w:w="1980" w:type="dxa"/>
            <w:vAlign w:val="bottom"/>
            <w:tcBorders>
              <w:right w:val="single" w:sz="8" w:color="auto"/>
            </w:tcBorders>
            <w:gridSpan w:val="2"/>
          </w:tcPr>
          <w:p>
            <w:pPr>
              <w:ind w:left="660"/>
              <w:spacing w:after="0"/>
              <w:rPr>
                <w:sz w:val="20"/>
                <w:szCs w:val="20"/>
                <w:color w:val="auto"/>
              </w:rPr>
            </w:pPr>
            <w:r>
              <w:rPr>
                <w:rFonts w:ascii="Times New Roman" w:cs="Times New Roman" w:eastAsia="Times New Roman" w:hAnsi="Times New Roman"/>
                <w:sz w:val="17"/>
                <w:szCs w:val="17"/>
                <w:color w:val="auto"/>
              </w:rPr>
              <w:t>Grade ≥3</w:t>
            </w:r>
          </w:p>
        </w:tc>
        <w:tc>
          <w:tcPr>
            <w:tcW w:w="1720" w:type="dxa"/>
            <w:vAlign w:val="bottom"/>
            <w:tcBorders>
              <w:right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Any Grade</w:t>
            </w:r>
          </w:p>
        </w:tc>
        <w:tc>
          <w:tcPr>
            <w:tcW w:w="17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Grade ≥3</w:t>
            </w:r>
          </w:p>
        </w:tc>
      </w:tr>
      <w:tr>
        <w:trPr>
          <w:trHeight w:val="21"/>
        </w:trPr>
        <w:tc>
          <w:tcPr>
            <w:tcW w:w="362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84"/>
        </w:trPr>
        <w:tc>
          <w:tcPr>
            <w:tcW w:w="3620" w:type="dxa"/>
            <w:vAlign w:val="bottom"/>
            <w:tcBorders>
              <w:right w:val="single" w:sz="8" w:color="auto"/>
            </w:tcBorders>
          </w:tcPr>
          <w:p>
            <w:pPr>
              <w:ind w:left="40"/>
              <w:spacing w:after="0" w:line="185" w:lineRule="exact"/>
              <w:rPr>
                <w:sz w:val="20"/>
                <w:szCs w:val="20"/>
                <w:color w:val="auto"/>
              </w:rPr>
            </w:pPr>
            <w:r>
              <w:rPr>
                <w:rFonts w:ascii="Times New Roman" w:cs="Times New Roman" w:eastAsia="Times New Roman" w:hAnsi="Times New Roman"/>
                <w:sz w:val="17"/>
                <w:szCs w:val="17"/>
                <w:color w:val="auto"/>
              </w:rPr>
              <w:t>Infection</w:t>
            </w:r>
            <w:r>
              <w:rPr>
                <w:rFonts w:ascii="Times New Roman" w:cs="Times New Roman" w:eastAsia="Times New Roman" w:hAnsi="Times New Roman"/>
                <w:sz w:val="21"/>
                <w:szCs w:val="21"/>
                <w:color w:val="auto"/>
                <w:vertAlign w:val="superscript"/>
              </w:rPr>
              <w:t>a</w:t>
            </w:r>
          </w:p>
        </w:tc>
        <w:tc>
          <w:tcPr>
            <w:tcW w:w="9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24</w:t>
            </w:r>
          </w:p>
        </w:tc>
        <w:tc>
          <w:tcPr>
            <w:tcW w:w="1060" w:type="dxa"/>
            <w:vAlign w:val="bottom"/>
            <w:tcBorders>
              <w:right w:val="single" w:sz="8" w:color="auto"/>
            </w:tcBorders>
          </w:tcPr>
          <w:p>
            <w:pPr>
              <w:jc w:val="right"/>
              <w:ind w:right="653"/>
              <w:spacing w:after="0" w:line="185" w:lineRule="exact"/>
              <w:rPr>
                <w:sz w:val="20"/>
                <w:szCs w:val="20"/>
                <w:color w:val="auto"/>
              </w:rPr>
            </w:pPr>
            <w:r>
              <w:rPr>
                <w:rFonts w:ascii="Times New Roman" w:cs="Times New Roman" w:eastAsia="Times New Roman" w:hAnsi="Times New Roman"/>
                <w:sz w:val="17"/>
                <w:szCs w:val="17"/>
                <w:color w:val="auto"/>
              </w:rPr>
              <w:t>(62)</w:t>
            </w:r>
          </w:p>
        </w:tc>
        <w:tc>
          <w:tcPr>
            <w:tcW w:w="9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12</w:t>
            </w:r>
          </w:p>
        </w:tc>
        <w:tc>
          <w:tcPr>
            <w:tcW w:w="10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rPr>
              <w:t>(31)</w:t>
            </w:r>
          </w:p>
        </w:tc>
        <w:tc>
          <w:tcPr>
            <w:tcW w:w="1720" w:type="dxa"/>
            <w:vAlign w:val="bottom"/>
            <w:tcBorders>
              <w:right w:val="single" w:sz="8" w:color="auto"/>
            </w:tcBorders>
          </w:tcPr>
          <w:p>
            <w:pPr>
              <w:jc w:val="center"/>
              <w:spacing w:after="0" w:line="185" w:lineRule="exact"/>
              <w:rPr>
                <w:sz w:val="20"/>
                <w:szCs w:val="20"/>
                <w:color w:val="auto"/>
              </w:rPr>
            </w:pPr>
            <w:r>
              <w:rPr>
                <w:rFonts w:ascii="Times New Roman" w:cs="Times New Roman" w:eastAsia="Times New Roman" w:hAnsi="Times New Roman"/>
                <w:sz w:val="17"/>
                <w:szCs w:val="17"/>
                <w:color w:val="auto"/>
              </w:rPr>
              <w:t>5 (46)</w:t>
            </w:r>
          </w:p>
        </w:tc>
        <w:tc>
          <w:tcPr>
            <w:tcW w:w="170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2 (18)</w:t>
            </w:r>
          </w:p>
        </w:tc>
      </w:tr>
      <w:tr>
        <w:trPr>
          <w:trHeight w:val="228"/>
        </w:trPr>
        <w:tc>
          <w:tcPr>
            <w:tcW w:w="36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Viral infections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60" w:type="dxa"/>
            <w:vAlign w:val="bottom"/>
            <w:tcBorders>
              <w:right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color w:val="auto"/>
              </w:rPr>
              <w:t>(33)</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(5)</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 (18)</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r>
      <w:tr>
        <w:trPr>
          <w:trHeight w:val="27"/>
        </w:trPr>
        <w:tc>
          <w:tcPr>
            <w:tcW w:w="36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184"/>
        </w:trPr>
        <w:tc>
          <w:tcPr>
            <w:tcW w:w="3620" w:type="dxa"/>
            <w:vAlign w:val="bottom"/>
            <w:tcBorders>
              <w:right w:val="single" w:sz="8" w:color="auto"/>
            </w:tcBorders>
          </w:tcPr>
          <w:p>
            <w:pPr>
              <w:ind w:left="40"/>
              <w:spacing w:after="0" w:line="185" w:lineRule="exact"/>
              <w:rPr>
                <w:sz w:val="20"/>
                <w:szCs w:val="20"/>
                <w:color w:val="auto"/>
              </w:rPr>
            </w:pPr>
            <w:r>
              <w:rPr>
                <w:rFonts w:ascii="Times New Roman" w:cs="Times New Roman" w:eastAsia="Times New Roman" w:hAnsi="Times New Roman"/>
                <w:sz w:val="17"/>
                <w:szCs w:val="17"/>
                <w:color w:val="auto"/>
              </w:rPr>
              <w:t>Neurotoxicity</w:t>
            </w:r>
            <w:r>
              <w:rPr>
                <w:rFonts w:ascii="Times New Roman" w:cs="Times New Roman" w:eastAsia="Times New Roman" w:hAnsi="Times New Roman"/>
                <w:sz w:val="21"/>
                <w:szCs w:val="21"/>
                <w:color w:val="auto"/>
                <w:vertAlign w:val="superscript"/>
              </w:rPr>
              <w:t>b</w:t>
            </w:r>
          </w:p>
        </w:tc>
        <w:tc>
          <w:tcPr>
            <w:tcW w:w="9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17</w:t>
            </w:r>
          </w:p>
        </w:tc>
        <w:tc>
          <w:tcPr>
            <w:tcW w:w="1060" w:type="dxa"/>
            <w:vAlign w:val="bottom"/>
            <w:tcBorders>
              <w:right w:val="single" w:sz="8" w:color="auto"/>
            </w:tcBorders>
          </w:tcPr>
          <w:p>
            <w:pPr>
              <w:jc w:val="right"/>
              <w:ind w:right="653"/>
              <w:spacing w:after="0" w:line="185" w:lineRule="exact"/>
              <w:rPr>
                <w:sz w:val="20"/>
                <w:szCs w:val="20"/>
                <w:color w:val="auto"/>
              </w:rPr>
            </w:pPr>
            <w:r>
              <w:rPr>
                <w:rFonts w:ascii="Times New Roman" w:cs="Times New Roman" w:eastAsia="Times New Roman" w:hAnsi="Times New Roman"/>
                <w:sz w:val="17"/>
                <w:szCs w:val="17"/>
                <w:color w:val="auto"/>
              </w:rPr>
              <w:t>(44)</w:t>
            </w:r>
          </w:p>
        </w:tc>
        <w:tc>
          <w:tcPr>
            <w:tcW w:w="920" w:type="dxa"/>
            <w:vAlign w:val="bottom"/>
          </w:tcPr>
          <w:p>
            <w:pPr>
              <w:jc w:val="right"/>
              <w:spacing w:after="0" w:line="185" w:lineRule="exact"/>
              <w:rPr>
                <w:sz w:val="20"/>
                <w:szCs w:val="20"/>
                <w:color w:val="auto"/>
              </w:rPr>
            </w:pPr>
            <w:r>
              <w:rPr>
                <w:rFonts w:ascii="Times New Roman" w:cs="Times New Roman" w:eastAsia="Times New Roman" w:hAnsi="Times New Roman"/>
                <w:sz w:val="17"/>
                <w:szCs w:val="17"/>
                <w:color w:val="auto"/>
              </w:rPr>
              <w:t>12</w:t>
            </w:r>
          </w:p>
        </w:tc>
        <w:tc>
          <w:tcPr>
            <w:tcW w:w="1060" w:type="dxa"/>
            <w:vAlign w:val="bottom"/>
            <w:tcBorders>
              <w:right w:val="single" w:sz="8" w:color="auto"/>
            </w:tcBorders>
          </w:tcPr>
          <w:p>
            <w:pPr>
              <w:ind w:left="20"/>
              <w:spacing w:after="0" w:line="185" w:lineRule="exact"/>
              <w:rPr>
                <w:sz w:val="20"/>
                <w:szCs w:val="20"/>
                <w:color w:val="auto"/>
              </w:rPr>
            </w:pPr>
            <w:r>
              <w:rPr>
                <w:rFonts w:ascii="Times New Roman" w:cs="Times New Roman" w:eastAsia="Times New Roman" w:hAnsi="Times New Roman"/>
                <w:sz w:val="17"/>
                <w:szCs w:val="17"/>
                <w:color w:val="auto"/>
              </w:rPr>
              <w:t>(31)</w:t>
            </w:r>
          </w:p>
        </w:tc>
        <w:tc>
          <w:tcPr>
            <w:tcW w:w="1720" w:type="dxa"/>
            <w:vAlign w:val="bottom"/>
            <w:tcBorders>
              <w:right w:val="single" w:sz="8" w:color="auto"/>
            </w:tcBorders>
          </w:tcPr>
          <w:p>
            <w:pPr>
              <w:jc w:val="center"/>
              <w:spacing w:after="0" w:line="185" w:lineRule="exact"/>
              <w:rPr>
                <w:sz w:val="20"/>
                <w:szCs w:val="20"/>
                <w:color w:val="auto"/>
              </w:rPr>
            </w:pPr>
            <w:r>
              <w:rPr>
                <w:rFonts w:ascii="Times New Roman" w:cs="Times New Roman" w:eastAsia="Times New Roman" w:hAnsi="Times New Roman"/>
                <w:sz w:val="17"/>
                <w:szCs w:val="17"/>
                <w:color w:val="auto"/>
              </w:rPr>
              <w:t>5 (46)</w:t>
            </w:r>
          </w:p>
        </w:tc>
        <w:tc>
          <w:tcPr>
            <w:tcW w:w="1700" w:type="dxa"/>
            <w:vAlign w:val="bottom"/>
          </w:tcPr>
          <w:p>
            <w:pPr>
              <w:jc w:val="center"/>
              <w:spacing w:after="0" w:line="185" w:lineRule="exact"/>
              <w:rPr>
                <w:sz w:val="20"/>
                <w:szCs w:val="20"/>
                <w:color w:val="auto"/>
              </w:rPr>
            </w:pPr>
            <w:r>
              <w:rPr>
                <w:rFonts w:ascii="Times New Roman" w:cs="Times New Roman" w:eastAsia="Times New Roman" w:hAnsi="Times New Roman"/>
                <w:sz w:val="17"/>
                <w:szCs w:val="17"/>
                <w:color w:val="auto"/>
              </w:rPr>
              <w:t>2 (18)</w:t>
            </w:r>
          </w:p>
        </w:tc>
      </w:tr>
      <w:tr>
        <w:trPr>
          <w:trHeight w:val="228"/>
        </w:trPr>
        <w:tc>
          <w:tcPr>
            <w:tcW w:w="36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Headache</w:t>
            </w:r>
          </w:p>
        </w:tc>
        <w:tc>
          <w:tcPr>
            <w:tcW w:w="19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8 (21)</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(5)</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 (18)</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r>
      <w:tr>
        <w:trPr>
          <w:trHeight w:val="27"/>
        </w:trPr>
        <w:tc>
          <w:tcPr>
            <w:tcW w:w="362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1"/>
        </w:trPr>
        <w:tc>
          <w:tcPr>
            <w:tcW w:w="3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IEC-HS</w:t>
            </w:r>
          </w:p>
        </w:tc>
        <w:tc>
          <w:tcPr>
            <w:tcW w:w="19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5 (13)</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(3)</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 (18)</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r>
      <w:tr>
        <w:trPr>
          <w:trHeight w:val="21"/>
        </w:trPr>
        <w:tc>
          <w:tcPr>
            <w:tcW w:w="362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1"/>
        </w:trPr>
        <w:tc>
          <w:tcPr>
            <w:tcW w:w="3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ICANS</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60" w:type="dxa"/>
            <w:vAlign w:val="bottom"/>
            <w:tcBorders>
              <w:right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rPr>
              <w:t>(8)</w:t>
            </w:r>
          </w:p>
        </w:tc>
        <w:tc>
          <w:tcPr>
            <w:tcW w:w="920" w:type="dxa"/>
            <w:vAlign w:val="bottom"/>
          </w:tcPr>
          <w:p>
            <w:pPr>
              <w:spacing w:after="0"/>
              <w:rPr>
                <w:sz w:val="19"/>
                <w:szCs w:val="19"/>
                <w:color w:val="auto"/>
              </w:rPr>
            </w:pP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0</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 (27)</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r>
      <w:tr>
        <w:trPr>
          <w:trHeight w:val="21"/>
        </w:trPr>
        <w:tc>
          <w:tcPr>
            <w:tcW w:w="362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1"/>
        </w:trPr>
        <w:tc>
          <w:tcPr>
            <w:tcW w:w="362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Graft-versus-host disease</w:t>
            </w:r>
          </w:p>
        </w:tc>
        <w:tc>
          <w:tcPr>
            <w:tcW w:w="920" w:type="dxa"/>
            <w:vAlign w:val="bottom"/>
          </w:tcPr>
          <w:p>
            <w:pPr>
              <w:spacing w:after="0"/>
              <w:rPr>
                <w:sz w:val="19"/>
                <w:szCs w:val="19"/>
                <w:color w:val="auto"/>
              </w:rPr>
            </w:pPr>
          </w:p>
        </w:tc>
        <w:tc>
          <w:tcPr>
            <w:tcW w:w="1060" w:type="dxa"/>
            <w:vAlign w:val="bottom"/>
            <w:tcBorders>
              <w:right w:val="single" w:sz="8" w:color="auto"/>
            </w:tcBorders>
          </w:tcPr>
          <w:p>
            <w:pPr>
              <w:jc w:val="center"/>
              <w:ind w:right="853"/>
              <w:spacing w:after="0"/>
              <w:rPr>
                <w:sz w:val="20"/>
                <w:szCs w:val="20"/>
                <w:color w:val="auto"/>
              </w:rPr>
            </w:pPr>
            <w:r>
              <w:rPr>
                <w:rFonts w:ascii="Times New Roman" w:cs="Times New Roman" w:eastAsia="Times New Roman" w:hAnsi="Times New Roman"/>
                <w:sz w:val="17"/>
                <w:szCs w:val="17"/>
                <w:color w:val="auto"/>
                <w:w w:val="93"/>
              </w:rPr>
              <w:t>0</w:t>
            </w:r>
          </w:p>
        </w:tc>
        <w:tc>
          <w:tcPr>
            <w:tcW w:w="920" w:type="dxa"/>
            <w:vAlign w:val="bottom"/>
          </w:tcPr>
          <w:p>
            <w:pPr>
              <w:spacing w:after="0"/>
              <w:rPr>
                <w:sz w:val="19"/>
                <w:szCs w:val="19"/>
                <w:color w:val="auto"/>
              </w:rPr>
            </w:pP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0</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0</w:t>
            </w:r>
          </w:p>
        </w:tc>
      </w:tr>
      <w:tr>
        <w:trPr>
          <w:trHeight w:val="21"/>
        </w:trPr>
        <w:tc>
          <w:tcPr>
            <w:tcW w:w="362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8" w:lineRule="exact"/>
        <w:rPr>
          <w:sz w:val="20"/>
          <w:szCs w:val="20"/>
          <w:color w:val="auto"/>
        </w:rPr>
      </w:pPr>
    </w:p>
    <w:p>
      <w:pPr>
        <w:ind w:left="40" w:right="280"/>
        <w:spacing w:after="0" w:line="264" w:lineRule="auto"/>
        <w:rPr>
          <w:sz w:val="20"/>
          <w:szCs w:val="20"/>
          <w:color w:val="auto"/>
        </w:rPr>
      </w:pPr>
      <w:r>
        <w:rPr>
          <w:rFonts w:ascii="Times New Roman" w:cs="Times New Roman" w:eastAsia="Times New Roman" w:hAnsi="Times New Roman"/>
          <w:sz w:val="17"/>
          <w:szCs w:val="17"/>
          <w:color w:val="auto"/>
        </w:rPr>
        <w:t>TEAE included all AEs that started from the first dose date of study drug in each treatment period up to start of another treatment period, death, or the date prior to initiation of another anti-cancer agent, whichever occurred first. IEC-HS includes the preferred terms IEC-HS, HLH, Hemophagocytic lymphohistiocytosis, and atypical HLH.</w:t>
      </w:r>
    </w:p>
    <w:p>
      <w:pPr>
        <w:spacing w:after="0" w:line="2" w:lineRule="exact"/>
        <w:rPr>
          <w:sz w:val="20"/>
          <w:szCs w:val="20"/>
          <w:color w:val="auto"/>
        </w:rPr>
      </w:pPr>
    </w:p>
    <w:p>
      <w:pPr>
        <w:jc w:val="both"/>
        <w:ind w:left="40" w:right="220"/>
        <w:spacing w:after="0" w:line="230" w:lineRule="auto"/>
        <w:rPr>
          <w:sz w:val="20"/>
          <w:szCs w:val="20"/>
          <w:color w:val="auto"/>
        </w:rPr>
      </w:pPr>
      <w:r>
        <w:rPr>
          <w:rFonts w:ascii="Times New Roman" w:cs="Times New Roman" w:eastAsia="Times New Roman" w:hAnsi="Times New Roman"/>
          <w:sz w:val="17"/>
          <w:szCs w:val="17"/>
          <w:color w:val="auto"/>
        </w:rPr>
        <w:t xml:space="preserve">Two patients developed an inflammatory syndrome prior to the existence of IEC-HS as a term in MedDRA, which has been updated as of September 2023. </w:t>
      </w:r>
      <w:r>
        <w:rPr>
          <w:rFonts w:ascii="Times New Roman" w:cs="Times New Roman" w:eastAsia="Times New Roman" w:hAnsi="Times New Roman"/>
          <w:sz w:val="22"/>
          <w:szCs w:val="22"/>
          <w:color w:val="auto"/>
          <w:vertAlign w:val="superscript"/>
        </w:rPr>
        <w:t>a</w:t>
      </w:r>
      <w:r>
        <w:rPr>
          <w:rFonts w:ascii="Times New Roman" w:cs="Times New Roman" w:eastAsia="Times New Roman" w:hAnsi="Times New Roman"/>
          <w:sz w:val="17"/>
          <w:szCs w:val="17"/>
          <w:color w:val="auto"/>
        </w:rPr>
        <w:t>Infection events (62%) were primarily low grade; the most common was viral infections (33%) with cytomegalovirus infection and COVID-19 (any grade, 18% and 15%; Grade ≥3, 0% and 5%, respectively).</w:t>
      </w:r>
    </w:p>
    <w:p>
      <w:pPr>
        <w:spacing w:after="0" w:line="3" w:lineRule="exact"/>
        <w:rPr>
          <w:sz w:val="20"/>
          <w:szCs w:val="20"/>
          <w:color w:val="auto"/>
        </w:rPr>
      </w:pPr>
    </w:p>
    <w:p>
      <w:pPr>
        <w:ind w:left="40" w:right="820"/>
        <w:spacing w:after="0" w:line="229" w:lineRule="auto"/>
        <w:rPr>
          <w:sz w:val="20"/>
          <w:szCs w:val="20"/>
          <w:color w:val="auto"/>
        </w:rPr>
      </w:pPr>
      <w:r>
        <w:rPr>
          <w:rFonts w:ascii="Times New Roman" w:cs="Times New Roman" w:eastAsia="Times New Roman" w:hAnsi="Times New Roman"/>
          <w:sz w:val="22"/>
          <w:szCs w:val="22"/>
          <w:color w:val="auto"/>
          <w:vertAlign w:val="superscript"/>
        </w:rPr>
        <w:t>b</w:t>
      </w:r>
      <w:r>
        <w:rPr>
          <w:rFonts w:ascii="Times New Roman" w:cs="Times New Roman" w:eastAsia="Times New Roman" w:hAnsi="Times New Roman"/>
          <w:sz w:val="17"/>
          <w:szCs w:val="17"/>
          <w:color w:val="auto"/>
        </w:rPr>
        <w:t>Neurotoxicity includes system organ class of nerve system disorders and psychiatric disorders with onset date up to Study Day 30 post ALLO-316 infusion.</w:t>
      </w:r>
    </w:p>
    <w:p>
      <w:pPr>
        <w:spacing w:after="0" w:line="205" w:lineRule="exact"/>
        <w:rPr>
          <w:sz w:val="20"/>
          <w:szCs w:val="20"/>
          <w:color w:val="auto"/>
        </w:rPr>
      </w:pPr>
    </w:p>
    <w:p>
      <w:pPr>
        <w:ind w:firstLine="629"/>
        <w:spacing w:after="0" w:line="245" w:lineRule="auto"/>
        <w:rPr>
          <w:sz w:val="20"/>
          <w:szCs w:val="20"/>
          <w:color w:val="auto"/>
        </w:rPr>
      </w:pPr>
      <w:r>
        <w:rPr>
          <w:rFonts w:ascii="Times New Roman" w:cs="Times New Roman" w:eastAsia="Times New Roman" w:hAnsi="Times New Roman"/>
          <w:sz w:val="17"/>
          <w:szCs w:val="17"/>
          <w:color w:val="auto"/>
        </w:rPr>
        <w:t>Two DLT events of autoimmune hepatitis and cardiogenic shock were reported. Each event occurred in two separate participants who received FCA (FC300 plus ALLO-647) lymphodepletion and DL2 of ALLO-316. Three Grade 5 treatment-related adverse events were reported: 1) cardiogenic shock, which was one of the two DLT events; 2) sepsis from multi-drug resistant Klebsiella pneumoniae in a participant who received DL4 of ALLO-316. This participant had a prior episode of muscle abscess and bacteremia from the same multi-drug resistant Klebsiella and was receiving anakinra and dexamethasone for hyperinflammation; 3) failure to thrive in a participant 16 months after treatment with ALLO-316. This subject had tumor response of stable disease (SD) at month 12 and no interval scans to evaluate disease status prior to death.</w:t>
      </w:r>
    </w:p>
    <w:p>
      <w:pPr>
        <w:spacing w:after="0" w:line="73" w:lineRule="exact"/>
        <w:rPr>
          <w:sz w:val="20"/>
          <w:szCs w:val="20"/>
          <w:color w:val="auto"/>
        </w:rPr>
      </w:pPr>
    </w:p>
    <w:p>
      <w:pPr>
        <w:ind w:right="200" w:firstLine="629"/>
        <w:spacing w:after="0" w:line="280" w:lineRule="auto"/>
        <w:rPr>
          <w:sz w:val="20"/>
          <w:szCs w:val="20"/>
          <w:color w:val="auto"/>
        </w:rPr>
      </w:pPr>
      <w:r>
        <w:rPr>
          <w:rFonts w:ascii="Times New Roman" w:cs="Times New Roman" w:eastAsia="Times New Roman" w:hAnsi="Times New Roman"/>
          <w:sz w:val="17"/>
          <w:szCs w:val="17"/>
          <w:color w:val="auto"/>
        </w:rPr>
        <w:t>On October 29, 2024, we announced that we had received Regenerative Medicine Advanced Therapy (RMAT) designation for ALLO-316 for adult patients with advanced or metastatic RCC. We will continue to evaluate the safety and efficacy at the Phase 1b dose level in 2025.</w:t>
      </w:r>
    </w:p>
    <w:p>
      <w:pPr>
        <w:spacing w:after="0" w:line="42" w:lineRule="exact"/>
        <w:rPr>
          <w:sz w:val="20"/>
          <w:szCs w:val="20"/>
          <w:color w:val="auto"/>
        </w:rPr>
      </w:pPr>
    </w:p>
    <w:p>
      <w:pPr>
        <w:ind w:right="20" w:firstLine="629"/>
        <w:spacing w:after="0" w:line="251" w:lineRule="auto"/>
        <w:rPr>
          <w:sz w:val="20"/>
          <w:szCs w:val="20"/>
          <w:color w:val="auto"/>
        </w:rPr>
      </w:pPr>
      <w:r>
        <w:rPr>
          <w:rFonts w:ascii="Times New Roman" w:cs="Times New Roman" w:eastAsia="Times New Roman" w:hAnsi="Times New Roman"/>
          <w:sz w:val="17"/>
          <w:szCs w:val="17"/>
          <w:color w:val="auto"/>
        </w:rPr>
        <w:t xml:space="preserve">We are developing ALLO-329, a next-generation allogeneic CAR T cell product candidate targeting both CD19 and CD70 for the treatment of certain autoimmune diseases (AID). Inclusion of an anti-CD70 CAR in ALLO-329 </w:t>
      </w:r>
      <w:r>
        <w:rPr>
          <w:rFonts w:ascii="Times New Roman" w:cs="Times New Roman" w:eastAsia="Times New Roman" w:hAnsi="Times New Roman"/>
          <w:sz w:val="17"/>
          <w:szCs w:val="17"/>
          <w:color w:val="212121"/>
        </w:rPr>
        <w:t>incorporates the Dagger® technology, which is designed to reduce or eliminate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121"/>
        </w:rPr>
        <w:t>need for standard chemotherapy by preventing premature rejection while targeting CD19+ B-cells and CD70+ activated T-cells, both of which play a role in AID. We plan to file an investigational new drug (IND) application in the first quarter of 2025. We expect to initiate the Phase 1 trial with ALLO-329 in mid-2025 and have proof-of-concept by year-end 2025.</w:t>
      </w:r>
    </w:p>
    <w:p>
      <w:pPr>
        <w:spacing w:after="0" w:line="78"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We are developing an anti-CD52 monoclonal antibody, ALLO-647, which is a proprietary component of our lymphodepletion regimen. ALLO-647 may be able to reduce the likelihood of a patient’s immune system rejecting the engineered allogeneic T cells for a sufficient period of time to enable a window of persistence during which our engineered allogeneic T cells can actively target and destroy cancer cells. During Part A of our pivotal ALPHA3 trial, we will be assessing ALLO-647’s contribution to the overall benefit to risk ratio of the lymphodepletion regimen for cema-cel. Patients will be randomized to receive cema-cel and a lymphodepletion regimen with fludarabine and cyclophosphamide either with or without ALLO-647. In mid-2025, we plan to select the lymphodepletion regimen with which we will complete enrollment in the study (Part B).</w:t>
      </w:r>
    </w:p>
    <w:p>
      <w:pPr>
        <w:spacing w:after="0" w:line="67" w:lineRule="exact"/>
        <w:rPr>
          <w:sz w:val="20"/>
          <w:szCs w:val="20"/>
          <w:color w:val="auto"/>
        </w:rPr>
      </w:pPr>
    </w:p>
    <w:p>
      <w:pPr>
        <w:ind w:right="160" w:firstLine="629"/>
        <w:spacing w:after="0" w:line="296" w:lineRule="auto"/>
        <w:rPr>
          <w:sz w:val="20"/>
          <w:szCs w:val="20"/>
          <w:color w:val="auto"/>
        </w:rPr>
      </w:pPr>
      <w:r>
        <w:rPr>
          <w:rFonts w:ascii="Times New Roman" w:cs="Times New Roman" w:eastAsia="Times New Roman" w:hAnsi="Times New Roman"/>
          <w:sz w:val="17"/>
          <w:szCs w:val="17"/>
          <w:color w:val="auto"/>
        </w:rPr>
        <w:t>While we have additional programs in our pipeline, our development priorities are focused on cema-cel (1L Consolidation), ALLO-316 and ALLO-329. We will explore opportunities to partner with collaborators on product candidates across our pipeline.</w:t>
      </w:r>
    </w:p>
    <w:p>
      <w:pPr>
        <w:spacing w:after="0" w:line="42" w:lineRule="exact"/>
        <w:rPr>
          <w:sz w:val="20"/>
          <w:szCs w:val="20"/>
          <w:color w:val="auto"/>
        </w:rPr>
      </w:pPr>
    </w:p>
    <w:p>
      <w:pPr>
        <w:ind w:right="40" w:firstLine="629"/>
        <w:spacing w:after="0" w:line="267" w:lineRule="auto"/>
        <w:rPr>
          <w:sz w:val="20"/>
          <w:szCs w:val="20"/>
          <w:color w:val="auto"/>
        </w:rPr>
      </w:pPr>
      <w:r>
        <w:rPr>
          <w:rFonts w:ascii="Times New Roman" w:cs="Times New Roman" w:eastAsia="Times New Roman" w:hAnsi="Times New Roman"/>
          <w:sz w:val="17"/>
          <w:szCs w:val="17"/>
          <w:color w:val="auto"/>
        </w:rPr>
        <w:t>In May 2024, we entered into an Amendment and Settlement Agreement (the Servier Amendment) under which we expanded the geographic territory for our CD19 license to include the European Union and the United Kingdom. The Servier Amendment also grants us an option to further expand the licensed territory to include China and Japan upon the objective showing of sufficient resources to develop licensed products in those countries, which could be met through the Company entering into a strategic partnership covering those countries. We estimate that the expansion of our license for the CD19 Products to the European Union and United Kingdom will substantially increase our market opportunity in 1L consolidation</w:t>
      </w:r>
    </w:p>
    <w:p>
      <w:pPr>
        <w:spacing w:after="0" w:line="200" w:lineRule="exact"/>
        <w:rPr>
          <w:sz w:val="20"/>
          <w:szCs w:val="20"/>
          <w:color w:val="auto"/>
        </w:rPr>
      </w:pPr>
    </w:p>
    <w:p>
      <w:pPr>
        <w:spacing w:after="0" w:line="2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80"/>
        <w:spacing w:after="0" w:line="296" w:lineRule="auto"/>
        <w:rPr>
          <w:sz w:val="20"/>
          <w:szCs w:val="20"/>
          <w:color w:val="auto"/>
        </w:rPr>
      </w:pPr>
      <w:r>
        <w:rPr>
          <w:rFonts w:ascii="Times New Roman" w:cs="Times New Roman" w:eastAsia="Times New Roman" w:hAnsi="Times New Roman"/>
          <w:sz w:val="17"/>
          <w:szCs w:val="17"/>
          <w:color w:val="auto"/>
        </w:rPr>
        <w:t>LBCL and R/R/ CLL from more than $6.0 billion in the U.S. alone to more than $9.5 billion across the U.S., European Union and United Kingdom, in turn increasing the potential future revenue opportunity for cema-cel by more than 50%.</w:t>
      </w:r>
    </w:p>
    <w:p>
      <w:pPr>
        <w:spacing w:after="0" w:line="42"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Since inception, we have had significant operating losses. Our net losses were $66.3 million and $197.7 million for the three and nine months ended September 30, 2024, respectively. As of September 30, 2024, we had an accumulated deficit of $1.8 billion. As of September 30, 2024, we had $403.4 million in cash and cash equivalents and investments and we expect our cash runway to fund operations into 2026. We expect to continue to incur net losses for the foreseeable future, and we expect our research and development expenses and general and administrative expenses will continue to increase.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Licenses and Collaboration Agreements</w:t>
      </w:r>
    </w:p>
    <w:p>
      <w:pPr>
        <w:spacing w:after="0" w:line="121" w:lineRule="exact"/>
        <w:rPr>
          <w:sz w:val="20"/>
          <w:szCs w:val="20"/>
          <w:color w:val="auto"/>
        </w:rPr>
      </w:pPr>
    </w:p>
    <w:p>
      <w:pPr>
        <w:ind w:right="60" w:firstLine="629"/>
        <w:spacing w:after="0" w:line="296" w:lineRule="auto"/>
        <w:rPr>
          <w:sz w:val="20"/>
          <w:szCs w:val="20"/>
          <w:color w:val="auto"/>
        </w:rPr>
      </w:pPr>
      <w:r>
        <w:rPr>
          <w:rFonts w:ascii="Times New Roman" w:cs="Times New Roman" w:eastAsia="Times New Roman" w:hAnsi="Times New Roman"/>
          <w:sz w:val="17"/>
          <w:szCs w:val="17"/>
          <w:color w:val="auto"/>
        </w:rPr>
        <w:t>Below is a summary of the key terms for certain of our licenses and collaboration agreements. For a more detailed description of these agreements, see Note 6 to our condensed consolidated financial statements included elsewhere in this Quarterly Report on Form 10-Q.</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Asset Contribution Agreement with Pfizer</w:t>
      </w:r>
    </w:p>
    <w:p>
      <w:pPr>
        <w:spacing w:after="0" w:line="123" w:lineRule="exact"/>
        <w:rPr>
          <w:sz w:val="20"/>
          <w:szCs w:val="20"/>
          <w:color w:val="auto"/>
        </w:rPr>
      </w:pPr>
    </w:p>
    <w:p>
      <w:pPr>
        <w:jc w:val="both"/>
        <w:ind w:right="180" w:firstLine="629"/>
        <w:spacing w:after="0" w:line="276" w:lineRule="auto"/>
        <w:rPr>
          <w:sz w:val="20"/>
          <w:szCs w:val="20"/>
          <w:color w:val="auto"/>
        </w:rPr>
      </w:pPr>
      <w:r>
        <w:rPr>
          <w:rFonts w:ascii="Times New Roman" w:cs="Times New Roman" w:eastAsia="Times New Roman" w:hAnsi="Times New Roman"/>
          <w:sz w:val="17"/>
          <w:szCs w:val="17"/>
          <w:color w:val="auto"/>
        </w:rPr>
        <w:t>In April 2018, we entered into an Asset Contribution Agreement (the Pfizer Agreement) with Pfizer pursuant to which we acquired certain assets and assumed certain liabilities from Pfizer, including agreements with Cellectis S.A. (Cellectis) and Servier as described below, and other intellectual property for the development and administration of CAR T cells for the treatment of cancer.</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Collaboration and License Agreement with Cellectis</w:t>
      </w:r>
    </w:p>
    <w:p>
      <w:pPr>
        <w:spacing w:after="0" w:line="123" w:lineRule="exact"/>
        <w:rPr>
          <w:sz w:val="20"/>
          <w:szCs w:val="20"/>
          <w:color w:val="auto"/>
        </w:rPr>
      </w:pPr>
    </w:p>
    <w:p>
      <w:pPr>
        <w:ind w:right="220" w:firstLine="629"/>
        <w:spacing w:after="0" w:line="296" w:lineRule="auto"/>
        <w:rPr>
          <w:sz w:val="20"/>
          <w:szCs w:val="20"/>
          <w:color w:val="auto"/>
        </w:rPr>
      </w:pPr>
      <w:r>
        <w:rPr>
          <w:rFonts w:ascii="Times New Roman" w:cs="Times New Roman" w:eastAsia="Times New Roman" w:hAnsi="Times New Roman"/>
          <w:sz w:val="17"/>
          <w:szCs w:val="17"/>
          <w:color w:val="auto"/>
        </w:rPr>
        <w:t>In June 2014, Pfizer entered into a Research Collaboration and License Agreement with Cellectis. In April 2018, Pfizer assigned the agreement to us pursuant to the Pfizer Agreement. In March 2019, we terminated the agreement with Cellectis and entered into a new license agreement with Cellectis.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Exclusive License Agreement with Servier</w:t>
      </w:r>
    </w:p>
    <w:p>
      <w:pPr>
        <w:spacing w:after="0" w:line="123"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In October 2015, Pfizer entered into an Exclusive License Agreement with Servier (the Original Servier Agreement) to develop, manufacture and commercialize certain allogeneic anti-CD19 CAR products, including UCART19, in the United States with the option to obtain the rights over certain additional allogeneic anti-CD19 CAR product candidates and for allogeneic CAR T cell product candidates directed against one additional target. In April 2018, Pfizer assigned the agreement to us pursuant to the Pfizer Agreement. In October 2019, we agreed to waive our rights to the one additional target.</w:t>
      </w:r>
    </w:p>
    <w:p>
      <w:pPr>
        <w:spacing w:after="0" w:line="63"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In May 2024, we entered into an Amendment and Settlement Agreement (the Servier Amendment) with Servier under which we: (1) expanded our territory under the Original Servier Agreement to include the European Union and the United Kingdom, and provides for an option to further expand our territory to include China and Japan, (2) waived certain of our rights to elect to convert certain of our license rights to a worldwide license, (3) revised our future milestone payments to coincide with Servier’s milestone payments to Cellectis under the Servier-Cellectis Agreement, (4) agreed to pre-pay a future €20 million milestone payment into an escrow account, and (5) increased the United States tiered royalty rates to a range from the low tens to the mid teen percentages, and agreed to an ex-U.S. royalty rate of 10%. For more information, see “Risk Factors—</w:t>
      </w:r>
      <w:r>
        <w:rPr>
          <w:rFonts w:ascii="Times New Roman" w:cs="Times New Roman" w:eastAsia="Times New Roman" w:hAnsi="Times New Roman"/>
          <w:sz w:val="17"/>
          <w:szCs w:val="17"/>
          <w:i w:val="1"/>
          <w:iCs w:val="1"/>
          <w:color w:val="auto"/>
        </w:rPr>
        <w:t>Servier’s discontinuation of its involvement in the development of CD19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Products and Servier's disputes with Cellectis, or future disputes with us, may have adverse consequences."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Collaboration and License Agreement with Notch</w:t>
      </w:r>
    </w:p>
    <w:p>
      <w:pPr>
        <w:spacing w:after="0" w:line="123" w:lineRule="exact"/>
        <w:rPr>
          <w:sz w:val="20"/>
          <w:szCs w:val="20"/>
          <w:color w:val="auto"/>
        </w:rPr>
      </w:pPr>
    </w:p>
    <w:p>
      <w:pPr>
        <w:ind w:right="40" w:firstLine="629"/>
        <w:spacing w:after="0" w:line="267" w:lineRule="auto"/>
        <w:rPr>
          <w:sz w:val="20"/>
          <w:szCs w:val="20"/>
          <w:color w:val="auto"/>
        </w:rPr>
      </w:pPr>
      <w:r>
        <w:rPr>
          <w:rFonts w:ascii="Times New Roman" w:cs="Times New Roman" w:eastAsia="Times New Roman" w:hAnsi="Times New Roman"/>
          <w:sz w:val="17"/>
          <w:szCs w:val="17"/>
          <w:color w:val="auto"/>
        </w:rPr>
        <w:t>On November 1, 2019, we entered into a Collaboration and License Agreement (the Notch Agreement) with Notch Therapeutics Inc. (Notch), pursuant to which Notch granted us an exclusive, worldwide, royalty-bearing, sublicensable license under certain of Notch’s intellectual property to develop, make, use, sell, import, and otherwise commercialize therapeutic gene-edited T cell and/or natural killer cell products from induced pluripotent stem cells directed at certain CAR targets for initial application in NHL, B-cell precursor acute lymphoblastic leukemia (ALL) and multiple myeloma. In addition, Notch has granted us an option to add certain specified targets to our exclusive license in exchange for an agreed upon per-target option fee.</w:t>
      </w:r>
    </w:p>
    <w:p>
      <w:pPr>
        <w:spacing w:after="0" w:line="170"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On January 25, 2024, we entered into an Amended and Restated Collaboration and License Agreement (the Amended Notch Agreement) with Notch. The Amended Notch Agreement amends and restates the Notch Agreement. Under the Amended Notch Agreement, we have relinquished our exclusive rights to all original CAR targets (the Released Targets) except for one CAR target, and have agreed to limit our option right to only one additional CAR target. If the option is exercised, we will have a minimum funding commitment for the overall development program. If Notch subsequently out-</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320"/>
        <w:spacing w:after="0" w:line="296" w:lineRule="auto"/>
        <w:rPr>
          <w:sz w:val="20"/>
          <w:szCs w:val="20"/>
          <w:color w:val="auto"/>
        </w:rPr>
      </w:pPr>
      <w:r>
        <w:rPr>
          <w:rFonts w:ascii="Times New Roman" w:cs="Times New Roman" w:eastAsia="Times New Roman" w:hAnsi="Times New Roman"/>
          <w:sz w:val="17"/>
          <w:szCs w:val="17"/>
          <w:color w:val="auto"/>
        </w:rPr>
        <w:t>licenses any of the Released Targets, we will be entitled to receive a percentage of upfront and/or milestone payments associated therewith up to a set cap of $30.0 million, and will be entitled to a low, single-digit royalty on net sales of products containing a Released Target.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Strategic Alliance with The University of Texas MD Anderson Cancer Center</w:t>
      </w:r>
    </w:p>
    <w:p>
      <w:pPr>
        <w:spacing w:after="0" w:line="123" w:lineRule="exact"/>
        <w:rPr>
          <w:sz w:val="20"/>
          <w:szCs w:val="20"/>
          <w:color w:val="auto"/>
        </w:rPr>
      </w:pPr>
    </w:p>
    <w:p>
      <w:pPr>
        <w:ind w:right="320" w:firstLine="629"/>
        <w:spacing w:after="0" w:line="296" w:lineRule="auto"/>
        <w:rPr>
          <w:sz w:val="20"/>
          <w:szCs w:val="20"/>
          <w:color w:val="auto"/>
        </w:rPr>
      </w:pPr>
      <w:r>
        <w:rPr>
          <w:rFonts w:ascii="Times New Roman" w:cs="Times New Roman" w:eastAsia="Times New Roman" w:hAnsi="Times New Roman"/>
          <w:sz w:val="17"/>
          <w:szCs w:val="17"/>
          <w:color w:val="auto"/>
        </w:rPr>
        <w:t>On October 6, 2020, we entered into a strategic five-year collaboration agreement with The University of Texas MD Anderson Cancer Center (MD Anderson) for the preclinical and clinical investigation of allogeneic CAR T cell product candidates.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License Agreement with Allogene Overland Biopharm (PRC) Co., Limited</w:t>
      </w:r>
    </w:p>
    <w:p>
      <w:pPr>
        <w:spacing w:after="0" w:line="123" w:lineRule="exact"/>
        <w:rPr>
          <w:sz w:val="20"/>
          <w:szCs w:val="20"/>
          <w:color w:val="auto"/>
        </w:rPr>
      </w:pPr>
    </w:p>
    <w:p>
      <w:pPr>
        <w:ind w:right="40" w:firstLine="629"/>
        <w:spacing w:after="0" w:line="264" w:lineRule="auto"/>
        <w:rPr>
          <w:sz w:val="20"/>
          <w:szCs w:val="20"/>
          <w:color w:val="auto"/>
        </w:rPr>
      </w:pPr>
      <w:r>
        <w:rPr>
          <w:rFonts w:ascii="Times New Roman" w:cs="Times New Roman" w:eastAsia="Times New Roman" w:hAnsi="Times New Roman"/>
          <w:sz w:val="17"/>
          <w:szCs w:val="17"/>
          <w:color w:val="auto"/>
        </w:rPr>
        <w:t>On December 14, 2020, we entered into a License Agreement with Allogene Overland Biopharm (CY) Limited (Allogene Overland) (the License Agreement), a joint venture established by us and Overland Pharmaceuticals (CY) Inc. (Overland), pursuant to a Share Purchase Agreement (Share Purchase Agreement), dated December 14, 2020, for the purpose of developing, manufacturing and commercializing certain allogeneic CAR T cell therapies directed at four targets, BCMA, CD70, FLT3 and DLL3 (Overland Licensed Products) for patients in greater China, Taiwan, South Korea and Singapore (the JV Territory). Allogene Overland subsequently assigned the License Agreement to a wholly owned subsidiary, Allogene Overland BioPharm (HK) Limited (Allogene Overland HK). On April 1, 2022, Allogene Overland HK assigned the License Agreement to Allogene Overland Biopharm (PRC) Co., Limited (Allogene Overland PRC).</w:t>
      </w:r>
    </w:p>
    <w:p>
      <w:pPr>
        <w:spacing w:after="0" w:line="200" w:lineRule="exact"/>
        <w:rPr>
          <w:sz w:val="20"/>
          <w:szCs w:val="20"/>
          <w:color w:val="auto"/>
        </w:rPr>
      </w:pPr>
    </w:p>
    <w:p>
      <w:pPr>
        <w:spacing w:after="0" w:line="213" w:lineRule="exact"/>
        <w:rPr>
          <w:sz w:val="20"/>
          <w:szCs w:val="20"/>
          <w:color w:val="auto"/>
        </w:rPr>
      </w:pPr>
    </w:p>
    <w:p>
      <w:pPr>
        <w:ind w:right="180" w:firstLine="629"/>
        <w:spacing w:after="0" w:line="270" w:lineRule="auto"/>
        <w:rPr>
          <w:sz w:val="20"/>
          <w:szCs w:val="20"/>
          <w:color w:val="auto"/>
        </w:rPr>
      </w:pPr>
      <w:r>
        <w:rPr>
          <w:rFonts w:ascii="Times New Roman" w:cs="Times New Roman" w:eastAsia="Times New Roman" w:hAnsi="Times New Roman"/>
          <w:sz w:val="17"/>
          <w:szCs w:val="17"/>
          <w:color w:val="auto"/>
        </w:rPr>
        <w:t>On May 24, 2024, we, Overland and Allogene Overland entered into a Share Exchange Agreement (Share Exchange Agreement) pursuant to which Overland’s cell therapy business merged into Allogene Overland (the Organizational Restructuring). Under a separate agreement between Overland and HH BioPharma Holdings Ltd. (HBP) executed on May 24, 2024, Overland distributed all Series Seed Preferred Shares of Allogene Overland held by Overland to HBP and HBP has assumed all rights and obligations attached to such shares and all rights and obligations of Overland under the Share Exchange Agreement.</w:t>
      </w:r>
    </w:p>
    <w:p>
      <w:pPr>
        <w:spacing w:after="0" w:line="194" w:lineRule="exact"/>
        <w:rPr>
          <w:sz w:val="20"/>
          <w:szCs w:val="20"/>
          <w:color w:val="auto"/>
        </w:rPr>
      </w:pPr>
    </w:p>
    <w:p>
      <w:pPr>
        <w:ind w:right="80" w:firstLine="629"/>
        <w:spacing w:after="0" w:line="260" w:lineRule="auto"/>
        <w:rPr>
          <w:sz w:val="20"/>
          <w:szCs w:val="20"/>
          <w:color w:val="auto"/>
        </w:rPr>
      </w:pPr>
      <w:r>
        <w:rPr>
          <w:rFonts w:ascii="Times New Roman" w:cs="Times New Roman" w:eastAsia="Times New Roman" w:hAnsi="Times New Roman"/>
          <w:sz w:val="17"/>
          <w:szCs w:val="17"/>
          <w:color w:val="auto"/>
        </w:rPr>
        <w:t>In connection with the Organizational Restructuring, on May 24, 2024, we and Allogene Overland PRC entered into a First Amendment to Exclusive License Agreement (the License Amendment) to amend and supplement certain provisions of the License Agreement. Under the License Amendment, we continue to grant Allogene Overland PRC an exclusive license to develop, manufacture, and commercialize the Overland Licensed Products in the Territory, with us retaining exclusive rights to the Overland Licensed Products outside the JV Territory, and the royalty obligations to us were amended to a flat mid single-digit royalty on net sales in the JV Territory that are no longer subject to reductions as previously provided. The License Amendment also provides us with additional rights to terminate the License Agreement in its entirety or with respect to the relevant Overland Licensed Product(s) if Allogene Overland PRC fails to initiate manufacturing technology transfer with respect to an Overland Licensed Product as agreed in the License Amendment, or if HBP commits a funding default or a material breach of its representations, warranties, or covenants under the Share Exchange Agreement. The License Amendment also provides that the License Agreement will terminate automatically if our ownership in Allogene Overland falls below 7.5% (other than due to our sale of the shares of Allogene Overland), unless at that time we and Allogene Overland PRC have mutually agreed on the manufacturing technology transfer plan for the Overland Licensed Product(s) and Allogene Overland PRC elects to continue the license for such Overland Licensed Product(s) with increased milestones and royalties. Under the License Amendment terms such increased milestones and royalties consist of up to $115 million in milestone payments for each Overland Licensed Product and tiered mid single-digit to low double-digit royalties on net sales in the JV Territory.</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As part of the Organizational Restructuring, Allogene Overland was renamed to Overland Therapeutics Inc. (Overland Therapeutics).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Collaboration and License Agreement with Antion</w:t>
      </w:r>
    </w:p>
    <w:p>
      <w:pPr>
        <w:spacing w:after="0" w:line="123"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On January 5, 2022, we entered into an exclusive collaboration and global license agreement (Antion Collaboration and License Agreement) with Antion Biosciences SA (Antion) for Antion’s miRNA technology (miCAR), to advance multiplex gene silencing as an additional tool to develop next generation allogeneic CAR T products. On July 11, 2023, we entered into an amendment to the Antion Collaboration and License Agreement, which included a $2.0 million investment in Antion’s preferred shares and the acquisition of warrants to purchase an additional $3.0 million of Antion’s preferred shares.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Strategic Collaboration Agreement with Foresight Diagnostics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firstLine="629"/>
        <w:spacing w:after="0" w:line="265" w:lineRule="auto"/>
        <w:rPr>
          <w:sz w:val="20"/>
          <w:szCs w:val="20"/>
          <w:color w:val="auto"/>
        </w:rPr>
      </w:pPr>
      <w:r>
        <w:rPr>
          <w:rFonts w:ascii="Times New Roman" w:cs="Times New Roman" w:eastAsia="Times New Roman" w:hAnsi="Times New Roman"/>
          <w:sz w:val="17"/>
          <w:szCs w:val="17"/>
          <w:color w:val="auto"/>
        </w:rPr>
        <w:t>On January 3, 2024, we entered into a Strategic Collaboration Agreement (the Foresight Agreement) with Foresight Diagnostics, Inc. (Foresight Diagnostics). Pursuant to the Foresight Agreement, the parties have agreed to collaborate on a non-exclusive basis in the development of Foresight Diagnostics’ MRD assay as an in vitro diagnostic to identify the MRD+ patient population to be enrolled in our ALPHA3 trial of cemacabtagene ansegedleucel, or cema-cel (previously known as ALLO-501A) for treatment of large B cell lymphoma (LBCL). Under the Foresight Agreement, we have agreed to use commercially reasonable efforts to obtain regulatory approval of cema-cel, and Foresight Diagnostics has agreed to use commercially reasonable efforts to obtain regulatory approval of an MRD assay for use as an in vitro diagnostic with cema-cel.</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23" w:lineRule="exact"/>
        <w:rPr>
          <w:sz w:val="20"/>
          <w:szCs w:val="20"/>
          <w:color w:val="auto"/>
        </w:rPr>
      </w:pPr>
    </w:p>
    <w:p>
      <w:pPr>
        <w:ind w:right="180" w:firstLine="629"/>
        <w:spacing w:after="0" w:line="296" w:lineRule="auto"/>
        <w:rPr>
          <w:sz w:val="20"/>
          <w:szCs w:val="20"/>
          <w:color w:val="auto"/>
        </w:rPr>
      </w:pPr>
      <w:r>
        <w:rPr>
          <w:rFonts w:ascii="Times New Roman" w:cs="Times New Roman" w:eastAsia="Times New Roman" w:hAnsi="Times New Roman"/>
          <w:sz w:val="17"/>
          <w:szCs w:val="17"/>
          <w:color w:val="auto"/>
        </w:rPr>
        <w:t>As of September 30, 2024, our revenue has been exclusively generated from the License Agreement with Allogene Overland PRC. See Note 6 to our financial statements appearing elsewhere in this Quarterly Report for more information related to our recognition of revenue and the License Agreement.</w:t>
      </w:r>
    </w:p>
    <w:p>
      <w:pPr>
        <w:spacing w:after="0" w:line="147" w:lineRule="exact"/>
        <w:rPr>
          <w:sz w:val="20"/>
          <w:szCs w:val="20"/>
          <w:color w:val="auto"/>
        </w:rPr>
      </w:pPr>
    </w:p>
    <w:p>
      <w:pPr>
        <w:ind w:right="120" w:firstLine="629"/>
        <w:spacing w:after="0" w:line="266" w:lineRule="auto"/>
        <w:rPr>
          <w:sz w:val="20"/>
          <w:szCs w:val="20"/>
          <w:color w:val="auto"/>
        </w:rPr>
      </w:pPr>
      <w:r>
        <w:rPr>
          <w:rFonts w:ascii="Times New Roman" w:cs="Times New Roman" w:eastAsia="Times New Roman" w:hAnsi="Times New Roman"/>
          <w:sz w:val="17"/>
          <w:szCs w:val="17"/>
          <w:color w:val="auto"/>
        </w:rPr>
        <w:t>In the future, we may generate revenue from a combination of product sales, marketing and distribution arrangements and other collaborations, strategic alliances and licensing arrangements or a combination of these approaches. We expect that any revenue we generate will fluctuate from quarter to quarter as a result of the timing and amount of license fees, milestones and other payments, and the amount and timing of payments that we receive upon the sale of our products, to the extent any are successfully commercialized. If we fail to complete the development of our product candidates in a timely manner or obtain regulatory approval of them, our ability to generate future revenue, and our results of operations and financial position, will be materially adversely affected.</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23"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To date, our research and development expenses have related primarily to discovery efforts, preclinical and clinical development, and manufacturing of our product candidates. Research and development expenses for the three and nine months ended September 30, 2024 included costs associated with our clinical and preclinical stage pipeline candidates and research into newer technologies. The most significant research and development expenses for the year to date relate to costs incurred for the development of our most advanced product candidates and include:</w:t>
      </w:r>
    </w:p>
    <w:p>
      <w:pPr>
        <w:spacing w:after="0" w:line="63" w:lineRule="exact"/>
        <w:rPr>
          <w:sz w:val="20"/>
          <w:szCs w:val="20"/>
          <w:color w:val="auto"/>
        </w:rPr>
      </w:pPr>
    </w:p>
    <w:p>
      <w:pPr>
        <w:ind w:left="1100" w:right="180" w:hanging="466"/>
        <w:spacing w:after="0" w:line="296" w:lineRule="auto"/>
        <w:tabs>
          <w:tab w:leader="none" w:pos="109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under agreements with our collaboration partners and third-party contract organizations, investigative clinical trial sites that conduct research and development activities on our behalf, and consultants;</w:t>
      </w:r>
    </w:p>
    <w:p>
      <w:pPr>
        <w:spacing w:after="0" w:line="41" w:lineRule="exact"/>
        <w:rPr>
          <w:rFonts w:ascii="Times New Roman" w:cs="Times New Roman" w:eastAsia="Times New Roman" w:hAnsi="Times New Roman"/>
          <w:sz w:val="17"/>
          <w:szCs w:val="17"/>
          <w:color w:val="auto"/>
        </w:rPr>
      </w:pPr>
    </w:p>
    <w:p>
      <w:pPr>
        <w:ind w:left="1100" w:hanging="466"/>
        <w:spacing w:after="0"/>
        <w:tabs>
          <w:tab w:leader="none" w:pos="11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production of clinical materials, including fees paid for raw materials and to contract manufacturers;</w:t>
      </w:r>
    </w:p>
    <w:p>
      <w:pPr>
        <w:spacing w:after="0" w:line="118" w:lineRule="exact"/>
        <w:rPr>
          <w:rFonts w:ascii="Times New Roman" w:cs="Times New Roman" w:eastAsia="Times New Roman" w:hAnsi="Times New Roman"/>
          <w:sz w:val="17"/>
          <w:szCs w:val="17"/>
          <w:color w:val="auto"/>
        </w:rPr>
      </w:pPr>
    </w:p>
    <w:p>
      <w:pPr>
        <w:ind w:left="1100" w:hanging="466"/>
        <w:spacing w:after="0"/>
        <w:tabs>
          <w:tab w:leader="none" w:pos="11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laboratory and vendor expenses related to the execution of preclinical and clinical trials;</w:t>
      </w:r>
    </w:p>
    <w:p>
      <w:pPr>
        <w:spacing w:after="0" w:line="118" w:lineRule="exact"/>
        <w:rPr>
          <w:rFonts w:ascii="Times New Roman" w:cs="Times New Roman" w:eastAsia="Times New Roman" w:hAnsi="Times New Roman"/>
          <w:sz w:val="17"/>
          <w:szCs w:val="17"/>
          <w:color w:val="auto"/>
        </w:rPr>
      </w:pPr>
    </w:p>
    <w:p>
      <w:pPr>
        <w:ind w:left="1100" w:hanging="466"/>
        <w:spacing w:after="0"/>
        <w:tabs>
          <w:tab w:leader="none" w:pos="11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employee-related expenses, which include salaries, benefits and stock-based compensation;</w:t>
      </w:r>
    </w:p>
    <w:p>
      <w:pPr>
        <w:spacing w:after="0" w:line="118" w:lineRule="exact"/>
        <w:rPr>
          <w:rFonts w:ascii="Times New Roman" w:cs="Times New Roman" w:eastAsia="Times New Roman" w:hAnsi="Times New Roman"/>
          <w:sz w:val="17"/>
          <w:szCs w:val="17"/>
          <w:color w:val="auto"/>
        </w:rPr>
      </w:pPr>
    </w:p>
    <w:p>
      <w:pPr>
        <w:ind w:left="1100" w:right="40" w:hanging="466"/>
        <w:spacing w:after="0" w:line="296" w:lineRule="auto"/>
        <w:tabs>
          <w:tab w:leader="none" w:pos="109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facilities and other expenses, which include expenses for rent and maintenance of facilities, depreciation and amortization expense and supplies; and</w:t>
      </w:r>
    </w:p>
    <w:p>
      <w:pPr>
        <w:spacing w:after="0" w:line="41" w:lineRule="exact"/>
        <w:rPr>
          <w:rFonts w:ascii="Times New Roman" w:cs="Times New Roman" w:eastAsia="Times New Roman" w:hAnsi="Times New Roman"/>
          <w:sz w:val="17"/>
          <w:szCs w:val="17"/>
          <w:color w:val="auto"/>
        </w:rPr>
      </w:pPr>
    </w:p>
    <w:p>
      <w:pPr>
        <w:ind w:left="1100" w:hanging="466"/>
        <w:spacing w:after="0"/>
        <w:tabs>
          <w:tab w:leader="none" w:pos="11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significant research and development costs including overhead costs.</w:t>
      </w:r>
    </w:p>
    <w:p>
      <w:pPr>
        <w:spacing w:after="0" w:line="224" w:lineRule="exact"/>
        <w:rPr>
          <w:sz w:val="20"/>
          <w:szCs w:val="20"/>
          <w:color w:val="auto"/>
        </w:rPr>
      </w:pPr>
    </w:p>
    <w:p>
      <w:pPr>
        <w:ind w:right="340" w:firstLine="629"/>
        <w:spacing w:after="0" w:line="270" w:lineRule="auto"/>
        <w:rPr>
          <w:sz w:val="20"/>
          <w:szCs w:val="20"/>
          <w:color w:val="auto"/>
        </w:rPr>
      </w:pPr>
      <w:r>
        <w:rPr>
          <w:rFonts w:ascii="Times New Roman" w:cs="Times New Roman" w:eastAsia="Times New Roman" w:hAnsi="Times New Roman"/>
          <w:sz w:val="17"/>
          <w:szCs w:val="17"/>
          <w:color w:val="auto"/>
        </w:rPr>
        <w:t>We expense all research and development costs in the periods in which they are incurred. We accrue for costs incurred as the services are being provided by monitoring the status of the project and the invoices received from our external service providers. We adjust our accrual as actual costs become known. Where contingent milestone payments are due to third parties under research and development arrangements or license agreements, the milestone payment obligations are expensed when the milestone results are achieved.</w:t>
      </w:r>
    </w:p>
    <w:p>
      <w:pPr>
        <w:spacing w:after="0" w:line="168"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in the future as our clinical programs progress and as we seek to initiate clinical trials of additional product candidates. The cost of advancing our manufacturing process as well as the cost of manufacturing product candidates for clinical trials are included in our research and development expense. We also expect to incur increased research and development expenses as we selectively identify and develop additional product candidates. However, it is difficult to determine with certainty the duration and completion costs of our current or future preclinical programs and clinical trials of our product candidates.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100" w:firstLine="629"/>
        <w:spacing w:after="0" w:line="296" w:lineRule="auto"/>
        <w:rPr>
          <w:sz w:val="20"/>
          <w:szCs w:val="20"/>
          <w:color w:val="auto"/>
        </w:rPr>
      </w:pPr>
      <w:r>
        <w:rPr>
          <w:rFonts w:ascii="Times New Roman" w:cs="Times New Roman" w:eastAsia="Times New Roman" w:hAnsi="Times New Roman"/>
          <w:sz w:val="17"/>
          <w:szCs w:val="17"/>
          <w:color w:val="auto"/>
        </w:rPr>
        <w:t>The duration, costs and timing of clinical trials and development of our product candidates will depend on a variety of factors that include, but are not limited to, the following:</w:t>
      </w:r>
    </w:p>
    <w:p>
      <w:pPr>
        <w:spacing w:after="0" w:line="29" w:lineRule="exact"/>
        <w:rPr>
          <w:sz w:val="20"/>
          <w:szCs w:val="20"/>
          <w:color w:val="auto"/>
        </w:rPr>
      </w:pPr>
    </w:p>
    <w:p>
      <w:pPr>
        <w:ind w:left="1100" w:hanging="466"/>
        <w:spacing w:after="0"/>
        <w:tabs>
          <w:tab w:leader="none" w:pos="11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 patient trial costs;</w:t>
      </w:r>
    </w:p>
    <w:p>
      <w:pPr>
        <w:spacing w:after="0" w:line="118" w:lineRule="exact"/>
        <w:rPr>
          <w:rFonts w:ascii="Times New Roman" w:cs="Times New Roman" w:eastAsia="Times New Roman" w:hAnsi="Times New Roman"/>
          <w:sz w:val="17"/>
          <w:szCs w:val="17"/>
          <w:color w:val="auto"/>
        </w:rPr>
      </w:pPr>
    </w:p>
    <w:p>
      <w:pPr>
        <w:ind w:left="1100" w:hanging="466"/>
        <w:spacing w:after="0"/>
        <w:tabs>
          <w:tab w:leader="none" w:pos="11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biomarker analysis costs;</w:t>
      </w:r>
    </w:p>
    <w:p>
      <w:pPr>
        <w:spacing w:after="0" w:line="118" w:lineRule="exact"/>
        <w:rPr>
          <w:rFonts w:ascii="Times New Roman" w:cs="Times New Roman" w:eastAsia="Times New Roman" w:hAnsi="Times New Roman"/>
          <w:sz w:val="17"/>
          <w:szCs w:val="17"/>
          <w:color w:val="auto"/>
        </w:rPr>
      </w:pPr>
    </w:p>
    <w:p>
      <w:pPr>
        <w:ind w:left="1100" w:hanging="466"/>
        <w:spacing w:after="0"/>
        <w:tabs>
          <w:tab w:leader="none" w:pos="11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and timing of manufacturing for the trials;</w:t>
      </w:r>
    </w:p>
    <w:p>
      <w:pPr>
        <w:spacing w:after="0" w:line="118" w:lineRule="exact"/>
        <w:rPr>
          <w:rFonts w:ascii="Times New Roman" w:cs="Times New Roman" w:eastAsia="Times New Roman" w:hAnsi="Times New Roman"/>
          <w:sz w:val="17"/>
          <w:szCs w:val="17"/>
          <w:color w:val="auto"/>
        </w:rPr>
      </w:pPr>
    </w:p>
    <w:p>
      <w:pPr>
        <w:ind w:left="1100" w:hanging="466"/>
        <w:spacing w:after="0"/>
        <w:tabs>
          <w:tab w:leader="none" w:pos="11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patients that participate in the trials;</w:t>
      </w:r>
    </w:p>
    <w:p>
      <w:pPr>
        <w:spacing w:after="0" w:line="118" w:lineRule="exact"/>
        <w:rPr>
          <w:rFonts w:ascii="Times New Roman" w:cs="Times New Roman" w:eastAsia="Times New Roman" w:hAnsi="Times New Roman"/>
          <w:sz w:val="17"/>
          <w:szCs w:val="17"/>
          <w:color w:val="auto"/>
        </w:rPr>
      </w:pPr>
    </w:p>
    <w:p>
      <w:pPr>
        <w:ind w:left="1100" w:hanging="466"/>
        <w:spacing w:after="0"/>
        <w:tabs>
          <w:tab w:leader="none" w:pos="11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sites included in the trials;</w:t>
      </w:r>
    </w:p>
    <w:p>
      <w:pPr>
        <w:spacing w:after="0" w:line="118" w:lineRule="exact"/>
        <w:rPr>
          <w:rFonts w:ascii="Times New Roman" w:cs="Times New Roman" w:eastAsia="Times New Roman" w:hAnsi="Times New Roman"/>
          <w:sz w:val="17"/>
          <w:szCs w:val="17"/>
          <w:color w:val="auto"/>
        </w:rPr>
      </w:pPr>
    </w:p>
    <w:p>
      <w:pPr>
        <w:ind w:left="1100" w:hanging="466"/>
        <w:spacing w:after="0"/>
        <w:tabs>
          <w:tab w:leader="none" w:pos="11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countries in which the trials are conducted;</w:t>
      </w:r>
    </w:p>
    <w:p>
      <w:pPr>
        <w:spacing w:after="0" w:line="118" w:lineRule="exact"/>
        <w:rPr>
          <w:rFonts w:ascii="Times New Roman" w:cs="Times New Roman" w:eastAsia="Times New Roman" w:hAnsi="Times New Roman"/>
          <w:sz w:val="17"/>
          <w:szCs w:val="17"/>
          <w:color w:val="auto"/>
        </w:rPr>
      </w:pPr>
    </w:p>
    <w:p>
      <w:pPr>
        <w:ind w:left="1100" w:hanging="466"/>
        <w:spacing w:after="0"/>
        <w:tabs>
          <w:tab w:leader="none" w:pos="11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length of time required to enroll eligible patients;</w:t>
      </w:r>
    </w:p>
    <w:p>
      <w:pPr>
        <w:spacing w:after="0" w:line="118" w:lineRule="exact"/>
        <w:rPr>
          <w:rFonts w:ascii="Times New Roman" w:cs="Times New Roman" w:eastAsia="Times New Roman" w:hAnsi="Times New Roman"/>
          <w:sz w:val="17"/>
          <w:szCs w:val="17"/>
          <w:color w:val="auto"/>
        </w:rPr>
      </w:pPr>
    </w:p>
    <w:p>
      <w:pPr>
        <w:ind w:left="1100" w:hanging="466"/>
        <w:spacing w:after="0"/>
        <w:tabs>
          <w:tab w:leader="none" w:pos="11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number of cells that patients receive;</w:t>
      </w:r>
    </w:p>
    <w:p>
      <w:pPr>
        <w:spacing w:after="0" w:line="118" w:lineRule="exact"/>
        <w:rPr>
          <w:rFonts w:ascii="Times New Roman" w:cs="Times New Roman" w:eastAsia="Times New Roman" w:hAnsi="Times New Roman"/>
          <w:sz w:val="17"/>
          <w:szCs w:val="17"/>
          <w:color w:val="auto"/>
        </w:rPr>
      </w:pPr>
    </w:p>
    <w:p>
      <w:pPr>
        <w:ind w:left="1100" w:hanging="466"/>
        <w:spacing w:after="0"/>
        <w:tabs>
          <w:tab w:leader="none" w:pos="11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drop-out or discontinuation rates of patients;</w:t>
      </w:r>
    </w:p>
    <w:p>
      <w:pPr>
        <w:spacing w:after="0" w:line="118" w:lineRule="exact"/>
        <w:rPr>
          <w:rFonts w:ascii="Times New Roman" w:cs="Times New Roman" w:eastAsia="Times New Roman" w:hAnsi="Times New Roman"/>
          <w:sz w:val="17"/>
          <w:szCs w:val="17"/>
          <w:color w:val="auto"/>
        </w:rPr>
      </w:pPr>
    </w:p>
    <w:p>
      <w:pPr>
        <w:ind w:left="1100" w:hanging="466"/>
        <w:spacing w:after="0"/>
        <w:tabs>
          <w:tab w:leader="none" w:pos="11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additional safety monitoring or other studies requested by regulatory agencies, including to resolve any future clinical hold;</w:t>
      </w:r>
    </w:p>
    <w:p>
      <w:pPr>
        <w:spacing w:after="0" w:line="118" w:lineRule="exact"/>
        <w:rPr>
          <w:rFonts w:ascii="Times New Roman" w:cs="Times New Roman" w:eastAsia="Times New Roman" w:hAnsi="Times New Roman"/>
          <w:sz w:val="17"/>
          <w:szCs w:val="17"/>
          <w:color w:val="auto"/>
        </w:rPr>
      </w:pPr>
    </w:p>
    <w:p>
      <w:pPr>
        <w:ind w:left="1100" w:hanging="466"/>
        <w:spacing w:after="0"/>
        <w:tabs>
          <w:tab w:leader="none" w:pos="11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duration of patient follow-up; and</w:t>
      </w:r>
    </w:p>
    <w:p>
      <w:pPr>
        <w:spacing w:after="0" w:line="118" w:lineRule="exact"/>
        <w:rPr>
          <w:rFonts w:ascii="Times New Roman" w:cs="Times New Roman" w:eastAsia="Times New Roman" w:hAnsi="Times New Roman"/>
          <w:sz w:val="17"/>
          <w:szCs w:val="17"/>
          <w:color w:val="auto"/>
        </w:rPr>
      </w:pPr>
    </w:p>
    <w:p>
      <w:pPr>
        <w:ind w:left="1100" w:hanging="466"/>
        <w:spacing w:after="0"/>
        <w:tabs>
          <w:tab w:leader="none" w:pos="110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and safety profile of the product candidates.</w:t>
      </w:r>
    </w:p>
    <w:p>
      <w:pPr>
        <w:spacing w:after="0" w:line="224" w:lineRule="exact"/>
        <w:rPr>
          <w:sz w:val="20"/>
          <w:szCs w:val="20"/>
          <w:color w:val="auto"/>
        </w:rPr>
      </w:pPr>
    </w:p>
    <w:p>
      <w:pPr>
        <w:ind w:right="560" w:firstLine="629"/>
        <w:spacing w:after="0" w:line="276" w:lineRule="auto"/>
        <w:rPr>
          <w:sz w:val="20"/>
          <w:szCs w:val="20"/>
          <w:color w:val="auto"/>
        </w:rPr>
      </w:pPr>
      <w:r>
        <w:rPr>
          <w:rFonts w:ascii="Times New Roman" w:cs="Times New Roman" w:eastAsia="Times New Roman" w:hAnsi="Times New Roman"/>
          <w:sz w:val="17"/>
          <w:szCs w:val="17"/>
          <w:color w:val="auto"/>
        </w:rPr>
        <w:t>In addition, the probability of success for each product candidate will depend on numerous factors, including safety, efficacy,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64" w:lineRule="exact"/>
        <w:rPr>
          <w:sz w:val="20"/>
          <w:szCs w:val="20"/>
          <w:color w:val="auto"/>
        </w:rPr>
      </w:pPr>
    </w:p>
    <w:p>
      <w:pPr>
        <w:ind w:right="220" w:firstLine="629"/>
        <w:spacing w:after="0" w:line="276" w:lineRule="auto"/>
        <w:rPr>
          <w:sz w:val="20"/>
          <w:szCs w:val="20"/>
          <w:color w:val="auto"/>
        </w:rPr>
      </w:pPr>
      <w:r>
        <w:rPr>
          <w:rFonts w:ascii="Times New Roman" w:cs="Times New Roman" w:eastAsia="Times New Roman" w:hAnsi="Times New Roman"/>
          <w:sz w:val="17"/>
          <w:szCs w:val="17"/>
          <w:color w:val="auto"/>
        </w:rPr>
        <w:t>Because our product candidates are still in clinical and preclinical development and the outcome of these efforts is uncertain, we cannot estimate the actual amounts necessary to successfully complete the development and commercialization of product candidates or whether, or when, we may achieve profitability.</w:t>
      </w:r>
    </w:p>
    <w:p>
      <w:pPr>
        <w:spacing w:after="0" w:line="164" w:lineRule="exact"/>
        <w:rPr>
          <w:sz w:val="20"/>
          <w:szCs w:val="20"/>
          <w:color w:val="auto"/>
        </w:rPr>
      </w:pPr>
    </w:p>
    <w:p>
      <w:pPr>
        <w:ind w:right="20" w:firstLine="629"/>
        <w:spacing w:after="0" w:line="296" w:lineRule="auto"/>
        <w:rPr>
          <w:sz w:val="20"/>
          <w:szCs w:val="20"/>
          <w:color w:val="auto"/>
        </w:rPr>
      </w:pPr>
      <w:r>
        <w:rPr>
          <w:rFonts w:ascii="Times New Roman" w:cs="Times New Roman" w:eastAsia="Times New Roman" w:hAnsi="Times New Roman"/>
          <w:sz w:val="17"/>
          <w:szCs w:val="17"/>
          <w:color w:val="auto"/>
        </w:rPr>
        <w:t>We do not track most of our external research and development expenses by programs or product candidates because most of our external research and development expenses could be used for different programs or product candidates.</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123" w:lineRule="exact"/>
        <w:rPr>
          <w:sz w:val="20"/>
          <w:szCs w:val="20"/>
          <w:color w:val="auto"/>
        </w:rPr>
      </w:pPr>
    </w:p>
    <w:p>
      <w:pPr>
        <w:ind w:right="40" w:firstLine="629"/>
        <w:spacing w:after="0" w:line="265" w:lineRule="auto"/>
        <w:rPr>
          <w:sz w:val="20"/>
          <w:szCs w:val="20"/>
          <w:color w:val="auto"/>
        </w:rPr>
      </w:pPr>
      <w:r>
        <w:rPr>
          <w:rFonts w:ascii="Times New Roman" w:cs="Times New Roman" w:eastAsia="Times New Roman" w:hAnsi="Times New Roman"/>
          <w:sz w:val="17"/>
          <w:szCs w:val="17"/>
          <w:color w:val="auto"/>
        </w:rPr>
        <w:t>General and administrative expenses consist primarily of salaries and other staff-related costs, including stock-based compensation for options and restricted stock units granted. Other significant costs include costs relating to facilities and overhead costs, legal fees relating to corporate and patent matters, insurance, investor relations costs, fees for accounting and consulting services, information technology, costs and support for our board of directors and board committees, and other general and administrative costs. General and administrative costs are expensed as incurred, and we accrue for services provided by third parties related to the above expenses by monitoring the status of services provided and receiving estimates from our service providers, and adjusting our accruals as actual costs become known.</w:t>
      </w:r>
    </w:p>
    <w:p>
      <w:pPr>
        <w:spacing w:after="0" w:line="172"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We expect our general and administrative expenses to increase over the next several years to support our continued research and development activities, manufacturing activities, potential commercialization of our product candidates and operating as a public company. These increases are anticipated to include increased costs related to the hiring of additional personnel, developing commercial infrastructure, fees to outside consultants, lawyers, and accountants, and costs associated with being a public company such as expenses related to services associated with maintaining compliance with Nasdaq listing rules and SEC requirements, complying with and advancing environmental, social and governance matters, and insurance and investor relations costs.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Interest and Other Income, Net</w:t>
      </w:r>
    </w:p>
    <w:p>
      <w:pPr>
        <w:spacing w:after="0" w:line="123" w:lineRule="exact"/>
        <w:rPr>
          <w:sz w:val="20"/>
          <w:szCs w:val="20"/>
          <w:color w:val="auto"/>
        </w:rPr>
      </w:pPr>
    </w:p>
    <w:p>
      <w:pPr>
        <w:ind w:right="380" w:firstLine="629"/>
        <w:spacing w:after="0" w:line="296" w:lineRule="auto"/>
        <w:rPr>
          <w:sz w:val="20"/>
          <w:szCs w:val="20"/>
          <w:color w:val="auto"/>
        </w:rPr>
      </w:pPr>
      <w:r>
        <w:rPr>
          <w:rFonts w:ascii="Times New Roman" w:cs="Times New Roman" w:eastAsia="Times New Roman" w:hAnsi="Times New Roman"/>
          <w:sz w:val="17"/>
          <w:szCs w:val="17"/>
          <w:color w:val="auto"/>
        </w:rPr>
        <w:t>Interest and other income, net consists of interest earned on our cash and cash equivalents and investments, as well as investment gains and losses recognized during the period.</w:t>
      </w:r>
    </w:p>
    <w:p>
      <w:pPr>
        <w:spacing w:after="0" w:line="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Interest expense related to the California Institute of Regenerative Medicine (CIRM) award is accrued upon cash receipt.</w:t>
      </w:r>
    </w:p>
    <w:p>
      <w:pPr>
        <w:spacing w:after="0" w:line="1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Other Income and Expense, Net</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Other income and expense, net consist of non-operating income and expenses, including our share of equity investments’ net losses for the period.</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Months Ended September 30, 2024 and 2023</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sets forth our results of operations for the three months ended September 30, 2024 and 2023 (dollars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320" w:type="dxa"/>
            <w:vAlign w:val="bottom"/>
          </w:tcPr>
          <w:p>
            <w:pPr>
              <w:spacing w:after="0"/>
              <w:rPr>
                <w:sz w:val="17"/>
                <w:szCs w:val="17"/>
                <w:color w:val="auto"/>
              </w:rPr>
            </w:pPr>
          </w:p>
        </w:tc>
        <w:tc>
          <w:tcPr>
            <w:tcW w:w="1400" w:type="dxa"/>
            <w:vAlign w:val="bottom"/>
            <w:gridSpan w:val="3"/>
            <w:vMerge w:val="restart"/>
          </w:tcPr>
          <w:p>
            <w:pPr>
              <w:ind w:left="7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320" w:type="dxa"/>
            <w:vAlign w:val="bottom"/>
          </w:tcPr>
          <w:p>
            <w:pPr>
              <w:spacing w:after="0"/>
              <w:rPr>
                <w:sz w:val="20"/>
                <w:szCs w:val="20"/>
                <w:color w:val="auto"/>
              </w:rPr>
            </w:pPr>
          </w:p>
        </w:tc>
        <w:tc>
          <w:tcPr>
            <w:tcW w:w="1400" w:type="dxa"/>
            <w:vAlign w:val="bottom"/>
            <w:gridSpan w:val="3"/>
            <w:vMerge w:val="continue"/>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Collaboration revenue - related party</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23"/>
        </w:trPr>
        <w:tc>
          <w:tcPr>
            <w:tcW w:w="54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Impairment of long-lived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16"/>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71,774</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63,018</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8,756</w:t>
            </w: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(62,996)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and other income,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8 %</w:t>
            </w:r>
          </w:p>
        </w:tc>
        <w:tc>
          <w:tcPr>
            <w:tcW w:w="0" w:type="dxa"/>
            <w:vAlign w:val="bottom"/>
          </w:tcPr>
          <w:p>
            <w:pPr>
              <w:spacing w:after="0"/>
              <w:rPr>
                <w:sz w:val="1"/>
                <w:szCs w:val="1"/>
                <w:color w:val="auto"/>
              </w:rPr>
            </w:pPr>
          </w:p>
        </w:tc>
      </w:tr>
      <w:tr>
        <w:trPr>
          <w:trHeight w:val="223"/>
        </w:trPr>
        <w:tc>
          <w:tcPr>
            <w:tcW w:w="5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income and expense, net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4,372</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0" w:type="dxa"/>
            <w:vAlign w:val="bottom"/>
          </w:tcPr>
          <w:p>
            <w:pPr>
              <w:spacing w:after="0"/>
              <w:rPr>
                <w:sz w:val="1"/>
                <w:szCs w:val="1"/>
                <w:color w:val="auto"/>
              </w:rPr>
            </w:pPr>
          </w:p>
        </w:tc>
      </w:tr>
      <w:tr>
        <w:trPr>
          <w:trHeight w:val="216"/>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5,481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673 %</w:t>
            </w:r>
          </w:p>
        </w:tc>
        <w:tc>
          <w:tcPr>
            <w:tcW w:w="0" w:type="dxa"/>
            <w:vAlign w:val="bottom"/>
          </w:tcPr>
          <w:p>
            <w:pPr>
              <w:spacing w:after="0"/>
              <w:rPr>
                <w:sz w:val="1"/>
                <w:szCs w:val="1"/>
                <w:color w:val="auto"/>
              </w:rPr>
            </w:pPr>
          </w:p>
        </w:tc>
      </w:tr>
      <w:tr>
        <w:trPr>
          <w:trHeight w:val="241"/>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(66,293)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(62,287)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Collaboration revenue - related party</w:t>
      </w:r>
    </w:p>
    <w:p>
      <w:pPr>
        <w:spacing w:after="0" w:line="123" w:lineRule="exact"/>
        <w:rPr>
          <w:sz w:val="20"/>
          <w:szCs w:val="20"/>
          <w:color w:val="auto"/>
        </w:rPr>
      </w:pPr>
    </w:p>
    <w:p>
      <w:pPr>
        <w:ind w:right="400" w:firstLine="629"/>
        <w:spacing w:after="0" w:line="296" w:lineRule="auto"/>
        <w:rPr>
          <w:sz w:val="20"/>
          <w:szCs w:val="20"/>
          <w:color w:val="auto"/>
        </w:rPr>
      </w:pPr>
      <w:r>
        <w:rPr>
          <w:rFonts w:ascii="Times New Roman" w:cs="Times New Roman" w:eastAsia="Times New Roman" w:hAnsi="Times New Roman"/>
          <w:sz w:val="17"/>
          <w:szCs w:val="17"/>
          <w:color w:val="auto"/>
        </w:rPr>
        <w:t>Collaboration revenue recognized for the three months ended September 30, 2023 was mainly due to participation in the joint steering committee performance obligation related to the License Agreement with Allogene Overland PRC.</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shows the primary components of our research and development expenses for the periods presented:</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980" w:type="dxa"/>
            <w:vAlign w:val="bottom"/>
            <w:tcBorders>
              <w:bottom w:val="single" w:sz="8" w:color="auto"/>
            </w:tcBorders>
          </w:tcPr>
          <w:p>
            <w:pPr>
              <w:spacing w:after="0"/>
              <w:rPr>
                <w:sz w:val="19"/>
                <w:szCs w:val="19"/>
                <w:color w:val="auto"/>
              </w:rPr>
            </w:pPr>
          </w:p>
        </w:tc>
      </w:tr>
      <w:tr>
        <w:trPr>
          <w:trHeight w:val="216"/>
        </w:trPr>
        <w:tc>
          <w:tcPr>
            <w:tcW w:w="45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Personnel</w:t>
            </w: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26,170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(6,471)</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Development costs</w:t>
            </w: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5,975</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Facilities and depreciation</w:t>
            </w:r>
          </w:p>
        </w:tc>
        <w:tc>
          <w:tcPr>
            <w:tcW w:w="9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w:t>
            </w:r>
          </w:p>
        </w:tc>
      </w:tr>
      <w:tr>
        <w:trPr>
          <w:trHeight w:val="22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2,164</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2,209</w:t>
            </w: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241"/>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9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44,713</w:t>
            </w:r>
          </w:p>
        </w:tc>
        <w:tc>
          <w:tcPr>
            <w:tcW w:w="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45,977</w:t>
            </w:r>
          </w:p>
        </w:tc>
        <w:tc>
          <w:tcPr>
            <w:tcW w:w="8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Our research and development expenses included $22.5 million of internal expenses and $22.2 million of external expenses for the three months ended September 30, 2024. Our research and development expenses included $28.1 million of internal expenses and $17.9 million of external expenses for the three months ended September 30, 2023.</w:t>
      </w:r>
    </w:p>
    <w:p>
      <w:pPr>
        <w:spacing w:after="0" w:line="59" w:lineRule="exact"/>
        <w:rPr>
          <w:sz w:val="20"/>
          <w:szCs w:val="20"/>
          <w:color w:val="auto"/>
        </w:rPr>
      </w:pPr>
    </w:p>
    <w:p>
      <w:pPr>
        <w:ind w:right="20" w:firstLine="629"/>
        <w:spacing w:after="0" w:line="296" w:lineRule="auto"/>
        <w:rPr>
          <w:sz w:val="20"/>
          <w:szCs w:val="20"/>
          <w:color w:val="auto"/>
        </w:rPr>
      </w:pPr>
      <w:r>
        <w:rPr>
          <w:rFonts w:ascii="Times New Roman" w:cs="Times New Roman" w:eastAsia="Times New Roman" w:hAnsi="Times New Roman"/>
          <w:sz w:val="17"/>
          <w:szCs w:val="17"/>
          <w:color w:val="auto"/>
        </w:rPr>
        <w:t>Research and development expenses were $44.7 million and $46.0 million for the three months ended September 30, 2024 and 2023, respectively. The decrease of $1.3 million was driven primarily by a decrease in personnel related costs of $6.5</w:t>
      </w:r>
    </w:p>
    <w:p>
      <w:pPr>
        <w:spacing w:after="0" w:line="200" w:lineRule="exact"/>
        <w:rPr>
          <w:sz w:val="20"/>
          <w:szCs w:val="20"/>
          <w:color w:val="auto"/>
        </w:rPr>
      </w:pPr>
    </w:p>
    <w:p>
      <w:pPr>
        <w:spacing w:after="0" w:line="2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million, including $1.8 million related to a decrease in stock-based compensation expense, and a decrease in facilities and depreciation expense of $0.7 million, partially offset by the increase in external costs of $6.0 million relating to the advancement of our product candidates due to the timing of development activities and manufacturing runs.</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123" w:lineRule="exact"/>
        <w:rPr>
          <w:sz w:val="20"/>
          <w:szCs w:val="20"/>
          <w:color w:val="auto"/>
        </w:rPr>
      </w:pPr>
    </w:p>
    <w:p>
      <w:pPr>
        <w:ind w:right="40" w:firstLine="629"/>
        <w:spacing w:after="0" w:line="276" w:lineRule="auto"/>
        <w:rPr>
          <w:sz w:val="20"/>
          <w:szCs w:val="20"/>
          <w:color w:val="auto"/>
        </w:rPr>
      </w:pPr>
      <w:r>
        <w:rPr>
          <w:rFonts w:ascii="Times New Roman" w:cs="Times New Roman" w:eastAsia="Times New Roman" w:hAnsi="Times New Roman"/>
          <w:sz w:val="17"/>
          <w:szCs w:val="17"/>
          <w:color w:val="auto"/>
        </w:rPr>
        <w:t>General and administrative expenses were $16.3 million and $17.0 million for the three months ended September 30, 2024 and 2023, respectively. The decrease of $0.7 million was primarily due to a decrease in personnel related costs of $0.6 million, including $0.2 million related to a decrease in stock-based compensation expense.</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w:t>
      </w:r>
    </w:p>
    <w:p>
      <w:pPr>
        <w:spacing w:after="0" w:line="123" w:lineRule="exact"/>
        <w:rPr>
          <w:sz w:val="20"/>
          <w:szCs w:val="20"/>
          <w:color w:val="auto"/>
        </w:rPr>
      </w:pPr>
    </w:p>
    <w:p>
      <w:pPr>
        <w:ind w:right="240" w:firstLine="629"/>
        <w:spacing w:after="0" w:line="270" w:lineRule="auto"/>
        <w:rPr>
          <w:sz w:val="20"/>
          <w:szCs w:val="20"/>
          <w:color w:val="auto"/>
        </w:rPr>
      </w:pPr>
      <w:r>
        <w:rPr>
          <w:rFonts w:ascii="Times New Roman" w:cs="Times New Roman" w:eastAsia="Times New Roman" w:hAnsi="Times New Roman"/>
          <w:sz w:val="17"/>
          <w:szCs w:val="17"/>
          <w:color w:val="auto"/>
        </w:rPr>
        <w:t>In September 2024, we identified additional impairments as the carrying values of to-be-sublet property asset groups were not recoverable due to current market conditions. We revised the valuations of the assets within these groups based on a non-binding letter of intent with a potential subtenant for a portion of one of the buildings within one of the asset groups and based on new market data for both asset groups. For the three months ended September 30, 2024, we recorded long-lived asset impairment charge of $10.7 million. No such expense was recorded for the three months ended September 30, 2023.</w:t>
      </w: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Interest and Other Income, Net</w:t>
      </w:r>
    </w:p>
    <w:p>
      <w:pPr>
        <w:spacing w:after="0" w:line="123" w:lineRule="exact"/>
        <w:rPr>
          <w:sz w:val="20"/>
          <w:szCs w:val="20"/>
          <w:color w:val="auto"/>
        </w:rPr>
      </w:pPr>
    </w:p>
    <w:p>
      <w:pPr>
        <w:ind w:right="160" w:firstLine="629"/>
        <w:spacing w:after="0" w:line="296" w:lineRule="auto"/>
        <w:rPr>
          <w:sz w:val="20"/>
          <w:szCs w:val="20"/>
          <w:color w:val="auto"/>
        </w:rPr>
      </w:pPr>
      <w:r>
        <w:rPr>
          <w:rFonts w:ascii="Times New Roman" w:cs="Times New Roman" w:eastAsia="Times New Roman" w:hAnsi="Times New Roman"/>
          <w:sz w:val="17"/>
          <w:szCs w:val="17"/>
          <w:color w:val="auto"/>
        </w:rPr>
        <w:t>Interest and other income, net was $6.7 million and $6.2 million for the three months ended September 30, 2024 and 2023, respectively. The increase of $0.5 million was primarily due to foreign exchange rate gain as a result of strengthening U.S. dollar against other currencies.</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23" w:lineRule="exact"/>
        <w:rPr>
          <w:sz w:val="20"/>
          <w:szCs w:val="20"/>
          <w:color w:val="auto"/>
        </w:rPr>
      </w:pPr>
    </w:p>
    <w:p>
      <w:pPr>
        <w:ind w:right="420" w:firstLine="629"/>
        <w:spacing w:after="0" w:line="296" w:lineRule="auto"/>
        <w:rPr>
          <w:sz w:val="20"/>
          <w:szCs w:val="20"/>
          <w:color w:val="auto"/>
        </w:rPr>
      </w:pPr>
      <w:r>
        <w:rPr>
          <w:rFonts w:ascii="Times New Roman" w:cs="Times New Roman" w:eastAsia="Times New Roman" w:hAnsi="Times New Roman"/>
          <w:sz w:val="17"/>
          <w:szCs w:val="17"/>
          <w:color w:val="auto"/>
        </w:rPr>
        <w:t>Interest expense was related to the CIRM award proceeds received for the three months ended September 30, 2024. No such interest expense was recorded for the three months ended September 30, 2023.</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Other Income and Expense, Net</w:t>
      </w:r>
    </w:p>
    <w:p>
      <w:pPr>
        <w:spacing w:after="0" w:line="123" w:lineRule="exact"/>
        <w:rPr>
          <w:sz w:val="20"/>
          <w:szCs w:val="20"/>
          <w:color w:val="auto"/>
        </w:rPr>
      </w:pPr>
    </w:p>
    <w:p>
      <w:pPr>
        <w:ind w:right="200" w:firstLine="629"/>
        <w:spacing w:after="0" w:line="276" w:lineRule="auto"/>
        <w:rPr>
          <w:sz w:val="20"/>
          <w:szCs w:val="20"/>
          <w:color w:val="auto"/>
        </w:rPr>
      </w:pPr>
      <w:r>
        <w:rPr>
          <w:rFonts w:ascii="Times New Roman" w:cs="Times New Roman" w:eastAsia="Times New Roman" w:hAnsi="Times New Roman"/>
          <w:sz w:val="17"/>
          <w:szCs w:val="17"/>
          <w:color w:val="auto"/>
        </w:rPr>
        <w:t>Other expense, net was $1.1 million and $5.5 million for the three months ended September 30, 2024 and 2023, respectively. The decrease in other expense of $4.4 million was primarily due to a decrease in the share of net losses in our equity method investments and impairment charge of $3.0 million for our equity method investments during the three months ended September 30, 2023.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Nine Months Ended September 30, 2024 and 2023</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sets forth our results of operations for the nine months ended September 30, 2024 and 2023 (dollars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320" w:type="dxa"/>
            <w:vAlign w:val="bottom"/>
          </w:tcPr>
          <w:p>
            <w:pPr>
              <w:spacing w:after="0"/>
              <w:rPr>
                <w:sz w:val="17"/>
                <w:szCs w:val="17"/>
                <w:color w:val="auto"/>
              </w:rPr>
            </w:pPr>
          </w:p>
        </w:tc>
        <w:tc>
          <w:tcPr>
            <w:tcW w:w="1400" w:type="dxa"/>
            <w:vAlign w:val="bottom"/>
            <w:gridSpan w:val="3"/>
            <w:vMerge w:val="restart"/>
          </w:tcPr>
          <w:p>
            <w:pPr>
              <w:ind w:left="70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320" w:type="dxa"/>
            <w:vAlign w:val="bottom"/>
          </w:tcPr>
          <w:p>
            <w:pPr>
              <w:spacing w:after="0"/>
              <w:rPr>
                <w:sz w:val="20"/>
                <w:szCs w:val="20"/>
                <w:color w:val="auto"/>
              </w:rPr>
            </w:pPr>
          </w:p>
        </w:tc>
        <w:tc>
          <w:tcPr>
            <w:tcW w:w="1400" w:type="dxa"/>
            <w:vAlign w:val="bottom"/>
            <w:gridSpan w:val="3"/>
            <w:vMerge w:val="continue"/>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Collaboration revenue - related party</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147,327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188,253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(40,926)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23"/>
        </w:trPr>
        <w:tc>
          <w:tcPr>
            <w:tcW w:w="54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49,687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54,449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Impairment of long-lived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16"/>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212,731</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242,702</w:t>
            </w: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(29,971)</w:t>
            </w: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(212,709)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(242,628)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29,919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Interest and other income,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0" w:type="dxa"/>
            <w:vAlign w:val="bottom"/>
          </w:tcPr>
          <w:p>
            <w:pPr>
              <w:spacing w:after="0"/>
              <w:rPr>
                <w:sz w:val="1"/>
                <w:szCs w:val="1"/>
                <w:color w:val="auto"/>
              </w:rPr>
            </w:pPr>
          </w:p>
        </w:tc>
      </w:tr>
      <w:tr>
        <w:trPr>
          <w:trHeight w:val="223"/>
        </w:trPr>
        <w:tc>
          <w:tcPr>
            <w:tcW w:w="54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23"/>
        </w:trPr>
        <w:tc>
          <w:tcPr>
            <w:tcW w:w="5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 income and expense, net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16"/>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15,058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13,917</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1220 %</w:t>
            </w:r>
          </w:p>
        </w:tc>
        <w:tc>
          <w:tcPr>
            <w:tcW w:w="0" w:type="dxa"/>
            <w:vAlign w:val="bottom"/>
          </w:tcPr>
          <w:p>
            <w:pPr>
              <w:spacing w:after="0"/>
              <w:rPr>
                <w:sz w:val="1"/>
                <w:szCs w:val="1"/>
                <w:color w:val="auto"/>
              </w:rPr>
            </w:pPr>
          </w:p>
        </w:tc>
      </w:tr>
      <w:tr>
        <w:trPr>
          <w:trHeight w:val="241"/>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(197,651)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(241,487)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43,836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Collaboration revenue - related party</w:t>
      </w:r>
    </w:p>
    <w:p>
      <w:pPr>
        <w:spacing w:after="0" w:line="123" w:lineRule="exact"/>
        <w:rPr>
          <w:sz w:val="20"/>
          <w:szCs w:val="20"/>
          <w:color w:val="auto"/>
        </w:rPr>
      </w:pPr>
    </w:p>
    <w:p>
      <w:pPr>
        <w:ind w:right="480" w:firstLine="629"/>
        <w:spacing w:after="0" w:line="296" w:lineRule="auto"/>
        <w:rPr>
          <w:sz w:val="20"/>
          <w:szCs w:val="20"/>
          <w:color w:val="auto"/>
        </w:rPr>
      </w:pPr>
      <w:r>
        <w:rPr>
          <w:rFonts w:ascii="Times New Roman" w:cs="Times New Roman" w:eastAsia="Times New Roman" w:hAnsi="Times New Roman"/>
          <w:sz w:val="17"/>
          <w:szCs w:val="17"/>
          <w:color w:val="auto"/>
        </w:rPr>
        <w:t>Collaboration revenue recognized for the nine months ended September 30, 2024 and 2023 was mainly due to participation in the joint steering committee performance obligation related to the License Agreement with Allogene Overland PRC.</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1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shows the primary components of our research and development expenses for the periods presented:</w:t>
      </w:r>
    </w:p>
    <w:p>
      <w:pPr>
        <w:spacing w:after="0" w:line="156"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1000" w:type="dxa"/>
            <w:vAlign w:val="bottom"/>
            <w:tcBorders>
              <w:bottom w:val="single" w:sz="8" w:color="auto"/>
            </w:tcBorders>
          </w:tcPr>
          <w:p>
            <w:pPr>
              <w:spacing w:after="0"/>
              <w:rPr>
                <w:sz w:val="19"/>
                <w:szCs w:val="19"/>
                <w:color w:val="auto"/>
              </w:rPr>
            </w:pPr>
          </w:p>
        </w:tc>
      </w:tr>
      <w:tr>
        <w:trPr>
          <w:trHeight w:val="216"/>
        </w:trPr>
        <w:tc>
          <w:tcPr>
            <w:tcW w:w="45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Personnel</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61,590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89,917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(28,327)</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Development costs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55,973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(8,421)</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Facilities and depreciation</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(2,590)</w:t>
            </w:r>
          </w:p>
        </w:tc>
      </w:tr>
      <w:tr>
        <w:trPr>
          <w:trHeight w:val="223"/>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7,021</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8,609</w:t>
            </w: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(1,588)</w:t>
            </w:r>
          </w:p>
        </w:tc>
      </w:tr>
      <w:tr>
        <w:trPr>
          <w:trHeight w:val="241"/>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3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147,327</w:t>
            </w:r>
          </w:p>
        </w:tc>
        <w:tc>
          <w:tcPr>
            <w:tcW w:w="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188,253</w:t>
            </w:r>
          </w:p>
        </w:tc>
        <w:tc>
          <w:tcPr>
            <w:tcW w:w="8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(40,926)</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Our research and development expenses included $70.1 million of internal expenses and $77.3 million of external expenses for the nine months ended September 30, 2024. Our research and development expenses included $94.4 million of internal expenses and $93.8 million of external expenses for the nine months ended September 30, 2023.</w:t>
      </w:r>
    </w:p>
    <w:p>
      <w:pPr>
        <w:spacing w:after="0" w:line="59" w:lineRule="exact"/>
        <w:rPr>
          <w:sz w:val="20"/>
          <w:szCs w:val="20"/>
          <w:color w:val="auto"/>
        </w:rPr>
      </w:pPr>
    </w:p>
    <w:p>
      <w:pPr>
        <w:ind w:right="140" w:firstLine="629"/>
        <w:spacing w:after="0" w:line="270" w:lineRule="auto"/>
        <w:rPr>
          <w:sz w:val="20"/>
          <w:szCs w:val="20"/>
          <w:color w:val="auto"/>
        </w:rPr>
      </w:pPr>
      <w:r>
        <w:rPr>
          <w:rFonts w:ascii="Times New Roman" w:cs="Times New Roman" w:eastAsia="Times New Roman" w:hAnsi="Times New Roman"/>
          <w:sz w:val="17"/>
          <w:szCs w:val="17"/>
          <w:color w:val="auto"/>
        </w:rPr>
        <w:t>Research and development expenses were $147.3 million and $188.3 million for the nine months ended September 30, 2024 and 2023, respectively. The decrease of $40.9 million was driven primarily by a decrease in personnel related costs of $28.3 million, including $10.2 million related to a decrease in stock-based compensation expense, external costs of $8.4 million relating to the advancement of our product candidates due to the timing of development activities and manufacturing runs, and facilities, depreciation, and other expense of $4.2 million.</w:t>
      </w: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123"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General and administrative expenses were $49.7 million and $54.4 million for the nine months ended September 30, 2024 and 2023, respectively. The decrease of $4.8 million was primarily due to a decrease in personnel related costs of $3.9 million, including $1.7 million related to a decrease in stock-based compensation expense.</w:t>
      </w: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w:t>
      </w:r>
    </w:p>
    <w:p>
      <w:pPr>
        <w:spacing w:after="0" w:line="123" w:lineRule="exact"/>
        <w:rPr>
          <w:sz w:val="20"/>
          <w:szCs w:val="20"/>
          <w:color w:val="auto"/>
        </w:rPr>
      </w:pPr>
    </w:p>
    <w:p>
      <w:pPr>
        <w:ind w:right="20" w:firstLine="629"/>
        <w:spacing w:after="0" w:line="276" w:lineRule="auto"/>
        <w:rPr>
          <w:sz w:val="20"/>
          <w:szCs w:val="20"/>
          <w:color w:val="auto"/>
        </w:rPr>
      </w:pPr>
      <w:r>
        <w:rPr>
          <w:rFonts w:ascii="Times New Roman" w:cs="Times New Roman" w:eastAsia="Times New Roman" w:hAnsi="Times New Roman"/>
          <w:sz w:val="17"/>
          <w:szCs w:val="17"/>
          <w:color w:val="auto"/>
        </w:rPr>
        <w:t>In June 2024, we recorded long-lived asset impairment charge of $5.0 million. In September 2024, we identified additional impairments as the carrying value of this to-be-sublet property asset group was not recoverable due to current market conditions. We revised the valuation of this asset group based on new market data. In September 30, 2024, we recorded an additional long-lived asset impairment charge of $1.2 million.</w:t>
      </w:r>
    </w:p>
    <w:p>
      <w:pPr>
        <w:spacing w:after="0" w:line="59"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Previously, in December 2023, we made a decision to sublease one of our other leased buildings in South San Francisco. In September 2024, we identified additional impairments as the carrying value of to-be-sublet property asset group was not recoverable due to current market conditions. We revised the valuations of this asset group based on a non-binding letter of intent with a potential subtenant for a portion of the building included in this asset group and based on new market data. In September, we recorded long-lived asset impairment charge of $9.5 million.</w:t>
      </w:r>
    </w:p>
    <w:p>
      <w:pPr>
        <w:spacing w:after="0" w:line="63" w:lineRule="exact"/>
        <w:rPr>
          <w:sz w:val="20"/>
          <w:szCs w:val="20"/>
          <w:color w:val="auto"/>
        </w:rPr>
      </w:pPr>
    </w:p>
    <w:p>
      <w:pPr>
        <w:ind w:right="320" w:firstLine="629"/>
        <w:spacing w:after="0" w:line="296" w:lineRule="auto"/>
        <w:rPr>
          <w:sz w:val="20"/>
          <w:szCs w:val="20"/>
          <w:color w:val="auto"/>
        </w:rPr>
      </w:pPr>
      <w:r>
        <w:rPr>
          <w:rFonts w:ascii="Times New Roman" w:cs="Times New Roman" w:eastAsia="Times New Roman" w:hAnsi="Times New Roman"/>
          <w:sz w:val="17"/>
          <w:szCs w:val="17"/>
          <w:color w:val="auto"/>
        </w:rPr>
        <w:t>During the nine months ended September 30, 2024, we recognized total impairment charge of $15.7 million. No such expense was recorded for the nine months ended September 30, 2023.</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Interest and Other Income, Net</w:t>
      </w:r>
    </w:p>
    <w:p>
      <w:pPr>
        <w:spacing w:after="0" w:line="123" w:lineRule="exact"/>
        <w:rPr>
          <w:sz w:val="20"/>
          <w:szCs w:val="20"/>
          <w:color w:val="auto"/>
        </w:rPr>
      </w:pPr>
    </w:p>
    <w:p>
      <w:pPr>
        <w:ind w:right="60" w:firstLine="629"/>
        <w:spacing w:after="0" w:line="296" w:lineRule="auto"/>
        <w:rPr>
          <w:sz w:val="20"/>
          <w:szCs w:val="20"/>
          <w:color w:val="auto"/>
        </w:rPr>
      </w:pPr>
      <w:r>
        <w:rPr>
          <w:rFonts w:ascii="Times New Roman" w:cs="Times New Roman" w:eastAsia="Times New Roman" w:hAnsi="Times New Roman"/>
          <w:sz w:val="17"/>
          <w:szCs w:val="17"/>
          <w:color w:val="auto"/>
        </w:rPr>
        <w:t>Interest and other income, net was $17.1 million and $12.0 million for the nine months ended September 30, 2024 and 2023, respectively. The increase of $5.1 million was primarily due to higher yields and a corresponding increase in the interest earned on our cash, cash equivalents and investments.</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23" w:lineRule="exact"/>
        <w:rPr>
          <w:sz w:val="20"/>
          <w:szCs w:val="20"/>
          <w:color w:val="auto"/>
        </w:rPr>
      </w:pPr>
    </w:p>
    <w:p>
      <w:pPr>
        <w:ind w:right="500" w:firstLine="629"/>
        <w:spacing w:after="0" w:line="296" w:lineRule="auto"/>
        <w:rPr>
          <w:sz w:val="20"/>
          <w:szCs w:val="20"/>
          <w:color w:val="auto"/>
        </w:rPr>
      </w:pPr>
      <w:r>
        <w:rPr>
          <w:rFonts w:ascii="Times New Roman" w:cs="Times New Roman" w:eastAsia="Times New Roman" w:hAnsi="Times New Roman"/>
          <w:sz w:val="17"/>
          <w:szCs w:val="17"/>
          <w:color w:val="auto"/>
        </w:rPr>
        <w:t>Interest expense was related to the CIRM award proceeds received for the nine months ended September 30, 2024. No such interest expense was recorded for the nine months ended September 30, 2023.</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Other Income and Expense, Net</w:t>
      </w:r>
    </w:p>
    <w:p>
      <w:pPr>
        <w:spacing w:after="0" w:line="123" w:lineRule="exact"/>
        <w:rPr>
          <w:sz w:val="20"/>
          <w:szCs w:val="20"/>
          <w:color w:val="auto"/>
        </w:rPr>
      </w:pPr>
    </w:p>
    <w:p>
      <w:pPr>
        <w:jc w:val="both"/>
        <w:ind w:right="220" w:firstLine="629"/>
        <w:spacing w:after="0" w:line="276" w:lineRule="auto"/>
        <w:rPr>
          <w:sz w:val="20"/>
          <w:szCs w:val="20"/>
          <w:color w:val="auto"/>
        </w:rPr>
      </w:pPr>
      <w:r>
        <w:rPr>
          <w:rFonts w:ascii="Times New Roman" w:cs="Times New Roman" w:eastAsia="Times New Roman" w:hAnsi="Times New Roman"/>
          <w:sz w:val="17"/>
          <w:szCs w:val="17"/>
          <w:color w:val="auto"/>
        </w:rPr>
        <w:t>Other expense, net was $2.0 million and $10.9 million for the nine months ended September 30, 2024 and 2023, respectively. The decrease in other expense of $8.9 million was primarily due to a decrease in the share of net losses in our equity method investments and impairment charge of $3.0 million for our equity method investments during the nine months ended September 30, 2023.</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21" w:lineRule="exact"/>
        <w:rPr>
          <w:sz w:val="20"/>
          <w:szCs w:val="20"/>
          <w:color w:val="auto"/>
        </w:rPr>
      </w:pPr>
    </w:p>
    <w:p>
      <w:pPr>
        <w:ind w:right="40" w:firstLine="629"/>
        <w:spacing w:after="0" w:line="276" w:lineRule="auto"/>
        <w:rPr>
          <w:sz w:val="20"/>
          <w:szCs w:val="20"/>
          <w:color w:val="auto"/>
        </w:rPr>
      </w:pPr>
      <w:r>
        <w:rPr>
          <w:rFonts w:ascii="Times New Roman" w:cs="Times New Roman" w:eastAsia="Times New Roman" w:hAnsi="Times New Roman"/>
          <w:sz w:val="17"/>
          <w:szCs w:val="17"/>
          <w:color w:val="auto"/>
        </w:rPr>
        <w:t>To date, we have incurred significant net losses and negative cash flows from operations. As of September 30, 2024, we had $403.4 million in cash and cash equivalents and investments. We anticipate that the aggregate of our current cash and cash equivalents and investments available for operations will be sufficient to fund our operations for at least the next 12 months from the date this Quarterly Report is filed with the SEC.</w:t>
      </w:r>
    </w:p>
    <w:p>
      <w:pPr>
        <w:spacing w:after="0" w:line="59" w:lineRule="exact"/>
        <w:rPr>
          <w:sz w:val="20"/>
          <w:szCs w:val="20"/>
          <w:color w:val="auto"/>
        </w:rPr>
      </w:pPr>
    </w:p>
    <w:p>
      <w:pPr>
        <w:ind w:right="20" w:firstLine="629"/>
        <w:spacing w:after="0" w:line="262" w:lineRule="auto"/>
        <w:rPr>
          <w:sz w:val="20"/>
          <w:szCs w:val="20"/>
          <w:color w:val="auto"/>
        </w:rPr>
      </w:pPr>
      <w:r>
        <w:rPr>
          <w:rFonts w:ascii="Times New Roman" w:cs="Times New Roman" w:eastAsia="Times New Roman" w:hAnsi="Times New Roman"/>
          <w:sz w:val="17"/>
          <w:szCs w:val="17"/>
          <w:color w:val="auto"/>
        </w:rPr>
        <w:t>Our operations have been financed primarily by net proceeds from the sale and issuance of our convertible preferred stock, the issuance of convertible promissory notes, net proceeds from our IPO, our at-the-market (ATM) offerings, our June 2020 underwritten public offering, our May 2024 registered offering, and an upfront cash payment of $40.0 million received in December 2020 pursuant to our License Agreement with Allogene Overland PRC. In November 2019, we entered into a sales agreement with Cowen and Company, LLC (Cowen), as amended on November 2, 2022 and November 2, 2023, under which we may from time to time issue and sell shares of our common stock through Cowen in ATM offerings. During the nine months ended September 30, 2024, we sold an aggregate of 250,000 shares of our common stock in ATM offerings resulting in net proceeds of $1.0 million. The specified dollar limit on the amount of common stock that may be sold under the sales agreement was removed pursuant to the November 2, 2023 amendment to the sales agreement. In May 2024, we completed an underwritten offering pursuant to which we issued and sold 37,931,035 shares of our common stock. We received net proceeds of $105.2 million, after deducting underwriting discounts and commissions and offering expenses payable by us.</w:t>
      </w:r>
    </w:p>
    <w:p>
      <w:pPr>
        <w:spacing w:after="0" w:line="2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indicated:</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7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7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7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r>
      <w:tr>
        <w:trPr>
          <w:trHeight w:val="229"/>
        </w:trPr>
        <w:tc>
          <w:tcPr>
            <w:tcW w:w="7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cash (used in) provided by:</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3"/>
        </w:trPr>
        <w:tc>
          <w:tcPr>
            <w:tcW w:w="78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activities</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(163,602)</w:t>
            </w:r>
          </w:p>
        </w:tc>
        <w:tc>
          <w:tcPr>
            <w:tcW w:w="100" w:type="dxa"/>
            <w:vAlign w:val="bottom"/>
          </w:tcPr>
          <w:p>
            <w:pPr>
              <w:spacing w:after="0"/>
              <w:rPr>
                <w:sz w:val="19"/>
                <w:szCs w:val="19"/>
                <w:color w:val="auto"/>
              </w:rPr>
            </w:pP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(184,026)</w:t>
            </w:r>
          </w:p>
        </w:tc>
      </w:tr>
      <w:tr>
        <w:trPr>
          <w:trHeight w:val="223"/>
        </w:trPr>
        <w:tc>
          <w:tcPr>
            <w:tcW w:w="78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Investing activities</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20,754</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95,828</w:t>
            </w:r>
          </w:p>
        </w:tc>
      </w:tr>
      <w:tr>
        <w:trPr>
          <w:trHeight w:val="223"/>
        </w:trPr>
        <w:tc>
          <w:tcPr>
            <w:tcW w:w="784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7"/>
                <w:szCs w:val="17"/>
                <w:color w:val="auto"/>
              </w:rPr>
              <w:t>Financing activities</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110,932</w:t>
            </w: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95,540</w:t>
            </w:r>
          </w:p>
        </w:tc>
      </w:tr>
      <w:tr>
        <w:trPr>
          <w:trHeight w:val="241"/>
        </w:trPr>
        <w:tc>
          <w:tcPr>
            <w:tcW w:w="7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 and restricted cash</w:t>
            </w:r>
          </w:p>
        </w:tc>
        <w:tc>
          <w:tcPr>
            <w:tcW w:w="2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(31,916)</w:t>
            </w:r>
          </w:p>
        </w:tc>
        <w:tc>
          <w:tcPr>
            <w:tcW w:w="1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7,342</w:t>
            </w:r>
          </w:p>
        </w:tc>
      </w:tr>
      <w:tr>
        <w:trPr>
          <w:trHeight w:val="20"/>
        </w:trPr>
        <w:tc>
          <w:tcPr>
            <w:tcW w:w="78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11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920" w:type="dxa"/>
            <w:vAlign w:val="bottom"/>
            <w:tcBorders>
              <w:top w:val="single" w:sz="8" w:color="CFF0FC"/>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23"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During the nine months ended September 30, 2024, cash used in operating activities of $163.6 million was attributable to a net loss of $197.7 million and a decrease of $30.1 million in our net operating assets and liabilities, partially offset by non-cash charges of $64.1 million. The non-cash charges consisted primarily of stock-based compensation expense of $38.9 million, impairment of long-lived assets of 15.7 million, depreciation of $10.4 million, non-cash rent expense of $4.1 million, and our share of equity investments’ net losses for the period of $1.7 million, partially offset by net amortization and accretion on investment securities of $6.7 million. The change in operating assets and liabilities was primarily due to deposit placed in escrow related to the Servier Amendment of $22.3 million, decrease in operating lease liabilities of $4.5 million, decrease in accrued and other current liabilities of $4.1 million, increase in prepaid expenses and other current assets of $2.3 million, and decrease in accounts payable of $0.5 million, partially offset by decrease in other long-term assets of $3.6 million.</w:t>
      </w:r>
    </w:p>
    <w:p>
      <w:pPr>
        <w:spacing w:after="0" w:line="400" w:lineRule="exact"/>
        <w:rPr>
          <w:sz w:val="20"/>
          <w:szCs w:val="20"/>
          <w:color w:val="auto"/>
        </w:rPr>
      </w:pPr>
    </w:p>
    <w:p>
      <w:pPr>
        <w:ind w:right="120" w:firstLine="629"/>
        <w:spacing w:after="0" w:line="242" w:lineRule="auto"/>
        <w:rPr>
          <w:sz w:val="20"/>
          <w:szCs w:val="20"/>
          <w:color w:val="auto"/>
        </w:rPr>
      </w:pPr>
      <w:r>
        <w:rPr>
          <w:rFonts w:ascii="Times New Roman" w:cs="Times New Roman" w:eastAsia="Times New Roman" w:hAnsi="Times New Roman"/>
          <w:sz w:val="17"/>
          <w:szCs w:val="17"/>
          <w:color w:val="auto"/>
        </w:rPr>
        <w:t>During the nine months ended September 30, 2023, cash used in operating activities of $184.0 million was attributable to a net loss of $241.5 million and a decrease of $16.2 million in our net operating assets and liabilities, partially offset by non-cash charges of $73.7 million. The non-cash charges consisted primarily of stock-based compensation expense of $50.7 million, depreciation of $10.7 million, our share of equity investments' net losses for the period of $7.9 million, non-cash rent expense of $4.9 million, and impairment of equity method investment of $3.0 million, partially offset by net amortization and accretion on investment securities of $3.5 million. The change in operating assets and liabilities was primarily due to decrease in accounts payable of</w:t>
      </w:r>
    </w:p>
    <w:p>
      <w:pPr>
        <w:spacing w:after="0" w:line="4"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17"/>
          <w:szCs w:val="17"/>
          <w:color w:val="auto"/>
        </w:rPr>
        <w:t>$7.2 million, decrease in accrued and other current liabilities of $7.1 million, decrease in operating lease liabilities of $4.4 million, decrease in other long-term liabilities of $0.6 million, and increase in other long-term asset of $0.4 million, partially offset by decrease in prepaid expenses and other current assets of $3.6 million.</w:t>
      </w:r>
    </w:p>
    <w:p>
      <w:pPr>
        <w:spacing w:after="0" w:line="2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23" w:lineRule="exact"/>
        <w:rPr>
          <w:sz w:val="20"/>
          <w:szCs w:val="20"/>
          <w:color w:val="auto"/>
        </w:rPr>
      </w:pPr>
    </w:p>
    <w:p>
      <w:pPr>
        <w:ind w:right="240" w:firstLine="629"/>
        <w:spacing w:after="0" w:line="276" w:lineRule="auto"/>
        <w:rPr>
          <w:sz w:val="20"/>
          <w:szCs w:val="20"/>
          <w:color w:val="auto"/>
        </w:rPr>
      </w:pPr>
      <w:r>
        <w:rPr>
          <w:rFonts w:ascii="Times New Roman" w:cs="Times New Roman" w:eastAsia="Times New Roman" w:hAnsi="Times New Roman"/>
          <w:sz w:val="17"/>
          <w:szCs w:val="17"/>
          <w:color w:val="auto"/>
        </w:rPr>
        <w:t>During the nine months ended September 30, 2024, net cash provided by investing activities of $20.8 million was related to cash provided by investment maturities of $330.3 million and cash provided by investment sales of $5.4 million, partially offset by cash used in the purchase of investments of $314.5 million.</w:t>
      </w:r>
    </w:p>
    <w:p>
      <w:pPr>
        <w:spacing w:after="0" w:line="164" w:lineRule="exact"/>
        <w:rPr>
          <w:sz w:val="20"/>
          <w:szCs w:val="20"/>
          <w:color w:val="auto"/>
        </w:rPr>
      </w:pPr>
    </w:p>
    <w:p>
      <w:pPr>
        <w:ind w:right="420" w:firstLine="629"/>
        <w:spacing w:after="0" w:line="276" w:lineRule="auto"/>
        <w:rPr>
          <w:sz w:val="20"/>
          <w:szCs w:val="20"/>
          <w:color w:val="auto"/>
        </w:rPr>
      </w:pPr>
      <w:r>
        <w:rPr>
          <w:rFonts w:ascii="Times New Roman" w:cs="Times New Roman" w:eastAsia="Times New Roman" w:hAnsi="Times New Roman"/>
          <w:sz w:val="17"/>
          <w:szCs w:val="17"/>
          <w:color w:val="auto"/>
        </w:rPr>
        <w:t>During the nine months ended September 30, 2023, net cash provided by investing activities of $95.8 million was related to cash provided by investment maturities of $461.5 million and cash provided by investment sales of $5.6 million, partially offset by cash used in purchases of investments of $369.9 million and cash used in the purchase of property and equipment of $1.3 million.</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23"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During the nine months ended September 30, 2024, cash provided by financing activities of $110.9 million was related to $105.3 million in net proceeds from the issuance of common stock through our May 2024 registered offering, $2.3 million of cash provided from the CIRM award, $1.5 million of cash provided by the sale of common stock through our employee stock purchase plan, $1.0 million of net proceeds from the issuance of common stock through ATM transactions, and $0.8 million of cash provided by the issuance of common stock upon exercise of stock options.</w:t>
      </w:r>
    </w:p>
    <w:p>
      <w:pPr>
        <w:spacing w:after="0" w:line="63"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During the nine months ended September 30, 2023, cash provided by financing activities of $95.5 million was related to $91.1 million in net proceeds from the issuance of common stock through ATM transactions, $2.5 million of cash provided by the sale of common stock through our employee stock purchase plan, and $1.9 million of cash provided by the issuance of common stock upon exercise of stock options.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Cash Commitments and Requirements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60" w:firstLine="629"/>
        <w:spacing w:after="0" w:line="270" w:lineRule="auto"/>
        <w:rPr>
          <w:sz w:val="20"/>
          <w:szCs w:val="20"/>
          <w:color w:val="auto"/>
        </w:rPr>
      </w:pPr>
      <w:r>
        <w:rPr>
          <w:rFonts w:ascii="Times New Roman" w:cs="Times New Roman" w:eastAsia="Times New Roman" w:hAnsi="Times New Roman"/>
          <w:sz w:val="17"/>
          <w:szCs w:val="17"/>
          <w:color w:val="auto"/>
        </w:rPr>
        <w:t>Our primary use of cash is for operating expenses, which consist primarily of clinical manufacturing and research and development expenditures related to our lead product candidates, other research efforts, and to a lesser extent, general and administrative expenditures. Cash used to fund operating expenses is impacted by the timing of when we pay these expenses, as reflected in the change in our outstanding accounts payable and accrued expenses and other current liabilities.</w:t>
      </w:r>
    </w:p>
    <w:p>
      <w:pPr>
        <w:spacing w:after="0" w:line="63" w:lineRule="exact"/>
        <w:rPr>
          <w:sz w:val="20"/>
          <w:szCs w:val="20"/>
          <w:color w:val="auto"/>
        </w:rPr>
      </w:pPr>
    </w:p>
    <w:p>
      <w:pPr>
        <w:ind w:right="120" w:firstLine="629"/>
        <w:spacing w:after="0" w:line="262" w:lineRule="auto"/>
        <w:rPr>
          <w:sz w:val="20"/>
          <w:szCs w:val="20"/>
          <w:color w:val="auto"/>
        </w:rPr>
      </w:pPr>
      <w:r>
        <w:rPr>
          <w:rFonts w:ascii="Times New Roman" w:cs="Times New Roman" w:eastAsia="Times New Roman" w:hAnsi="Times New Roman"/>
          <w:sz w:val="17"/>
          <w:szCs w:val="17"/>
          <w:color w:val="auto"/>
        </w:rPr>
        <w:t>Our product candidates are still in the early stages of clinical and preclinical development and the outcome of these efforts is uncertain. Accordingly, we cannot estimate the actual amounts necessary to successfully complete the development and commercialization of our product candidates or whether, or when, we may achieve profitability. Until such time, if ever, as we can generate substantial product revenue, we expect to finance our cash needs through a combination of equity or debt financings and collaboration and license arrangements. If, and when,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raise capital when needed, we will need to delay, reduce or terminate planned activities to reduce costs. Doing so will likely harm our ability to execute our business plans.</w:t>
      </w:r>
    </w:p>
    <w:p>
      <w:pPr>
        <w:spacing w:after="0" w:line="284" w:lineRule="exact"/>
        <w:rPr>
          <w:sz w:val="20"/>
          <w:szCs w:val="20"/>
          <w:color w:val="auto"/>
        </w:rPr>
      </w:pPr>
    </w:p>
    <w:p>
      <w:pPr>
        <w:ind w:right="20" w:firstLine="629"/>
        <w:spacing w:after="0" w:line="264" w:lineRule="auto"/>
        <w:rPr>
          <w:sz w:val="20"/>
          <w:szCs w:val="20"/>
          <w:color w:val="auto"/>
        </w:rPr>
      </w:pPr>
      <w:r>
        <w:rPr>
          <w:rFonts w:ascii="Times New Roman" w:cs="Times New Roman" w:eastAsia="Times New Roman" w:hAnsi="Times New Roman"/>
          <w:sz w:val="17"/>
          <w:szCs w:val="17"/>
          <w:color w:val="auto"/>
        </w:rPr>
        <w:t>Our commitments primarily consist of obligations under our agreements with Pfizer, Cellectis, Servier, Notch and Foresight. Under these agreements we are required to make milestone payments upon successful completion of certain regulatory and sales milestones on a target-by-target and country-by-country basis. The payment obligations under the license agreements are contingent upon future events such as our achievement of specified development, regulatory and commercial milestones and we will be required to make development milestone payments and royalty payments in connection with the sale of products developed under these agreements. As of September 30, 2024, we were unable to estimate the timing or likelihood of achieving the milestones or making future product sales. For additional information regarding our agreements, see Note 6 to our condensed consolidated financial statements included elsewhere in this report.</w:t>
      </w:r>
    </w:p>
    <w:p>
      <w:pPr>
        <w:spacing w:after="0" w:line="282" w:lineRule="exact"/>
        <w:rPr>
          <w:sz w:val="20"/>
          <w:szCs w:val="20"/>
          <w:color w:val="auto"/>
        </w:rPr>
      </w:pPr>
    </w:p>
    <w:p>
      <w:pPr>
        <w:ind w:right="40" w:firstLine="629"/>
        <w:spacing w:after="0" w:line="276" w:lineRule="auto"/>
        <w:rPr>
          <w:sz w:val="20"/>
          <w:szCs w:val="20"/>
          <w:color w:val="auto"/>
        </w:rPr>
      </w:pPr>
      <w:r>
        <w:rPr>
          <w:rFonts w:ascii="Times New Roman" w:cs="Times New Roman" w:eastAsia="Times New Roman" w:hAnsi="Times New Roman"/>
          <w:sz w:val="17"/>
          <w:szCs w:val="17"/>
          <w:color w:val="auto"/>
        </w:rPr>
        <w:t>Our operating lease obligations primarily consist of lease payments on our research, lab and office facilities in South San Francisco, California, as well as lease payments on our cell manufacturing facility in Newark, California. For additional information regarding our lease obligations, see Note 7 to our condensed consolidated financial statements included elsewhere in this report.</w:t>
      </w:r>
    </w:p>
    <w:p>
      <w:pPr>
        <w:spacing w:after="0" w:line="59" w:lineRule="exact"/>
        <w:rPr>
          <w:sz w:val="20"/>
          <w:szCs w:val="20"/>
          <w:color w:val="auto"/>
        </w:rPr>
      </w:pPr>
    </w:p>
    <w:p>
      <w:pPr>
        <w:ind w:right="60" w:firstLine="629"/>
        <w:spacing w:after="0" w:line="267" w:lineRule="auto"/>
        <w:rPr>
          <w:sz w:val="20"/>
          <w:szCs w:val="20"/>
          <w:color w:val="auto"/>
        </w:rPr>
      </w:pPr>
      <w:r>
        <w:rPr>
          <w:rFonts w:ascii="Times New Roman" w:cs="Times New Roman" w:eastAsia="Times New Roman" w:hAnsi="Times New Roman"/>
          <w:sz w:val="17"/>
          <w:szCs w:val="17"/>
          <w:color w:val="auto"/>
        </w:rPr>
        <w:t>Additionally, we have entered into agreements with third-party contract manufacturers for the manufacture and processing of certain of our product candidates and core reagents for clinical testing purposes, and we have entered and will enter into other contracts in the normal course of business with contract research organizations for clinical trials and other vendors for other services and products for operating purposes. These agreements generally provide for termination or cancellation, other than for costs already incurred. As of September 30, 2024, the Company had non-cancellable purchase commitments of $2.3 million.</w:t>
      </w:r>
    </w:p>
    <w:p>
      <w:pPr>
        <w:spacing w:after="0" w:line="65" w:lineRule="exact"/>
        <w:rPr>
          <w:sz w:val="20"/>
          <w:szCs w:val="20"/>
          <w:color w:val="auto"/>
        </w:rPr>
      </w:pPr>
    </w:p>
    <w:p>
      <w:pPr>
        <w:ind w:right="20" w:firstLine="629"/>
        <w:spacing w:after="0" w:line="261" w:lineRule="auto"/>
        <w:rPr>
          <w:sz w:val="20"/>
          <w:szCs w:val="20"/>
          <w:color w:val="auto"/>
        </w:rPr>
      </w:pPr>
      <w:r>
        <w:rPr>
          <w:rFonts w:ascii="Times New Roman" w:cs="Times New Roman" w:eastAsia="Times New Roman" w:hAnsi="Times New Roman"/>
          <w:sz w:val="17"/>
          <w:szCs w:val="17"/>
          <w:color w:val="auto"/>
        </w:rPr>
        <w:t>On October 6, 2020, we announced we entered into a strategic five-year collaboration agreement with MD Anderson for the preclinical and clinical investigation of allogeneic CAR T cell product candidates. We and MD Anderson are collaborating on the design and conduct of preclinical and clinical studies with oversight from a joint steering committee. Under the terms of the agreement, we have committed up to $15.0 million of funding for the duration of the agreement. Payment of this funding is contingent on mutual agreement to study orders in order for any study to be included under the alliance. We made an advance payment of $3.0 million to MD Anderson in the year ended December 31, 2020 and made an additional advance payment of $3.0 million to MD Anderson in October 2023. We are obligated to make further payments to MD Anderson each year upon the anniversary of the agreement effective date through the duration of the agreement term. The agreement may be terminated by either party for material breach by the other party. Individual studies may be terminated for, among other things, material breach, health and safety concerns or where the institutional review board, the review board at the clinical site with oversight of the clinical study, requests termination of any study. Where any legal or regulatory authorization is finally withdrawn or terminated, the relevant study will also terminate automatically.</w:t>
      </w:r>
    </w:p>
    <w:p>
      <w:pPr>
        <w:spacing w:after="0" w:line="75"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In July 2020, we entered into a Solar Power Purchase and Energy Services Agreement for the installation and operation of a solar photovoltaic generating system and battery energy storage system at our manufacturing facility in Newark, California. The agreement has a term of 20 years and commenced in September 2022. We are obligated to pay for electricity generated from the system at an agreed rate for the duration of the agreement term. Termination of the agreement by us will result in a termination payment due of approximately $4.3 million. In connection with the agreement, we maintain a letter of credit for the benefit of the service provider in the amount of $4.3 million.</w:t>
      </w:r>
    </w:p>
    <w:p>
      <w:pPr>
        <w:spacing w:after="0" w:line="65" w:lineRule="exact"/>
        <w:rPr>
          <w:sz w:val="20"/>
          <w:szCs w:val="20"/>
          <w:color w:val="auto"/>
        </w:rPr>
      </w:pPr>
    </w:p>
    <w:p>
      <w:pPr>
        <w:ind w:right="480" w:firstLine="629"/>
        <w:spacing w:after="0" w:line="296" w:lineRule="auto"/>
        <w:rPr>
          <w:sz w:val="20"/>
          <w:szCs w:val="20"/>
          <w:color w:val="auto"/>
        </w:rPr>
      </w:pPr>
      <w:r>
        <w:rPr>
          <w:rFonts w:ascii="Times New Roman" w:cs="Times New Roman" w:eastAsia="Times New Roman" w:hAnsi="Times New Roman"/>
          <w:sz w:val="17"/>
          <w:szCs w:val="17"/>
          <w:color w:val="auto"/>
        </w:rPr>
        <w:t>We also have a Change in Control and Severance Plan that requires the funding of specific payments, if certain events occur, such as a change of control and the termination of employment without cause.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firstLine="629"/>
        <w:spacing w:after="0" w:line="263"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is based on our condensed consolidated financial statements, which have been prepared in accordance with United States generally accepted accounting principles.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7" w:lineRule="exact"/>
        <w:rPr>
          <w:sz w:val="20"/>
          <w:szCs w:val="20"/>
          <w:color w:val="auto"/>
        </w:rPr>
      </w:pPr>
    </w:p>
    <w:p>
      <w:pPr>
        <w:ind w:right="160" w:firstLine="629"/>
        <w:spacing w:after="0" w:line="276" w:lineRule="auto"/>
        <w:rPr>
          <w:sz w:val="20"/>
          <w:szCs w:val="20"/>
          <w:color w:val="auto"/>
        </w:rPr>
      </w:pPr>
      <w:r>
        <w:rPr>
          <w:rFonts w:ascii="Times New Roman" w:cs="Times New Roman" w:eastAsia="Times New Roman" w:hAnsi="Times New Roman"/>
          <w:sz w:val="17"/>
          <w:szCs w:val="17"/>
          <w:color w:val="auto"/>
        </w:rPr>
        <w:t>We believe that the assumptions and estimates associated with accrued research and development expenditures, stock-based compensation and leases have the most significant impact on our condensed consolidated financial statements. Therefore, we consider these to be our critical accounting policies and estimates.</w:t>
      </w:r>
    </w:p>
    <w:p>
      <w:pPr>
        <w:spacing w:after="0" w:line="164" w:lineRule="exact"/>
        <w:rPr>
          <w:sz w:val="20"/>
          <w:szCs w:val="20"/>
          <w:color w:val="auto"/>
        </w:rPr>
      </w:pPr>
    </w:p>
    <w:p>
      <w:pPr>
        <w:ind w:right="180" w:firstLine="629"/>
        <w:spacing w:after="0" w:line="296" w:lineRule="auto"/>
        <w:rPr>
          <w:sz w:val="20"/>
          <w:szCs w:val="20"/>
          <w:color w:val="auto"/>
        </w:rPr>
      </w:pPr>
      <w:r>
        <w:rPr>
          <w:rFonts w:ascii="Times New Roman" w:cs="Times New Roman" w:eastAsia="Times New Roman" w:hAnsi="Times New Roman"/>
          <w:sz w:val="17"/>
          <w:szCs w:val="17"/>
          <w:color w:val="auto"/>
        </w:rPr>
        <w:t>There have been no significant changes in our critical accounting policies and estimates as compared to the critical accounting policies and estimates disclosed in the section titled “Management’s Discussion and Analysis of Financial Condition and Results of Operations” included in our Annual Report.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21" w:lineRule="exact"/>
        <w:rPr>
          <w:sz w:val="20"/>
          <w:szCs w:val="20"/>
          <w:color w:val="auto"/>
        </w:rPr>
      </w:pPr>
    </w:p>
    <w:p>
      <w:pPr>
        <w:ind w:right="520" w:firstLine="629"/>
        <w:spacing w:after="0" w:line="296" w:lineRule="auto"/>
        <w:rPr>
          <w:sz w:val="20"/>
          <w:szCs w:val="20"/>
          <w:color w:val="auto"/>
        </w:rPr>
      </w:pPr>
      <w:r>
        <w:rPr>
          <w:rFonts w:ascii="Times New Roman" w:cs="Times New Roman" w:eastAsia="Times New Roman" w:hAnsi="Times New Roman"/>
          <w:sz w:val="17"/>
          <w:szCs w:val="17"/>
          <w:color w:val="auto"/>
        </w:rPr>
        <w:t>There have been no new accounting pronouncements issued or effective that are expected to have a material impact on our unaudited condensed consolidated financial statements.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 are exposed to market risks in the ordinary course of our business. These risks primarily relate to interest rate fluctuations.</w:t>
      </w:r>
    </w:p>
    <w:p>
      <w:pPr>
        <w:spacing w:after="0" w:line="3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23" w:lineRule="exact"/>
        <w:rPr>
          <w:sz w:val="20"/>
          <w:szCs w:val="20"/>
          <w:color w:val="auto"/>
        </w:rPr>
      </w:pPr>
    </w:p>
    <w:p>
      <w:pPr>
        <w:ind w:right="140" w:firstLine="629"/>
        <w:spacing w:after="0" w:line="270" w:lineRule="auto"/>
        <w:rPr>
          <w:sz w:val="20"/>
          <w:szCs w:val="20"/>
          <w:color w:val="auto"/>
        </w:rPr>
      </w:pPr>
      <w:r>
        <w:rPr>
          <w:rFonts w:ascii="Times New Roman" w:cs="Times New Roman" w:eastAsia="Times New Roman" w:hAnsi="Times New Roman"/>
          <w:sz w:val="17"/>
          <w:szCs w:val="17"/>
          <w:color w:val="auto"/>
        </w:rPr>
        <w:t>Our cash and cash equivalents and investments of $403.4 million as of September 30, 2024 consist of bank deposits, money market funds and available-for-sale securities. Such interest-earning instruments carry a degree of interest rate risk; however, historical fluctuations in interest income have not been significant for us. A 10% change in the interest rates in effect on September 30, 2024 would not have had a material effect on the fair market value of our cash equivalents and available-for-sale securities.</w:t>
      </w: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Foreign Exchange Rate Risk</w:t>
      </w:r>
    </w:p>
    <w:p>
      <w:pPr>
        <w:spacing w:after="0" w:line="123"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Our collaboration agreement with Servier requires milestone payments upon successful completion of certain regulatory milestones on a target-by-target basis to be paid in Euros, and thus we face foreign exchange risk as a result of entering into transactions denominated in currencies other than U.S. dollars. Due to the uncertain timing of expected payments in foreign currencies, we do not utilize any forward exchange contracts. All foreign transactions settle on the applicable spot exchange basis at the time such payments are made. An adverse movement in foreign exchange rates could have an effect on payments due and made to our collaboration partner as well as other foreign suppliers and for license agreements. A 10% change in the applicable foreign exchange rates during the periods presented would not have had a material effect on our condensed consolidated financial statements. As of September 30, 2024, we had $22.3 million of deposit placed in escrow and zero current liabilities denominated in foreign currency.</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21"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As of September 30, 2024, management, with the participation of our Chief Executive Officer and Chief Financial Officer, performed an evaluation of the effectiveness of the design and operation of our disclosure controls and procedures as defined in Rules 13a-15(e) and 15d-15(e) of the Securities Exchange Act of 1934, as amended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282" w:lineRule="exact"/>
        <w:rPr>
          <w:sz w:val="20"/>
          <w:szCs w:val="20"/>
          <w:color w:val="auto"/>
        </w:rPr>
      </w:pPr>
    </w:p>
    <w:p>
      <w:pPr>
        <w:ind w:right="100" w:firstLine="629"/>
        <w:spacing w:after="0" w:line="296" w:lineRule="auto"/>
        <w:rPr>
          <w:sz w:val="20"/>
          <w:szCs w:val="20"/>
          <w:color w:val="auto"/>
        </w:rPr>
      </w:pPr>
      <w:r>
        <w:rPr>
          <w:rFonts w:ascii="Times New Roman" w:cs="Times New Roman" w:eastAsia="Times New Roman" w:hAnsi="Times New Roman"/>
          <w:sz w:val="17"/>
          <w:szCs w:val="17"/>
          <w:color w:val="auto"/>
        </w:rPr>
        <w:t>Based on this evaluation, and as a result of the material weakness described below, our Chief Executive Officer and Chief Financial Officer concluded that, as of September 30, 2024, our disclosure controls and procedures were not effective at a reasonable assurance level.</w:t>
      </w:r>
    </w:p>
    <w:p>
      <w:pPr>
        <w:spacing w:after="0" w:line="42" w:lineRule="exact"/>
        <w:rPr>
          <w:sz w:val="20"/>
          <w:szCs w:val="20"/>
          <w:color w:val="auto"/>
        </w:rPr>
      </w:pPr>
    </w:p>
    <w:p>
      <w:pPr>
        <w:ind w:right="100" w:firstLine="629"/>
        <w:spacing w:after="0" w:line="267" w:lineRule="auto"/>
        <w:rPr>
          <w:sz w:val="20"/>
          <w:szCs w:val="20"/>
          <w:color w:val="auto"/>
        </w:rPr>
      </w:pPr>
      <w:r>
        <w:rPr>
          <w:rFonts w:ascii="Times New Roman" w:cs="Times New Roman" w:eastAsia="Times New Roman" w:hAnsi="Times New Roman"/>
          <w:sz w:val="17"/>
          <w:szCs w:val="17"/>
          <w:color w:val="auto"/>
        </w:rPr>
        <w:t>As described in Company’s Annual Report filed with the SEC on March 14, 2024, we re-evaluated our prior accounting for shares received in the License Agreement and Share Purchase Agreement entered into on December 14, 2020, with Allogene Overland. Upon reassessment, we determined that the 49% of Allogene Overland’s Seed Preferred Shares received as a partial consideration for the License Agreement should be initially measured at fair value. We identified a material weakness in the operation of internal controls over financial reporting with respect to the technical accounting analysis of significant non-routine transactions.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Status of Remediation of Material Weakness</w:t>
      </w:r>
    </w:p>
    <w:p>
      <w:pPr>
        <w:spacing w:after="0" w:line="252"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To remediate this material weakness, during the three months ended September 30, 2024, we continued to improve the operation of our controls over financial reporting with respect to the technical accounting analysis of significant non-routine transactions, which includes engaging third-party subject matter experts with significant relevant experience. While we believe that these efforts will improve our internal control over financial reporting, the implementation of our remediation is ongoing and we will not consider the material weakness remediated until our controls are operational for a sufficient period of time and tested, enabling management to conclude that the controls are operating effectively.</w:t>
      </w:r>
    </w:p>
    <w:p>
      <w:pPr>
        <w:spacing w:after="0" w:line="196" w:lineRule="exact"/>
        <w:rPr>
          <w:sz w:val="20"/>
          <w:szCs w:val="20"/>
          <w:color w:val="auto"/>
        </w:rPr>
      </w:pPr>
    </w:p>
    <w:p>
      <w:pPr>
        <w:ind w:right="320" w:firstLine="629"/>
        <w:spacing w:after="0" w:line="267" w:lineRule="auto"/>
        <w:rPr>
          <w:sz w:val="20"/>
          <w:szCs w:val="20"/>
          <w:color w:val="auto"/>
        </w:rPr>
      </w:pPr>
      <w:r>
        <w:rPr>
          <w:rFonts w:ascii="Times New Roman" w:cs="Times New Roman" w:eastAsia="Times New Roman" w:hAnsi="Times New Roman"/>
          <w:sz w:val="17"/>
          <w:szCs w:val="17"/>
          <w:color w:val="auto"/>
        </w:rPr>
        <w:t>While the foregoing measures are intended to effectively remediate the material weakness described in this Item 4, it is possible that additional remediation steps will be necessary. As such, as we continue to evaluate and implement our plan to remediate the material weakness, our management may decide to take additional measures to address the material weakness or modify the remediation steps described above. Until this material weakness is remediated, we plan to continue to perform additional analyses and other procedures to help ensure that our condensed consolidated financial statements are prepared in accordance with GAAP.</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08" w:lineRule="exact"/>
        <w:rPr>
          <w:sz w:val="20"/>
          <w:szCs w:val="20"/>
          <w:color w:val="auto"/>
        </w:rPr>
      </w:pPr>
    </w:p>
    <w:p>
      <w:pPr>
        <w:jc w:val="both"/>
        <w:ind w:firstLine="629"/>
        <w:spacing w:after="0" w:line="260" w:lineRule="auto"/>
        <w:rPr>
          <w:sz w:val="20"/>
          <w:szCs w:val="20"/>
          <w:color w:val="auto"/>
        </w:rPr>
      </w:pPr>
      <w:r>
        <w:rPr>
          <w:rFonts w:ascii="Times New Roman" w:cs="Times New Roman" w:eastAsia="Times New Roman" w:hAnsi="Times New Roman"/>
          <w:sz w:val="17"/>
          <w:szCs w:val="17"/>
          <w:color w:val="auto"/>
        </w:rPr>
        <w:t>Other than as discussed under the “Status of Remediation of Material Weakness” heading, no change in our internal control over financial reporting (as defined in Rules 13a-15(f) and 15d-15(f) under the Exchange Act) occurred during the three months ended September 30, 2024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21" w:lineRule="exact"/>
        <w:rPr>
          <w:sz w:val="20"/>
          <w:szCs w:val="20"/>
          <w:color w:val="auto"/>
        </w:rPr>
      </w:pPr>
    </w:p>
    <w:p>
      <w:pPr>
        <w:ind w:right="120" w:firstLine="629"/>
        <w:spacing w:after="0" w:line="276" w:lineRule="auto"/>
        <w:rPr>
          <w:sz w:val="20"/>
          <w:szCs w:val="20"/>
          <w:color w:val="auto"/>
        </w:rPr>
      </w:pPr>
      <w:r>
        <w:rPr>
          <w:rFonts w:ascii="Times New Roman" w:cs="Times New Roman" w:eastAsia="Times New Roman" w:hAnsi="Times New Roman"/>
          <w:sz w:val="17"/>
          <w:szCs w:val="17"/>
          <w:color w:val="auto"/>
        </w:rPr>
        <w:t>From time to time, we may become involved in legal proceedings relating to claims arising from the ordinary course of business. Our management believes that there are currently no claims or actions pending against us, the ultimate disposition of which could have a material adverse effect on our results of operations, financial condition or cash flows.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 FACTOR SUMMARY</w:t>
      </w:r>
    </w:p>
    <w:p>
      <w:pPr>
        <w:spacing w:after="0" w:line="215" w:lineRule="exact"/>
        <w:rPr>
          <w:sz w:val="20"/>
          <w:szCs w:val="20"/>
          <w:color w:val="auto"/>
        </w:rPr>
      </w:pPr>
    </w:p>
    <w:p>
      <w:pPr>
        <w:ind w:firstLine="629"/>
        <w:spacing w:after="0" w:line="271" w:lineRule="auto"/>
        <w:rPr>
          <w:sz w:val="20"/>
          <w:szCs w:val="20"/>
          <w:color w:val="auto"/>
        </w:rPr>
      </w:pPr>
      <w:r>
        <w:rPr>
          <w:rFonts w:ascii="Times New Roman" w:cs="Times New Roman" w:eastAsia="Times New Roman" w:hAnsi="Times New Roman"/>
          <w:sz w:val="17"/>
          <w:szCs w:val="17"/>
          <w:i w:val="1"/>
          <w:iCs w:val="1"/>
          <w:color w:val="auto"/>
        </w:rPr>
        <w:t>Below is a summary of the material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and our other filings with the SEC before making investment decisions regarding our common stock.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Financial Position and Capital Needs</w:t>
      </w:r>
    </w:p>
    <w:p>
      <w:pPr>
        <w:spacing w:after="0" w:line="68" w:lineRule="exact"/>
        <w:rPr>
          <w:sz w:val="20"/>
          <w:szCs w:val="20"/>
          <w:color w:val="auto"/>
        </w:rPr>
      </w:pPr>
    </w:p>
    <w:p>
      <w:pPr>
        <w:ind w:left="1100" w:hanging="466"/>
        <w:spacing w:after="0"/>
        <w:tabs>
          <w:tab w:leader="none" w:pos="11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net losses in every period since our inception and anticipate that we will incur substantial net losses in the future.</w:t>
      </w:r>
    </w:p>
    <w:p>
      <w:pPr>
        <w:spacing w:after="0" w:line="66" w:lineRule="exact"/>
        <w:rPr>
          <w:rFonts w:ascii="Times New Roman" w:cs="Times New Roman" w:eastAsia="Times New Roman" w:hAnsi="Times New Roman"/>
          <w:sz w:val="17"/>
          <w:szCs w:val="17"/>
          <w:color w:val="auto"/>
        </w:rPr>
      </w:pPr>
    </w:p>
    <w:p>
      <w:pPr>
        <w:ind w:left="1100" w:right="680" w:hanging="466"/>
        <w:spacing w:after="0" w:line="280" w:lineRule="auto"/>
        <w:tabs>
          <w:tab w:leader="none" w:pos="109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need substantial additional financing to develop our products and implement our operating plans. If we fail to obtain additional financing, we may be unable to complete the development and commercialization of our product candidates.</w:t>
      </w:r>
    </w:p>
    <w:p>
      <w:pPr>
        <w:spacing w:after="0" w:line="2" w:lineRule="exact"/>
        <w:rPr>
          <w:rFonts w:ascii="Times New Roman" w:cs="Times New Roman" w:eastAsia="Times New Roman" w:hAnsi="Times New Roman"/>
          <w:sz w:val="17"/>
          <w:szCs w:val="17"/>
          <w:color w:val="auto"/>
        </w:rPr>
      </w:pPr>
    </w:p>
    <w:p>
      <w:pPr>
        <w:ind w:left="1100" w:hanging="466"/>
        <w:spacing w:after="0"/>
        <w:tabs>
          <w:tab w:leader="none" w:pos="11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meet our publicly announced guidance or other expectations about our business, which would cause our stock price to decline.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82" w:lineRule="exact"/>
        <w:rPr>
          <w:sz w:val="20"/>
          <w:szCs w:val="20"/>
          <w:color w:val="auto"/>
        </w:rPr>
      </w:pPr>
    </w:p>
    <w:p>
      <w:pPr>
        <w:ind w:left="1100" w:right="120" w:hanging="466"/>
        <w:spacing w:after="0" w:line="296" w:lineRule="auto"/>
        <w:tabs>
          <w:tab w:leader="none" w:pos="109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 candidates are based on novel technologies, which makes it difficult to predict the time and cost of product candidate development and the likelihood of obtaining regulatory approval.</w:t>
      </w:r>
    </w:p>
    <w:p>
      <w:pPr>
        <w:spacing w:after="0" w:line="15" w:lineRule="exact"/>
        <w:rPr>
          <w:rFonts w:ascii="Times New Roman" w:cs="Times New Roman" w:eastAsia="Times New Roman" w:hAnsi="Times New Roman"/>
          <w:sz w:val="17"/>
          <w:szCs w:val="17"/>
          <w:color w:val="auto"/>
        </w:rPr>
      </w:pPr>
    </w:p>
    <w:p>
      <w:pPr>
        <w:ind w:left="1100" w:hanging="466"/>
        <w:spacing w:after="0" w:line="276" w:lineRule="auto"/>
        <w:tabs>
          <w:tab w:leader="none" w:pos="109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highly dependent on the success of our lead product candidates. If we are unable to advance clinical development, obtain approval of and successfully commercialize our lead product candidates for the treatment of patients in approved indications, our business would be significantly harmed.</w:t>
      </w:r>
    </w:p>
    <w:p>
      <w:pPr>
        <w:spacing w:after="0" w:line="19" w:lineRule="exact"/>
        <w:rPr>
          <w:rFonts w:ascii="Times New Roman" w:cs="Times New Roman" w:eastAsia="Times New Roman" w:hAnsi="Times New Roman"/>
          <w:sz w:val="17"/>
          <w:szCs w:val="17"/>
          <w:color w:val="auto"/>
        </w:rPr>
      </w:pPr>
    </w:p>
    <w:p>
      <w:pPr>
        <w:ind w:left="1100" w:right="360" w:hanging="466"/>
        <w:spacing w:after="0" w:line="296" w:lineRule="auto"/>
        <w:tabs>
          <w:tab w:leader="none" w:pos="109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 candidates may cause undesirable side effects or have other properties that have halted and could in the future halt their clinical development, prevent their regulatory approval, limit their commercial potential or result in significant negative consequences.</w:t>
      </w:r>
    </w:p>
    <w:p>
      <w:pPr>
        <w:spacing w:after="0" w:line="2" w:lineRule="exact"/>
        <w:rPr>
          <w:rFonts w:ascii="Times New Roman" w:cs="Times New Roman" w:eastAsia="Times New Roman" w:hAnsi="Times New Roman"/>
          <w:sz w:val="17"/>
          <w:szCs w:val="17"/>
          <w:color w:val="auto"/>
        </w:rPr>
      </w:pPr>
    </w:p>
    <w:p>
      <w:pPr>
        <w:ind w:left="1100" w:right="360" w:hanging="466"/>
        <w:spacing w:after="0" w:line="296" w:lineRule="auto"/>
        <w:tabs>
          <w:tab w:leader="none" w:pos="109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clinical trials may fail to demonstrate the safety and efficacy of any of our product candidates, which would prevent or delay regulatory approval and commercialization.</w:t>
      </w:r>
    </w:p>
    <w:p>
      <w:pPr>
        <w:spacing w:after="0" w:line="15" w:lineRule="exact"/>
        <w:rPr>
          <w:rFonts w:ascii="Times New Roman" w:cs="Times New Roman" w:eastAsia="Times New Roman" w:hAnsi="Times New Roman"/>
          <w:sz w:val="17"/>
          <w:szCs w:val="17"/>
          <w:color w:val="auto"/>
        </w:rPr>
      </w:pPr>
    </w:p>
    <w:p>
      <w:pPr>
        <w:ind w:left="1100" w:right="200" w:hanging="466"/>
        <w:spacing w:after="0" w:line="296" w:lineRule="auto"/>
        <w:tabs>
          <w:tab w:leader="none" w:pos="109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Phase 1 data from our clinical trials is limited and may change as more patient data becomes available or may not be validated in any future or advanced clinical trial.</w:t>
      </w:r>
    </w:p>
    <w:p>
      <w:pPr>
        <w:spacing w:after="0" w:line="2" w:lineRule="exact"/>
        <w:rPr>
          <w:rFonts w:ascii="Times New Roman" w:cs="Times New Roman" w:eastAsia="Times New Roman" w:hAnsi="Times New Roman"/>
          <w:sz w:val="17"/>
          <w:szCs w:val="17"/>
          <w:color w:val="auto"/>
        </w:rPr>
      </w:pPr>
    </w:p>
    <w:p>
      <w:pPr>
        <w:ind w:left="1100" w:right="280" w:hanging="466"/>
        <w:spacing w:after="0" w:line="296" w:lineRule="auto"/>
        <w:tabs>
          <w:tab w:leader="none" w:pos="109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submit INDs or equivalent foreign applications, to commence additional clinical trials on the timelines we expect, and even if we are able to, the FDA or other comparable foreign regulatory authorities, may not permit us to proceed.</w:t>
      </w:r>
    </w:p>
    <w:p>
      <w:pPr>
        <w:spacing w:after="0" w:line="2" w:lineRule="exact"/>
        <w:rPr>
          <w:rFonts w:ascii="Times New Roman" w:cs="Times New Roman" w:eastAsia="Times New Roman" w:hAnsi="Times New Roman"/>
          <w:sz w:val="17"/>
          <w:szCs w:val="17"/>
          <w:color w:val="auto"/>
        </w:rPr>
      </w:pPr>
    </w:p>
    <w:p>
      <w:pPr>
        <w:ind w:left="1100" w:hanging="466"/>
        <w:spacing w:after="0"/>
        <w:tabs>
          <w:tab w:leader="none" w:pos="11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encounter substantial delays in our clinical trials, or may not be able to conduct our trials on the timelines we expect.</w:t>
      </w:r>
    </w:p>
    <w:p>
      <w:pPr>
        <w:spacing w:after="0" w:line="92" w:lineRule="exact"/>
        <w:rPr>
          <w:rFonts w:ascii="Times New Roman" w:cs="Times New Roman" w:eastAsia="Times New Roman" w:hAnsi="Times New Roman"/>
          <w:sz w:val="17"/>
          <w:szCs w:val="17"/>
          <w:color w:val="auto"/>
        </w:rPr>
      </w:pPr>
    </w:p>
    <w:p>
      <w:pPr>
        <w:ind w:left="1100" w:right="240" w:hanging="466"/>
        <w:spacing w:after="0" w:line="296" w:lineRule="auto"/>
        <w:tabs>
          <w:tab w:leader="none" w:pos="109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encounter difficulties enrolling patients in our clinical trials, our clinical development activities could be delayed or otherwise adversely affected.</w:t>
      </w:r>
    </w:p>
    <w:p>
      <w:pPr>
        <w:spacing w:after="0" w:line="2" w:lineRule="exact"/>
        <w:rPr>
          <w:rFonts w:ascii="Times New Roman" w:cs="Times New Roman" w:eastAsia="Times New Roman" w:hAnsi="Times New Roman"/>
          <w:sz w:val="17"/>
          <w:szCs w:val="17"/>
          <w:color w:val="auto"/>
        </w:rPr>
      </w:pPr>
    </w:p>
    <w:p>
      <w:pPr>
        <w:jc w:val="both"/>
        <w:ind w:left="1100" w:right="20" w:hanging="466"/>
        <w:spacing w:after="0" w:line="276" w:lineRule="auto"/>
        <w:tabs>
          <w:tab w:leader="none" w:pos="109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successfully manufacture our product candidates, operate our own manufacturing facility, or obtain regulatory approval to utilize or commercialize from our manufacturing facility or at a contract development and manufacturing organization (CDMO), which could adversely affect our clinical trials and the commercial viability of our product candidates.</w:t>
      </w:r>
    </w:p>
    <w:p>
      <w:pPr>
        <w:spacing w:after="0" w:line="19" w:lineRule="exact"/>
        <w:rPr>
          <w:rFonts w:ascii="Times New Roman" w:cs="Times New Roman" w:eastAsia="Times New Roman" w:hAnsi="Times New Roman"/>
          <w:sz w:val="17"/>
          <w:szCs w:val="17"/>
          <w:color w:val="auto"/>
        </w:rPr>
      </w:pPr>
    </w:p>
    <w:p>
      <w:pPr>
        <w:ind w:left="1100" w:right="460" w:hanging="466"/>
        <w:spacing w:after="0" w:line="296" w:lineRule="auto"/>
        <w:tabs>
          <w:tab w:leader="none" w:pos="109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significant competition from other biotechnology and pharmaceutical companies, and our operating results will suffer if we fail to compete effectively.</w:t>
      </w:r>
    </w:p>
    <w:p>
      <w:pPr>
        <w:spacing w:after="0" w:line="15" w:lineRule="exact"/>
        <w:rPr>
          <w:rFonts w:ascii="Times New Roman" w:cs="Times New Roman" w:eastAsia="Times New Roman" w:hAnsi="Times New Roman"/>
          <w:sz w:val="17"/>
          <w:szCs w:val="17"/>
          <w:color w:val="auto"/>
        </w:rPr>
      </w:pPr>
    </w:p>
    <w:p>
      <w:pPr>
        <w:ind w:left="1100" w:right="40" w:hanging="466"/>
        <w:spacing w:after="0" w:line="296" w:lineRule="auto"/>
        <w:tabs>
          <w:tab w:leader="none" w:pos="109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highly dependent on our key personnel, and if we are not successful in attracting and retaining highly qualified personnel, we may not be able to successfully implement our business strategy.</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100" w:right="880" w:hanging="466"/>
        <w:spacing w:after="0" w:line="296" w:lineRule="auto"/>
        <w:tabs>
          <w:tab w:leader="none" w:pos="109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reduction in force undertaken to extend our cash runway and focus more of our capital resources on our prioritized research and development programs might not achieve our intended outcome.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Development of Our Product Candidates</w:t>
      </w:r>
    </w:p>
    <w:p>
      <w:pPr>
        <w:spacing w:after="0" w:line="82" w:lineRule="exact"/>
        <w:rPr>
          <w:sz w:val="20"/>
          <w:szCs w:val="20"/>
          <w:color w:val="auto"/>
        </w:rPr>
      </w:pPr>
    </w:p>
    <w:p>
      <w:pPr>
        <w:ind w:left="1100" w:hanging="466"/>
        <w:spacing w:after="0"/>
        <w:tabs>
          <w:tab w:leader="none" w:pos="11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engineered allogeneic T cell product candidates represent a novel approach to cancer treatment that creates significant challenges for us.</w:t>
      </w:r>
    </w:p>
    <w:p>
      <w:pPr>
        <w:spacing w:after="0" w:line="79" w:lineRule="exact"/>
        <w:rPr>
          <w:rFonts w:ascii="Times New Roman" w:cs="Times New Roman" w:eastAsia="Times New Roman" w:hAnsi="Times New Roman"/>
          <w:sz w:val="17"/>
          <w:szCs w:val="17"/>
          <w:color w:val="auto"/>
        </w:rPr>
      </w:pPr>
    </w:p>
    <w:p>
      <w:pPr>
        <w:ind w:left="1100" w:right="640" w:hanging="466"/>
        <w:spacing w:after="0" w:line="296" w:lineRule="auto"/>
        <w:tabs>
          <w:tab w:leader="none" w:pos="109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Gene-editing is a relatively new technology, and if we are unable to use this technology in our intended product candidates, our revenue opportunities will be materially limited.</w:t>
      </w:r>
    </w:p>
    <w:p>
      <w:pPr>
        <w:spacing w:after="0" w:line="15" w:lineRule="exact"/>
        <w:rPr>
          <w:rFonts w:ascii="Times New Roman" w:cs="Times New Roman" w:eastAsia="Times New Roman" w:hAnsi="Times New Roman"/>
          <w:sz w:val="17"/>
          <w:szCs w:val="17"/>
          <w:color w:val="auto"/>
        </w:rPr>
      </w:pPr>
    </w:p>
    <w:p>
      <w:pPr>
        <w:ind w:left="1100" w:right="800" w:hanging="466"/>
        <w:spacing w:after="0" w:line="296" w:lineRule="auto"/>
        <w:tabs>
          <w:tab w:leader="none" w:pos="109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heavily reliant on our partners, Cellectis and Servier, for access to TALEN gene editing technology for the manufacturing and development of our oncology product candidates.</w:t>
      </w:r>
    </w:p>
    <w:p>
      <w:pPr>
        <w:spacing w:after="0" w:line="2" w:lineRule="exact"/>
        <w:rPr>
          <w:rFonts w:ascii="Times New Roman" w:cs="Times New Roman" w:eastAsia="Times New Roman" w:hAnsi="Times New Roman"/>
          <w:sz w:val="17"/>
          <w:szCs w:val="17"/>
          <w:color w:val="auto"/>
        </w:rPr>
      </w:pPr>
    </w:p>
    <w:p>
      <w:pPr>
        <w:ind w:left="1100" w:right="140" w:hanging="466"/>
        <w:spacing w:after="0" w:line="296" w:lineRule="auto"/>
        <w:tabs>
          <w:tab w:leader="none" w:pos="109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Servier’s discontinuation of its involvement in the development of CD19 Products and Servier's disputes with Cellectis, or future disputes with us, may have adverse consequences.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Reliance on Third Parties</w:t>
      </w:r>
    </w:p>
    <w:p>
      <w:pPr>
        <w:spacing w:after="0" w:line="68" w:lineRule="exact"/>
        <w:rPr>
          <w:sz w:val="20"/>
          <w:szCs w:val="20"/>
          <w:color w:val="auto"/>
        </w:rPr>
      </w:pPr>
    </w:p>
    <w:p>
      <w:pPr>
        <w:ind w:left="1100" w:hanging="466"/>
        <w:spacing w:after="0" w:line="280" w:lineRule="auto"/>
        <w:tabs>
          <w:tab w:leader="none" w:pos="109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and will continue to rely on third parties to conduct our clinical trials. If these third parties do not successfully carry out their contractual duties or meet expected deadlines, we may not be able to obtain regulatory approval of or commercialize our product candidates.</w:t>
      </w:r>
    </w:p>
    <w:p>
      <w:pPr>
        <w:spacing w:after="0" w:line="2" w:lineRule="exact"/>
        <w:rPr>
          <w:rFonts w:ascii="Times New Roman" w:cs="Times New Roman" w:eastAsia="Times New Roman" w:hAnsi="Times New Roman"/>
          <w:sz w:val="17"/>
          <w:szCs w:val="17"/>
          <w:color w:val="auto"/>
        </w:rPr>
      </w:pPr>
    </w:p>
    <w:p>
      <w:pPr>
        <w:ind w:left="1100" w:right="480" w:hanging="466"/>
        <w:spacing w:after="0" w:line="280" w:lineRule="auto"/>
        <w:tabs>
          <w:tab w:leader="none" w:pos="109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on T cells from healthy donors to manufacture our product candidates, and if we do not obtain an adequate supply of T cells from qualified donors, development of those product candidates, or commercialization, if approved, may be adversely impacted.</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Government Regulation</w:t>
      </w:r>
    </w:p>
    <w:p>
      <w:pPr>
        <w:spacing w:after="0" w:line="82" w:lineRule="exact"/>
        <w:rPr>
          <w:sz w:val="20"/>
          <w:szCs w:val="20"/>
          <w:color w:val="auto"/>
        </w:rPr>
      </w:pPr>
    </w:p>
    <w:p>
      <w:pPr>
        <w:ind w:left="1100" w:right="100" w:hanging="466"/>
        <w:spacing w:after="0" w:line="296" w:lineRule="auto"/>
        <w:tabs>
          <w:tab w:leader="none" w:pos="109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comparable foreign regulatory authorities, may disagree with our regulatory plan and we may fail to obtain regulatory approval of our CAR T cell product candidates.</w:t>
      </w:r>
    </w:p>
    <w:p>
      <w:pPr>
        <w:spacing w:after="0" w:line="2" w:lineRule="exact"/>
        <w:rPr>
          <w:rFonts w:ascii="Times New Roman" w:cs="Times New Roman" w:eastAsia="Times New Roman" w:hAnsi="Times New Roman"/>
          <w:sz w:val="17"/>
          <w:szCs w:val="17"/>
          <w:color w:val="auto"/>
        </w:rPr>
      </w:pPr>
    </w:p>
    <w:p>
      <w:pPr>
        <w:ind w:left="1100" w:right="200" w:hanging="466"/>
        <w:spacing w:after="0" w:line="270" w:lineRule="auto"/>
        <w:tabs>
          <w:tab w:leader="none" w:pos="109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or our collaborators, are required by the FDA, or other comparable foreign regulatory authorities, to obtain approval (or clearance, or certification) of a companion diagnostic device in connection with approval of one of our product candidates, and we, or our collaborators, do not obtain, or face delays in obtaining, approval (or clearance, or certification) of a companion diagnostic device, we will not be able to commercialize the product candidate, and our ability to generate revenue will be materially impaired.</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82" w:lineRule="exact"/>
        <w:rPr>
          <w:sz w:val="20"/>
          <w:szCs w:val="20"/>
          <w:color w:val="auto"/>
        </w:rPr>
      </w:pPr>
    </w:p>
    <w:p>
      <w:pPr>
        <w:ind w:left="1100" w:right="380" w:hanging="466"/>
        <w:spacing w:after="0" w:line="296" w:lineRule="auto"/>
        <w:tabs>
          <w:tab w:leader="none" w:pos="109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intellectual property licensed from third parties and termination of any of these licenses could result in the loss of significant rights, which would harm our business.</w:t>
      </w:r>
    </w:p>
    <w:p>
      <w:pPr>
        <w:spacing w:after="0" w:line="2" w:lineRule="exact"/>
        <w:rPr>
          <w:rFonts w:ascii="Times New Roman" w:cs="Times New Roman" w:eastAsia="Times New Roman" w:hAnsi="Times New Roman"/>
          <w:sz w:val="17"/>
          <w:szCs w:val="17"/>
          <w:color w:val="auto"/>
        </w:rPr>
      </w:pPr>
    </w:p>
    <w:p>
      <w:pPr>
        <w:ind w:left="1100" w:right="360" w:hanging="466"/>
        <w:spacing w:after="0" w:line="296" w:lineRule="auto"/>
        <w:tabs>
          <w:tab w:leader="none" w:pos="109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efforts to protect the proprietary nature of the intellectual property related to our technologies are not adequate, we may not be able to compete effectively in our market.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Common Stock</w:t>
      </w:r>
    </w:p>
    <w:p>
      <w:pPr>
        <w:spacing w:after="0" w:line="82" w:lineRule="exact"/>
        <w:rPr>
          <w:sz w:val="20"/>
          <w:szCs w:val="20"/>
          <w:color w:val="auto"/>
        </w:rPr>
      </w:pPr>
    </w:p>
    <w:p>
      <w:pPr>
        <w:ind w:left="1100" w:right="400" w:hanging="466"/>
        <w:spacing w:after="0" w:line="296" w:lineRule="auto"/>
        <w:tabs>
          <w:tab w:leader="none" w:pos="109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identified a material weakness in our internal control over financial reporting. This material weakness could continue to adversely affect our ability to report our results of operations and financial condition accurately and in a timely manner.</w:t>
      </w:r>
    </w:p>
    <w:p>
      <w:pPr>
        <w:spacing w:after="0" w:line="200" w:lineRule="exact"/>
        <w:rPr>
          <w:sz w:val="20"/>
          <w:szCs w:val="20"/>
          <w:color w:val="auto"/>
        </w:rPr>
      </w:pPr>
    </w:p>
    <w:p>
      <w:pPr>
        <w:spacing w:after="0" w:line="24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37"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i w:val="1"/>
          <w:iCs w:val="1"/>
          <w:color w:val="auto"/>
        </w:rPr>
        <w:t>An investment in shares of our common stock involves a high degree of risk. You should carefully consider the following risk factors, as well as the other information in this report, before deciding whether to purchase, hold or sell shares of our common stock. The occurrence of any of the following risks could harm our business, financial condition, results of operations and/or growth prospects or cause our actual results to differ materially from those contained in forward-looking statements we have made in this report and those we may make from time to time. You should consider all of the risk factors described below when evaluating our business. The risk factors set forth below that are marked with an asterisk (*) contain changes to the similarly titled risk factors included in, or did not appear as separate risk factors in, Item 1A of our Annual Report, which was filed with the SEC on March 14, 2024.</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Financial Position and Capital Needs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net losses in every period since our inception and anticipate that we will incur substantial net losses in the future.*</w:t>
      </w:r>
    </w:p>
    <w:p>
      <w:pPr>
        <w:spacing w:after="0" w:line="123" w:lineRule="exact"/>
        <w:rPr>
          <w:sz w:val="20"/>
          <w:szCs w:val="20"/>
          <w:color w:val="auto"/>
        </w:rPr>
      </w:pPr>
    </w:p>
    <w:p>
      <w:pPr>
        <w:ind w:right="60" w:firstLine="629"/>
        <w:spacing w:after="0" w:line="261" w:lineRule="auto"/>
        <w:rPr>
          <w:sz w:val="20"/>
          <w:szCs w:val="20"/>
          <w:color w:val="auto"/>
        </w:rPr>
      </w:pPr>
      <w:r>
        <w:rPr>
          <w:rFonts w:ascii="Times New Roman" w:cs="Times New Roman" w:eastAsia="Times New Roman" w:hAnsi="Times New Roman"/>
          <w:sz w:val="17"/>
          <w:szCs w:val="17"/>
          <w:color w:val="auto"/>
        </w:rPr>
        <w:t>We are a clinical-stage biopharmaceutical company and 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and become commercially viable. We are advancing an allogeneic CAR T platform of primarily early-stage product candidates and have no products approved for commercial sale and have not generated any revenue from product sales to date, and we will continue to incur significant research and development and other expenses related to our ongoing operations. To date, we have devoted substantially all of our resources to organizing and staffing our company, business planning, raising capital, securing related intellectual property rights, building our product manufacturing infrastructure, including a dedicated good manufacturing practices (GMP) manufacturing facility, manufacturing our clinical product candidates and conducting discovery, research and development activities for our programs. As a result, we are not profitable and have incurred net losses in each period since our inception. For the year ended December 31, 2023, we reported a net loss of $327.3 million. For the nine months ended September 30, 2024, we reported a net loss of $197.7 million. As of September 30, 2024, we had an accumulated deficit of $1.8 billion.</w:t>
      </w:r>
    </w:p>
    <w:p>
      <w:pPr>
        <w:spacing w:after="0" w:line="179"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We expect to incur significant expenditures for the foreseeable future, and we expect these expenditures to increase as we continue our research and development of, and seek regulatory approvals for, product candidates based on our engineered allogeneic T cell platform. Because our allogeneic T cell product candidates are based on new technologies and will require the creation of inventory of mass-produced, off-the-shelf product, they will require extensive research and development and have substantial manufacturing and processing costs. In addition, costs to treat patients with relapsed or refractory cancer and to treat potential side effects that may result from our product candidates can be significant.</w:t>
      </w:r>
    </w:p>
    <w:p>
      <w:pPr>
        <w:spacing w:after="0" w:line="196" w:lineRule="exact"/>
        <w:rPr>
          <w:sz w:val="20"/>
          <w:szCs w:val="20"/>
          <w:color w:val="auto"/>
        </w:rPr>
      </w:pPr>
    </w:p>
    <w:p>
      <w:pPr>
        <w:ind w:right="40" w:firstLine="629"/>
        <w:spacing w:after="0" w:line="265" w:lineRule="auto"/>
        <w:rPr>
          <w:sz w:val="20"/>
          <w:szCs w:val="20"/>
          <w:color w:val="auto"/>
        </w:rPr>
      </w:pPr>
      <w:r>
        <w:rPr>
          <w:rFonts w:ascii="Times New Roman" w:cs="Times New Roman" w:eastAsia="Times New Roman" w:hAnsi="Times New Roman"/>
          <w:sz w:val="17"/>
          <w:szCs w:val="17"/>
          <w:color w:val="auto"/>
        </w:rPr>
        <w:t>We may encounter unforeseen expenses, difficulties, complications, delays and other unknown factors that may adversely affect our business. For instance, the U.S. Food and Drug Administration (FDA) placed our clinical trials on hold in October 2021, which suspended our clinical programs prior to resolution of the hold in January 2022. Even if we succeed in advancing our clinical trials and commercializing one or more of our product candidates, we will continue to incur substantial research and development and other expenditures to develop and market additional product candidates.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168"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will need substantial additional financing to develop our products and implement our operating plans. If we fail to obtain additional financing, we may be unable to complete the development and commercialization of our product candidates.*</w:t>
      </w:r>
    </w:p>
    <w:p>
      <w:pPr>
        <w:spacing w:after="0" w:line="169" w:lineRule="exact"/>
        <w:rPr>
          <w:sz w:val="20"/>
          <w:szCs w:val="20"/>
          <w:color w:val="auto"/>
        </w:rPr>
      </w:pPr>
    </w:p>
    <w:p>
      <w:pPr>
        <w:ind w:right="120" w:firstLine="629"/>
        <w:spacing w:after="0" w:line="270" w:lineRule="auto"/>
        <w:rPr>
          <w:sz w:val="20"/>
          <w:szCs w:val="20"/>
          <w:color w:val="auto"/>
        </w:rPr>
      </w:pPr>
      <w:r>
        <w:rPr>
          <w:rFonts w:ascii="Times New Roman" w:cs="Times New Roman" w:eastAsia="Times New Roman" w:hAnsi="Times New Roman"/>
          <w:sz w:val="17"/>
          <w:szCs w:val="17"/>
          <w:color w:val="auto"/>
        </w:rPr>
        <w:t>We expect to spend a substantial amount of capital in the development and manufacture of our product candidates. We will need substantial additional financing to develop our products and implement our operating plans. In particular, we will require substantial additional financing to enable commercial production of our products and initiate and complete registrational trials for multiple products in multiple regions. Further, if approved, we will require significant additional capital in order to launch and commercialize our product candidates.</w:t>
      </w:r>
    </w:p>
    <w:p>
      <w:pPr>
        <w:spacing w:after="0" w:line="194" w:lineRule="exact"/>
        <w:rPr>
          <w:sz w:val="20"/>
          <w:szCs w:val="20"/>
          <w:color w:val="auto"/>
        </w:rPr>
      </w:pPr>
    </w:p>
    <w:p>
      <w:pPr>
        <w:ind w:right="240" w:firstLine="629"/>
        <w:spacing w:after="0" w:line="267" w:lineRule="auto"/>
        <w:rPr>
          <w:sz w:val="20"/>
          <w:szCs w:val="20"/>
          <w:color w:val="auto"/>
        </w:rPr>
      </w:pPr>
      <w:r>
        <w:rPr>
          <w:rFonts w:ascii="Times New Roman" w:cs="Times New Roman" w:eastAsia="Times New Roman" w:hAnsi="Times New Roman"/>
          <w:sz w:val="17"/>
          <w:szCs w:val="17"/>
          <w:color w:val="auto"/>
        </w:rPr>
        <w:t>As of September 30, 2024, we had $403.4 million in cash and cash equivalents and investments. Changing circumstances may cause us to consume capital significantly faster than we currently anticipate, and we may need to spend more money than currently expected because of circumstances beyond our control. We may also need to raise additional capital sooner than we currently anticipate if we choose to expand more rapidly than we presently plan. In any event, we will require additional capital for the further development and commercialization of our product candidates, including funding our internal manufacturing capabilities.</w:t>
      </w:r>
    </w:p>
    <w:p>
      <w:pPr>
        <w:spacing w:after="0" w:line="196"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We cannot be certain that additional funding will be available on acceptable terms, or at all. We have no committed source of additional capital and our stock price has faced extreme volatility and has declined. To the extent that we raise additional capital through the sale of equity or convertible debt securities or to the extent that we may issue equity securities in connection with a strategic transaction, the ownership interest of our stockholders will be diluted. If we are unable to raise additional capital in sufficient amounts or on terms acceptable to us, we may have to significantly delay, scale back or discontinue the development or commercialization of our product candidates or other research and development initiatives. Our license agreements may also be terminated if we are unable to meet the payment obligations under the agreements. We could be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20"/>
        <w:spacing w:after="0" w:line="276" w:lineRule="auto"/>
        <w:rPr>
          <w:sz w:val="20"/>
          <w:szCs w:val="20"/>
          <w:color w:val="auto"/>
        </w:rPr>
      </w:pPr>
      <w:r>
        <w:rPr>
          <w:rFonts w:ascii="Times New Roman" w:cs="Times New Roman" w:eastAsia="Times New Roman" w:hAnsi="Times New Roman"/>
          <w:sz w:val="17"/>
          <w:szCs w:val="17"/>
          <w:color w:val="auto"/>
        </w:rPr>
        <w:t>required to seek collaborators for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w:t>
      </w:r>
    </w:p>
    <w:p>
      <w:pPr>
        <w:spacing w:after="0" w:line="190" w:lineRule="exact"/>
        <w:rPr>
          <w:sz w:val="20"/>
          <w:szCs w:val="20"/>
          <w:color w:val="auto"/>
        </w:rPr>
      </w:pPr>
    </w:p>
    <w:p>
      <w:pPr>
        <w:ind w:right="480" w:firstLine="629"/>
        <w:spacing w:after="0" w:line="296" w:lineRule="auto"/>
        <w:rPr>
          <w:sz w:val="20"/>
          <w:szCs w:val="20"/>
          <w:color w:val="auto"/>
        </w:rPr>
      </w:pPr>
      <w:r>
        <w:rPr>
          <w:rFonts w:ascii="Times New Roman" w:cs="Times New Roman" w:eastAsia="Times New Roman" w:hAnsi="Times New Roman"/>
          <w:sz w:val="17"/>
          <w:szCs w:val="17"/>
          <w:color w:val="auto"/>
        </w:rPr>
        <w:t>Any of the above events could significantly harm our business, prospects, financial condition and results of operations and cause the price of our common stock to decline.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fail to meet our publicly announced guidance or other expectations about our business, which would cause our stock price to decline.*</w:t>
      </w:r>
    </w:p>
    <w:p>
      <w:pPr>
        <w:spacing w:after="0" w:line="254" w:lineRule="exact"/>
        <w:rPr>
          <w:sz w:val="20"/>
          <w:szCs w:val="20"/>
          <w:color w:val="auto"/>
        </w:rPr>
      </w:pPr>
    </w:p>
    <w:p>
      <w:pPr>
        <w:ind w:right="100" w:firstLine="629"/>
        <w:spacing w:after="0" w:line="263" w:lineRule="auto"/>
        <w:rPr>
          <w:sz w:val="20"/>
          <w:szCs w:val="20"/>
          <w:color w:val="auto"/>
        </w:rPr>
      </w:pPr>
      <w:r>
        <w:rPr>
          <w:rFonts w:ascii="Times New Roman" w:cs="Times New Roman" w:eastAsia="Times New Roman" w:hAnsi="Times New Roman"/>
          <w:sz w:val="17"/>
          <w:szCs w:val="17"/>
          <w:color w:val="auto"/>
        </w:rPr>
        <w:t>We may provide guidance regarding our expected financial and business performance, such as projections regarding our cash runway and projected clinical development and/or regulatory milestones. Correctly identifying key factors affecting business conditions and predicting future events is an inherently uncertain process and our guidance may not ultimately be accurate. Our guidance is based on certain assumptions relating to our expenses which may fluctuate based on how quickly we are able to execute on our operational initiatives, such as the timing of initiation of clinical trials and the rate of enrollment in such trials, and the timing of certain milestone payments, manufacturing expenses, employee expenses, facility expenses, and potential modifications of existing or the establishment of new partnership agreements. If our assumptions are not met or are impacted as a result of various risks and uncertainties, we may have to raise additional capital sooner than we currently expect and the market value of our common stock could decline significantly.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disruptions could seriously harm our future revenue and financial condition and increase our costs and expenses.</w:t>
      </w:r>
    </w:p>
    <w:p>
      <w:pPr>
        <w:spacing w:after="0" w:line="254" w:lineRule="exact"/>
        <w:rPr>
          <w:sz w:val="20"/>
          <w:szCs w:val="20"/>
          <w:color w:val="auto"/>
        </w:rPr>
      </w:pPr>
    </w:p>
    <w:p>
      <w:pPr>
        <w:ind w:right="240" w:firstLine="629"/>
        <w:spacing w:after="0" w:line="265" w:lineRule="auto"/>
        <w:rPr>
          <w:sz w:val="20"/>
          <w:szCs w:val="20"/>
          <w:color w:val="auto"/>
        </w:rPr>
      </w:pPr>
      <w:r>
        <w:rPr>
          <w:rFonts w:ascii="Times New Roman" w:cs="Times New Roman" w:eastAsia="Times New Roman" w:hAnsi="Times New Roman"/>
          <w:sz w:val="17"/>
          <w:szCs w:val="17"/>
          <w:color w:val="auto"/>
        </w:rPr>
        <w:t>Our operations, and those of our CDMOs, contract research organizations (CROs), clinical trial sites and other contractors and consultants, could be subject to business disruptions, including those caused by earthquakes, power shortages, telecommunications failures, cybersecurity attacks, water shortages, floods, hurricanes, tsunamis, typhoons, fires, extreme weather conditions, medical epidemics or pandemics, wars and other geopolitical conflicts (such as Russia's military action against Ukraine and the Israel–Hamas conflict), bank failures, adverse legislative actions and other natural or man-made disasters or business interruptions, for which we are predominantly self-insured. The occurrence of any of these business disruptions could seriously harm our operations and financial condition and increase our costs and expenses.</w:t>
      </w:r>
    </w:p>
    <w:p>
      <w:pPr>
        <w:spacing w:after="0" w:line="198" w:lineRule="exact"/>
        <w:rPr>
          <w:sz w:val="20"/>
          <w:szCs w:val="20"/>
          <w:color w:val="auto"/>
        </w:rPr>
      </w:pPr>
    </w:p>
    <w:p>
      <w:pPr>
        <w:ind w:right="40" w:firstLine="629"/>
        <w:spacing w:after="0" w:line="267" w:lineRule="auto"/>
        <w:rPr>
          <w:sz w:val="20"/>
          <w:szCs w:val="20"/>
          <w:color w:val="auto"/>
        </w:rPr>
      </w:pPr>
      <w:r>
        <w:rPr>
          <w:rFonts w:ascii="Times New Roman" w:cs="Times New Roman" w:eastAsia="Times New Roman" w:hAnsi="Times New Roman"/>
          <w:sz w:val="17"/>
          <w:szCs w:val="17"/>
          <w:color w:val="auto"/>
        </w:rPr>
        <w:t>Our ability to manufacture our product candidates could be disrupted if our operations or those of our suppliers are affected by a man-made or natural disaster or other business interruption. Our corporate headquarters and manufacturing facility are located in California near major earthquake faults and fire and flood zones. The ultimate impact on us, our significant suppliers and our general infrastructure of being located near major earthquake faults and fire and flood zones and being consolidated in certain geographical areas is unknown, but our operations and financial condition could suffer in the event of a major earthquake, fire, flood or other natural disaster.</w:t>
      </w:r>
    </w:p>
    <w:p>
      <w:pPr>
        <w:spacing w:after="0" w:line="192" w:lineRule="exact"/>
        <w:rPr>
          <w:sz w:val="20"/>
          <w:szCs w:val="20"/>
          <w:color w:val="auto"/>
        </w:rPr>
      </w:pPr>
    </w:p>
    <w:p>
      <w:pPr>
        <w:ind w:right="50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Adverse developments affecting the financial services industry could adversely affect our current and projected business operations and our financial condition and results of operations.</w:t>
      </w:r>
    </w:p>
    <w:p>
      <w:pPr>
        <w:spacing w:after="0" w:line="169" w:lineRule="exact"/>
        <w:rPr>
          <w:sz w:val="20"/>
          <w:szCs w:val="20"/>
          <w:color w:val="auto"/>
        </w:rPr>
      </w:pPr>
    </w:p>
    <w:p>
      <w:pPr>
        <w:ind w:right="40" w:firstLine="629"/>
        <w:spacing w:after="0" w:line="261" w:lineRule="auto"/>
        <w:rPr>
          <w:sz w:val="20"/>
          <w:szCs w:val="20"/>
          <w:color w:val="auto"/>
        </w:rPr>
      </w:pPr>
      <w:r>
        <w:rPr>
          <w:rFonts w:ascii="Times New Roman" w:cs="Times New Roman" w:eastAsia="Times New Roman" w:hAnsi="Times New Roman"/>
          <w:sz w:val="17"/>
          <w:szCs w:val="17"/>
          <w:color w:val="auto"/>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In addition, on May 1, 2023, the FDIC seized First Republic Bank and sold its assets to JPMorgan Chase &amp; Co. It is uncertain whether the U.S. Department of Treasury, FDIC and Federal Reserve Board will provide access to uninsured funds in the future in the event of the closure of other banks or financial institutions, or that they would do so in a timely fashion. We maintain the majority of our cash and cash equivalents in accounts at banking institutions in the United States that we believe are of high quality. Cash held in these accounts often exceed the FDIC insurance limits. If such banking institutions were to fail, we could lose all or a portion of amounts held in excess of such insurance limitations.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200" w:lineRule="exact"/>
        <w:rPr>
          <w:sz w:val="20"/>
          <w:szCs w:val="20"/>
          <w:color w:val="auto"/>
        </w:rPr>
      </w:pPr>
    </w:p>
    <w:p>
      <w:pPr>
        <w:spacing w:after="0" w:line="215"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Although we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These factors could include, among others, events such as liquidity constraints or failures, the ability to perform obligations under various types of financial, credit or</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spacing w:after="0" w:line="198" w:lineRule="exact"/>
        <w:rPr>
          <w:sz w:val="20"/>
          <w:szCs w:val="20"/>
          <w:color w:val="auto"/>
        </w:rPr>
      </w:pPr>
    </w:p>
    <w:p>
      <w:pPr>
        <w:ind w:right="60" w:firstLine="629"/>
        <w:spacing w:after="0" w:line="263" w:lineRule="auto"/>
        <w:rPr>
          <w:sz w:val="20"/>
          <w:szCs w:val="20"/>
          <w:color w:val="auto"/>
        </w:rPr>
      </w:pPr>
      <w:r>
        <w:rPr>
          <w:rFonts w:ascii="Times New Roman" w:cs="Times New Roman" w:eastAsia="Times New Roman" w:hAnsi="Times New Roman"/>
          <w:sz w:val="17"/>
          <w:szCs w:val="17"/>
          <w:color w:val="auto"/>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utilize our net operating loss carryforwards and certain other tax attributes may be limited.*</w:t>
      </w:r>
    </w:p>
    <w:p>
      <w:pPr>
        <w:spacing w:after="0" w:line="254"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Under current law, federal net operating losses incurred in tax years beginning after December 31, 2017, may be carried forward indefinitely, but the deductibility of such federal net operating loss carryforwards in a taxable year is limited to 80% of taxable income in such year. Under Sections 382 and 383 of the Internal Revenue Code of 1986, as amended, and corresponding provisions of state law, if a corporation undergoes an “ownership change” (generally defined as a greater than 50 percentage point change (by value) in the equity ownership of certain stockholders over a rolling three-year period), the corporation’s ability to use its pre-change net operating loss carryforwards and other pre-change tax attributes to offset its post-change income or taxes may be limited. As a result of our initial public offering (IPO) in October 2018 and private placements and other transactions that have occurred since our incorporation, we may have experienced an “ownership change”. We may also experience ownership changes in the future as a result of subsequent shifts in our stock ownership. We anticipate incurring significant additional net losses for the foreseeable future, and our ability to utilize net operating loss carryforwards associated with any such losses to offset future taxable income may be limited to the extent we incur future ownership changes. In addition, at the state level, there may be periods during which the use of net operating loss carryforwards is suspended or otherwise limited, which could accelerate or permanently increase state taxes owed. For example, California imposed limits on the usability of California state net operating losses to offset taxable income in tax years beginning after 2023 and before 2027. As a result, we may be unable to use all or a material portion of our net operating loss carryforwards and other tax attributes, which could adversely affect our future cash flows.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248" w:lineRule="exact"/>
        <w:rPr>
          <w:sz w:val="20"/>
          <w:szCs w:val="20"/>
          <w:color w:val="auto"/>
        </w:rPr>
      </w:pPr>
    </w:p>
    <w:p>
      <w:pPr>
        <w:ind w:right="40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are based on novel technologies, which makes it difficult to predict the time and cost of product candidate development and the likelihood of obtaining regulatory approval.*</w:t>
      </w:r>
    </w:p>
    <w:p>
      <w:pPr>
        <w:spacing w:after="0" w:line="169" w:lineRule="exact"/>
        <w:rPr>
          <w:sz w:val="20"/>
          <w:szCs w:val="20"/>
          <w:color w:val="auto"/>
        </w:rPr>
      </w:pPr>
    </w:p>
    <w:p>
      <w:pPr>
        <w:ind w:right="40" w:firstLine="629"/>
        <w:spacing w:after="0" w:line="265" w:lineRule="auto"/>
        <w:rPr>
          <w:sz w:val="20"/>
          <w:szCs w:val="20"/>
          <w:color w:val="auto"/>
        </w:rPr>
      </w:pPr>
      <w:r>
        <w:rPr>
          <w:rFonts w:ascii="Times New Roman" w:cs="Times New Roman" w:eastAsia="Times New Roman" w:hAnsi="Times New Roman"/>
          <w:sz w:val="17"/>
          <w:szCs w:val="17"/>
          <w:color w:val="auto"/>
        </w:rPr>
        <w:t>We have concentrated our research, development and manufacturing efforts on our engineered allogeneic T cell therapy and our future success depends on the successful development of this therapeutic approach. We are in the early stages of developing our platform and we have experienced significant development challenges, such as with the prior clinical hold by the FDA, and there can be no assurance that any development problems we have now or experience in the future will not cause significant delays or unanticipated costs, or that such development problems can be overcome. We may also experience delays in developing a sustainable, reproducible and scalable manufacturing process or transferring that process to commercial facilities or partners, which may prevent us from completing our clinical studies or commercializing our products on a timely or profitable basis, if at all.</w:t>
      </w:r>
    </w:p>
    <w:p>
      <w:pPr>
        <w:spacing w:after="0" w:line="198" w:lineRule="exact"/>
        <w:rPr>
          <w:sz w:val="20"/>
          <w:szCs w:val="20"/>
          <w:color w:val="auto"/>
        </w:rPr>
      </w:pPr>
    </w:p>
    <w:p>
      <w:pPr>
        <w:ind w:right="200" w:firstLine="629"/>
        <w:spacing w:after="0" w:line="267" w:lineRule="auto"/>
        <w:rPr>
          <w:sz w:val="20"/>
          <w:szCs w:val="20"/>
          <w:color w:val="auto"/>
        </w:rPr>
      </w:pPr>
      <w:r>
        <w:rPr>
          <w:rFonts w:ascii="Times New Roman" w:cs="Times New Roman" w:eastAsia="Times New Roman" w:hAnsi="Times New Roman"/>
          <w:sz w:val="17"/>
          <w:szCs w:val="17"/>
          <w:color w:val="auto"/>
        </w:rPr>
        <w:t>In addition, since we are in the early stages of clinical development, we do not know all the doses to be evaluated in pivotal trials or, if approved, commercially. Finding a suitable dose for our cell therapy product candidates as well as ALLO-647 may delay our anticipated clinical development timelines. These unknowns and other emerging findings from our clinical trials may result in protocol amendments, which may result in additional costs and may also delay our anticipated clinical development timelines. In addition, our expectations with regard to our scalability and costs of manufacturing may vary significantly as we develop our product candidates and understand these critical factors.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60" w:firstLine="629"/>
        <w:spacing w:after="0" w:line="263" w:lineRule="auto"/>
        <w:rPr>
          <w:sz w:val="20"/>
          <w:szCs w:val="20"/>
          <w:color w:val="auto"/>
        </w:rPr>
      </w:pPr>
      <w:r>
        <w:rPr>
          <w:rFonts w:ascii="Times New Roman" w:cs="Times New Roman" w:eastAsia="Times New Roman" w:hAnsi="Times New Roman"/>
          <w:sz w:val="17"/>
          <w:szCs w:val="17"/>
          <w:color w:val="auto"/>
        </w:rPr>
        <w:t>We are also advancing product candidates against unexplored targets and with new technology. For example, we are advancing ALLO-316 against the CD70 target, and ALLO-329 against CD19 and CD70 targets. ALLO-316 may have limited efficacy, even accounting for the selection of patients with CD70 positive tumors, or have off-target toxicities. As a dual-targeting CAR T product candidate, ALLO-329 may demonstrate limited ability to target and eliminate cells, including both B and T lymphocytes, that express one or both targets. Additionally, there may be unexpected toxicity, such as severe or prolonged immunosuppression or hyperinflammation, arising from targeting both CD19 and CD70 simultaneously. Since CD70 is found on activated T and other immune cells, ALLO-316 and ALLO-329 may also cause fratricide resulting in the loss of ALLO-316 or ALLO-329 cells, either during the manufacturing process or after the cells are administered to patients, or may deplete host T or other immune cells.</w:t>
      </w:r>
    </w:p>
    <w:p>
      <w:pPr>
        <w:spacing w:after="0" w:line="203" w:lineRule="exact"/>
        <w:rPr>
          <w:sz w:val="20"/>
          <w:szCs w:val="20"/>
          <w:color w:val="auto"/>
        </w:rPr>
      </w:pPr>
    </w:p>
    <w:p>
      <w:pPr>
        <w:ind w:right="80" w:firstLine="629"/>
        <w:spacing w:after="0" w:line="269" w:lineRule="auto"/>
        <w:rPr>
          <w:sz w:val="20"/>
          <w:szCs w:val="20"/>
          <w:color w:val="auto"/>
        </w:rPr>
      </w:pPr>
      <w:r>
        <w:rPr>
          <w:rFonts w:ascii="Times New Roman" w:cs="Times New Roman" w:eastAsia="Times New Roman" w:hAnsi="Times New Roman"/>
          <w:sz w:val="17"/>
          <w:szCs w:val="17"/>
          <w:color w:val="auto"/>
        </w:rPr>
        <w:t>CAR T administration and/or the lymphodepletion that is required before administration of CAR T cells, may increase the risk of prolonged blood cell count suppression (cytopenia) or other adverse events including infections or inflammatory conditions such as cytokine release syndrome (CRS), immune effector cell-associated neurotoxicity syndrome (ICANS), and/or immune effector cell-associated hemophagocytic lymphohistiocytosis-like syndrome (IEC-HS), which can be life-threatening and results in death. These events have been observed in our clinical trials and have resulted in pausing enrollment or</w:t>
      </w:r>
    </w:p>
    <w:p>
      <w:pPr>
        <w:spacing w:after="0" w:line="1" w:lineRule="exact"/>
        <w:rPr>
          <w:sz w:val="20"/>
          <w:szCs w:val="20"/>
          <w:color w:val="auto"/>
        </w:rPr>
      </w:pPr>
    </w:p>
    <w:p>
      <w:pPr>
        <w:ind w:right="480"/>
        <w:spacing w:after="0" w:line="296" w:lineRule="auto"/>
        <w:rPr>
          <w:sz w:val="20"/>
          <w:szCs w:val="20"/>
          <w:color w:val="auto"/>
        </w:rPr>
      </w:pPr>
      <w:r>
        <w:rPr>
          <w:rFonts w:ascii="Times New Roman" w:cs="Times New Roman" w:eastAsia="Times New Roman" w:hAnsi="Times New Roman"/>
          <w:sz w:val="17"/>
          <w:szCs w:val="17"/>
          <w:color w:val="auto"/>
        </w:rPr>
        <w:t>requiring protocol amendments. For example, in our ongoing ALLO-316 TRAVERSE trial, we implemented risk mitigation measures for IEC-HS, which delayed and increased the cost of conducting the clinical trial.</w:t>
      </w:r>
    </w:p>
    <w:p>
      <w:pPr>
        <w:spacing w:after="0" w:line="173"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In our ALPHA3 trial, we are advancing cema-cel for the treatment of patients with LBCL who have completed R-CHOP and have attained a remission, but who still test positive for minimal residual disease (MRD). As part of this trial, under Investigational Device Exemption (IDE), we are using an investigational assay developed by Foresight Diagnostics to determine if a patient is MRD positive. There is a risk that the assay may not function as intended and that the assay may not be sufficiently sensitive to detect the presence of low levels of MRD or sufficiently specific to avoid unacceptable rates of false positives. In addition, there are logistical risks with collecting and sending patient samples to Foresight Diagnostics for testing, and there is a risk that the MRD assay will not be timely performed on the patient samples. If the MRD assay does not function as intended or is not timely performed on patient samples, it could negatively impact the rate of enrollment or the clinical results of the ALPHA3 trial. In addition, we are reliant on Foresight Diagnostics to perform MRD</w:t>
      </w:r>
    </w:p>
    <w:p>
      <w:pPr>
        <w:spacing w:after="0" w:line="7"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7"/>
          <w:szCs w:val="17"/>
          <w:color w:val="auto"/>
        </w:rPr>
        <w:t>testing. A delay or failure by Foresight Diagnostics to perform MRD testing may negatively impact our ability to conduct ALPHA3 trial as planned, or prevent us from conducting ALPHA3 trial.</w:t>
      </w:r>
    </w:p>
    <w:p>
      <w:pPr>
        <w:spacing w:after="0" w:line="173" w:lineRule="exact"/>
        <w:rPr>
          <w:sz w:val="20"/>
          <w:szCs w:val="20"/>
          <w:color w:val="auto"/>
        </w:rPr>
      </w:pPr>
    </w:p>
    <w:p>
      <w:pPr>
        <w:ind w:right="100" w:firstLine="629"/>
        <w:spacing w:after="0" w:line="251" w:lineRule="auto"/>
        <w:rPr>
          <w:sz w:val="20"/>
          <w:szCs w:val="20"/>
          <w:color w:val="auto"/>
        </w:rPr>
      </w:pPr>
      <w:r>
        <w:rPr>
          <w:rFonts w:ascii="Times New Roman" w:cs="Times New Roman" w:eastAsia="Times New Roman" w:hAnsi="Times New Roman"/>
          <w:sz w:val="17"/>
          <w:szCs w:val="17"/>
          <w:color w:val="auto"/>
        </w:rPr>
        <w:t>The clinical study requirements of the FDA, European Medicines Agency (EMA) and other comparable foreign regulatory authorities and the criteria these regulators use to determine the safety and efficacy of a product candidate are determined according to the type, complexity, novelty and intended use and market of the potential products. The regulatory approval process for novel product candidates such as ours can be more complex and consequently more expensive and take longer than for other, better known or extensively studied pharmaceutical or other product candidates. For example, the regulatory approval process for cema-cel based on our ALPHA3 trial is more complex because it incorporates a companion diagnostic. We also face additional challenges in obtaining regulatory approval for ALLO-647, which we use as part of our lymphodepletion regimen, and for which we would seek to obtain approval concurrently with approval of a CAR T cell product candidate. Approvals by the European Commission and FDA for existing autologous CAR T therapies, such as Kymriah</w:t>
      </w:r>
      <w:r>
        <w:rPr>
          <w:rFonts w:ascii="Times New Roman" w:cs="Times New Roman" w:eastAsia="Times New Roman" w:hAnsi="Times New Roman"/>
          <w:sz w:val="9"/>
          <w:szCs w:val="9"/>
          <w:color w:val="auto"/>
        </w:rPr>
        <w:t>®</w:t>
      </w:r>
      <w:r>
        <w:rPr>
          <w:rFonts w:ascii="Times New Roman" w:cs="Times New Roman" w:eastAsia="Times New Roman" w:hAnsi="Times New Roman"/>
          <w:sz w:val="17"/>
          <w:szCs w:val="17"/>
          <w:color w:val="auto"/>
        </w:rPr>
        <w:t xml:space="preserve"> and Yescarta</w:t>
      </w:r>
      <w:r>
        <w:rPr>
          <w:rFonts w:ascii="Times New Roman" w:cs="Times New Roman" w:eastAsia="Times New Roman" w:hAnsi="Times New Roman"/>
          <w:sz w:val="9"/>
          <w:szCs w:val="9"/>
          <w:color w:val="auto"/>
        </w:rPr>
        <w:t>®</w:t>
      </w:r>
      <w:r>
        <w:rPr>
          <w:rFonts w:ascii="Times New Roman" w:cs="Times New Roman" w:eastAsia="Times New Roman" w:hAnsi="Times New Roman"/>
          <w:sz w:val="17"/>
          <w:szCs w:val="17"/>
          <w:color w:val="auto"/>
        </w:rPr>
        <w:t>, may not be indicative of what these regulators may require for approval of our therapies. Also, the use of healthy donor material in our allogeneic CAR T product candidates may create product variability challenges for us, and we do not yet fully understand the impact of donor variability on clinical outcomes.</w:t>
      </w:r>
    </w:p>
    <w:p>
      <w:pPr>
        <w:spacing w:after="0" w:line="200" w:lineRule="exact"/>
        <w:rPr>
          <w:sz w:val="20"/>
          <w:szCs w:val="20"/>
          <w:color w:val="auto"/>
        </w:rPr>
      </w:pPr>
    </w:p>
    <w:p>
      <w:pPr>
        <w:spacing w:after="0" w:line="213"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More generally, approvals by any regulatory agency may not be indicative of what any other regulatory agency may require for approval or what such regulatory agencies may require for approval in connection with new product candidates. Moreover, our product candidates may not perform successfully in clinical trials or may be associated with adverse events that distinguish them from the autologous CAR T therapies that have previously been approved. For instance, allogeneic product candidates may result in graft-versus-host disease (GvHD) or chromosomal abnormalities not experienced with autologous products. Additionally, any Phase 2 trial results, such as in the ALPHA3 trial, may not be representative of Phase 1 results, which were based on limited patients and a patient population in an advanced stage or LBCL, and such Phase 2 trial results may not be accepted by the FDA as pivotal and sufficient for cema-cel approval, and additional trials may be required to establish that cema-cel is safe and effective. Even if we collect promising initial clinical data of our product candidates, longer-term data may reveal new adverse events or responses that are not durable. Unexpected clinical outcomes would significantly impact our business.</w:t>
      </w:r>
    </w:p>
    <w:p>
      <w:pPr>
        <w:spacing w:after="0" w:line="200" w:lineRule="exact"/>
        <w:rPr>
          <w:sz w:val="20"/>
          <w:szCs w:val="20"/>
          <w:color w:val="auto"/>
        </w:rPr>
      </w:pPr>
    </w:p>
    <w:p>
      <w:pPr>
        <w:spacing w:after="0" w:line="211"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business is highly dependent on the success of our lead product candidates. If we are unable to advance clinical development, obtain approval of and successfully commercialize our lead product candidates for the treatment of patients in approved indications, our business would be significantly harmed.*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Our business and future success depends on our ability to advance clinical development, obtain regulatory approval of, and then successfully commercialize, our lead product candidates. Because cema-cel, ALLO-316, ALLO-715 and ALLO-605, products designed for use in patients with cancer, and ALLO-329, designed for use in patients with autoimmune disease, are or will be among the first allogeneic products to be evaluated in the clinic, the failure of any such product candidates, or the failure of other allogeneic T cell therapies, including for reasons due to safety, efficacy or durability, may impede our ability to develop our product candidates, and significantly influence physicians’ and regulators’ opinions in regard to the viability of our entire pipeline of allogeneic T cell therapies. For instance, all of our clinical trials were previously put on clinical hold due to an observation in the phase 1 portion of the ALPHA2 trial. While the clinical hold has been resolved, we could be subject to a clinical hold in the future due to unexpected observations, adverse patient outcomes or other issues.</w:t>
      </w:r>
    </w:p>
    <w:p>
      <w:pPr>
        <w:spacing w:after="0" w:line="203" w:lineRule="exact"/>
        <w:rPr>
          <w:sz w:val="20"/>
          <w:szCs w:val="20"/>
          <w:color w:val="auto"/>
        </w:rPr>
      </w:pPr>
    </w:p>
    <w:p>
      <w:pPr>
        <w:ind w:right="200" w:firstLine="629"/>
        <w:spacing w:after="0" w:line="267" w:lineRule="auto"/>
        <w:rPr>
          <w:sz w:val="20"/>
          <w:szCs w:val="20"/>
          <w:color w:val="auto"/>
        </w:rPr>
      </w:pPr>
      <w:r>
        <w:rPr>
          <w:rFonts w:ascii="Times New Roman" w:cs="Times New Roman" w:eastAsia="Times New Roman" w:hAnsi="Times New Roman"/>
          <w:sz w:val="17"/>
          <w:szCs w:val="17"/>
          <w:color w:val="auto"/>
        </w:rPr>
        <w:t>All of our product candidates, including our lead product candidates, will require additional clinical and non-clinical development, regulatory review and approval in multiple jurisdictions, substantial investment, access to sufficient commercial manufacturing capacity and significant marketing efforts before we can generate any revenue from product sales. In addition, because our other product candidates are based on similar technology as our lead product candidates, if any of the lead product candidates encounters additional safety issues, efficacy problems, manufacturing problems, developmental delays, regulatory issues or other problems, our development plans and business would be significantly harmed.</w:t>
      </w:r>
    </w:p>
    <w:p>
      <w:pPr>
        <w:spacing w:after="0" w:line="196" w:lineRule="exact"/>
        <w:rPr>
          <w:sz w:val="20"/>
          <w:szCs w:val="20"/>
          <w:color w:val="auto"/>
        </w:rPr>
      </w:pPr>
    </w:p>
    <w:p>
      <w:pPr>
        <w:ind w:right="80" w:firstLine="629"/>
        <w:spacing w:after="0" w:line="260" w:lineRule="auto"/>
        <w:rPr>
          <w:sz w:val="20"/>
          <w:szCs w:val="20"/>
          <w:color w:val="auto"/>
        </w:rPr>
      </w:pPr>
      <w:r>
        <w:rPr>
          <w:rFonts w:ascii="Times New Roman" w:cs="Times New Roman" w:eastAsia="Times New Roman" w:hAnsi="Times New Roman"/>
          <w:sz w:val="17"/>
          <w:szCs w:val="17"/>
          <w:color w:val="auto"/>
        </w:rPr>
        <w:t>We cannot predict the likelihood, nature or extent of government regulation that may arise from future legislation or administrative action, either in the U.S. or abroad. The policies of the FDA, the competent authorities of the European Union Member States (EU Member States), the EMA, the European Commission and other comparable regulatory authorities responsible for clinical trials may change and additional government regulations may be enacted. For instance, the regulatory landscape related to clinical trials in the European Union recently evolved. The European Union Clinical Trials Regulation (CTR), which was adopted in April 2014 and repeals the European Union Clinical Trials Directive, became applicable on January 31, 2022. The CTR allows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the centralized European Union portal. Once the clinical trial is approved, clinical study development may proceed. The CTR foresees a three-year transition period. The extent to which ongoing and new clinical trials will be governed by the CTR varies. The CTR will apply to clinical trials from an earlier date if the related clinical trial application was made on the basis of the CTR or if the clinical trial has already transitioned to the CTR framework before January 31, 2025. Compliance with the CTR requirements by us and our third-party service providers, such as CROs, may impact our developments plans.</w:t>
      </w:r>
    </w:p>
    <w:p>
      <w:pPr>
        <w:spacing w:after="0" w:line="203"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may cause undesirable side effects or have other properties that have halted and could in the future halt their clinical development, prevent their regulatory approval, limit their commercial potential or result in significant negative consequences.*</w:t>
      </w:r>
    </w:p>
    <w:p>
      <w:pPr>
        <w:spacing w:after="0" w:line="169" w:lineRule="exact"/>
        <w:rPr>
          <w:sz w:val="20"/>
          <w:szCs w:val="20"/>
          <w:color w:val="auto"/>
        </w:rPr>
      </w:pPr>
    </w:p>
    <w:p>
      <w:pPr>
        <w:ind w:right="60" w:firstLine="629"/>
        <w:spacing w:after="0" w:line="261" w:lineRule="auto"/>
        <w:rPr>
          <w:sz w:val="20"/>
          <w:szCs w:val="20"/>
          <w:color w:val="auto"/>
        </w:rPr>
      </w:pPr>
      <w:r>
        <w:rPr>
          <w:rFonts w:ascii="Times New Roman" w:cs="Times New Roman" w:eastAsia="Times New Roman" w:hAnsi="Times New Roman"/>
          <w:sz w:val="17"/>
          <w:szCs w:val="17"/>
          <w:color w:val="auto"/>
        </w:rPr>
        <w:t>Future undesirable or unacceptable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authorities. Results of our clinical trials could reveal a high and unacceptable severity and prevalence of side effects or unexpected characteristics. Approved autologous CAR T therapies and those under development have shown frequent rates of CRS, neurotoxicity including immune effector cell-associated neurotoxicity syndrome (ICANS), serious infections, prolonged cytopenia and hypogammaglobulinemia, hemophagocytic lymphohistiocytosis/macrophage activation syndrome (HLH/MAS), immune effector cell-associated HLH-like syndrome (IEC-HS) and adverse events have resulted in the death of patients. We have observed certain of these adverse events for our allogeneic CAR T product candidates. Other adverse events could also emerge in autologous CAR T therapies over time. For instance, patients who received an autologous anti-BCMA CAR T cell therapy have experienced neurocognitive and hypokinetic movement disorder with features of Parkinson's disease that emerged months after treatment and may have been due to BCMA expression within the brain. Our anti-BCMA product candidates have the risk of causing similar adverse events.</w:t>
      </w:r>
    </w:p>
    <w:p>
      <w:pPr>
        <w:spacing w:after="0" w:line="206"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In January 2024 the FDA sent letters to all companies with approved autologous CAR T therapies requesting them to add a black box warning on the label of their autologous CAR T therapies. The FDA is requiring label updates to include a black box warning that T-cell malignancies may occur following treatment with BCMA- and CD19-directed genetically modified autologous T-cell immunotherapies. The required warnings are specific to autologous therapies. Such T-cell malignancies have been observed in approximately 1 patient for every 1,000 patients treated with autologous therapies. Because our allogeneic therapies are based on similar technology, until we have treated more patients, there is a risk that we may find similar T-cell malignancies following treatment with our allogeneic CAR T product candidates. If such malignancies are observed, regulatory authorities, such as the FDA, may require a similar black box warning or other safety-related labeling</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400"/>
        <w:spacing w:after="0" w:line="296" w:lineRule="auto"/>
        <w:rPr>
          <w:sz w:val="20"/>
          <w:szCs w:val="20"/>
          <w:color w:val="auto"/>
        </w:rPr>
      </w:pPr>
      <w:r>
        <w:rPr>
          <w:rFonts w:ascii="Times New Roman" w:cs="Times New Roman" w:eastAsia="Times New Roman" w:hAnsi="Times New Roman"/>
          <w:sz w:val="17"/>
          <w:szCs w:val="17"/>
          <w:color w:val="auto"/>
        </w:rPr>
        <w:t>statements on our products’ label, if approved, which could prevent us from achieving or maintaining market acceptance and adversely affect our business, financial condition, results of operations and prospects.</w:t>
      </w:r>
    </w:p>
    <w:p>
      <w:pPr>
        <w:spacing w:after="0" w:line="173"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Our allogeneic CAR T cell product candidates may also cause unique adverse events related to the differences between the donor and patients, such as GvHD or infusion reactions. In addition, we utilize a lymphodepletion regimen, which generally includes combinations of fludarabine, cyclophosphamide and ALLO-647, that may cause serious adverse events. For instance, because some regimens are expected to cause a deep and sometimes prolonged immune suppression, patients will have an increased risk of infection that may be unable to be cleared by the patient and ultimately lead to other serious adverse events or death. Our lymphodepletion regimen has caused such adverse events and may also cause prolonged cytopenia and aplastic anemia. We are also exploring various dosing strategies for lymphodepletion in our clinical trials, such as including varying doses of the chemotherapy agents and/or ALLO-647 or eliminating one or more of the agents, which may alter the risk of serious adverse events or have other undesirable outcomes such as a reduction of the efficacy of treatment.</w:t>
      </w:r>
    </w:p>
    <w:p>
      <w:pPr>
        <w:spacing w:after="0" w:line="203" w:lineRule="exact"/>
        <w:rPr>
          <w:sz w:val="20"/>
          <w:szCs w:val="20"/>
          <w:color w:val="auto"/>
        </w:rPr>
      </w:pPr>
    </w:p>
    <w:p>
      <w:pPr>
        <w:ind w:right="100" w:firstLine="629"/>
        <w:spacing w:after="0" w:line="267" w:lineRule="auto"/>
        <w:rPr>
          <w:sz w:val="20"/>
          <w:szCs w:val="20"/>
          <w:color w:val="auto"/>
        </w:rPr>
      </w:pPr>
      <w:r>
        <w:rPr>
          <w:rFonts w:ascii="Times New Roman" w:cs="Times New Roman" w:eastAsia="Times New Roman" w:hAnsi="Times New Roman"/>
          <w:sz w:val="17"/>
          <w:szCs w:val="17"/>
          <w:color w:val="auto"/>
        </w:rPr>
        <w:t>In our and Servier's clinical trials of allogeneic CAR T product candidates, the most common severe or life-threatening adverse events resulted from CRS, serious infections, febrile neutropenia, prolonged cytopenia including prolonged pancytopenia, haemophagocytic lymphohistiocytosis, hypokalemia, multiple organ dysfunction syndrome, neutropenic sepsis and aplastic anemia. As reported, patients have died from adverse events and future patients may also experience toxicity resulting in death. For additional safety data, please see the section entitled "Business—Product Pipeline and Development Strategy" included in our Annual Report.</w:t>
      </w:r>
    </w:p>
    <w:p>
      <w:pPr>
        <w:spacing w:after="0" w:line="196" w:lineRule="exact"/>
        <w:rPr>
          <w:sz w:val="20"/>
          <w:szCs w:val="20"/>
          <w:color w:val="auto"/>
        </w:rPr>
      </w:pPr>
    </w:p>
    <w:p>
      <w:pPr>
        <w:ind w:right="100" w:firstLine="629"/>
        <w:spacing w:after="0" w:line="262" w:lineRule="auto"/>
        <w:rPr>
          <w:sz w:val="20"/>
          <w:szCs w:val="20"/>
          <w:color w:val="auto"/>
        </w:rPr>
      </w:pPr>
      <w:r>
        <w:rPr>
          <w:rFonts w:ascii="Times New Roman" w:cs="Times New Roman" w:eastAsia="Times New Roman" w:hAnsi="Times New Roman"/>
          <w:sz w:val="17"/>
          <w:szCs w:val="17"/>
          <w:color w:val="auto"/>
        </w:rPr>
        <w:t>As we treat and re-treat more patients with our product candidates in our clinical trials, new less common side effects may also emerge or increased incidence of previously observed side effects may occur. There is a risk that the FDA or other comparable foreign regulatory authorities may not agree that sufficient mitigating procedures are included in our protocols to address such side effects, and FDA or other comparable foreign regulatory authorities may impose a clinical hold as it evaluates risks associated with such side effects and/or as we work with the agency to implement protocol amendments to appropriately manage such side effects. For instance, we observed a chromosomal abnormality that led to a previous clinical hold on our clinical trials. While our investigation concluded that the chromosomal abnormality had no clinical significance and was unrelated to our manufacturing process, our manufacturing processes include gene engineering by using viral vectors and genomic nucleases that may in the future cause insertion, deletion, or chromosomal translocation that may result in allogeneic CAR T cells to proliferate uncontrollably and adverse events.</w:t>
      </w:r>
    </w:p>
    <w:p>
      <w:pPr>
        <w:spacing w:after="0" w:line="205" w:lineRule="exact"/>
        <w:rPr>
          <w:sz w:val="20"/>
          <w:szCs w:val="20"/>
          <w:color w:val="auto"/>
        </w:rPr>
      </w:pPr>
    </w:p>
    <w:p>
      <w:pPr>
        <w:ind w:right="380" w:firstLine="629"/>
        <w:spacing w:after="0" w:line="296" w:lineRule="auto"/>
        <w:rPr>
          <w:sz w:val="20"/>
          <w:szCs w:val="20"/>
          <w:color w:val="auto"/>
        </w:rPr>
      </w:pPr>
      <w:r>
        <w:rPr>
          <w:rFonts w:ascii="Times New Roman" w:cs="Times New Roman" w:eastAsia="Times New Roman" w:hAnsi="Times New Roman"/>
          <w:sz w:val="17"/>
          <w:szCs w:val="17"/>
          <w:color w:val="auto"/>
        </w:rPr>
        <w:t>We may also combine the use of our product candidates with other investigational or approved therapies that may cause separate adverse events or events related to the combination.</w:t>
      </w:r>
    </w:p>
    <w:p>
      <w:pPr>
        <w:spacing w:after="0" w:line="173"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If unacceptable toxicities arise in the development of our product candidates, we could suspend or terminate our trials or the FDA or comparable foreign regulatory authorities could order us to cease clinical trials or deny approval of our product candidates for any or all targeted indications. Any data safety monitoring board may also suspend or terminate a clinical trial at any time on various grounds, including a finding that the research patients are being exposed to an unacceptable health risk, including risks inferred from other unrelated immunotherapy trials.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as toxicities resulting from T cell therapy are not normally encountered in the general patient population and by medical personnel. We have trained and expect to have to train medical personnel using CAR T cell product candidates to understand the side effect profile of our product candidates for both our clinical trials and upon any commercialization of any of our product candidates. Inadequate training in recognizing or managing the potential side effects of our product candidates could result in patient deaths. Any of these occurrences may harm our business, financial condition and prospects significantly.</w:t>
      </w:r>
    </w:p>
    <w:p>
      <w:pPr>
        <w:spacing w:after="0" w:line="200" w:lineRule="exact"/>
        <w:rPr>
          <w:sz w:val="20"/>
          <w:szCs w:val="20"/>
          <w:color w:val="auto"/>
        </w:rPr>
      </w:pPr>
    </w:p>
    <w:p>
      <w:pPr>
        <w:spacing w:after="0" w:line="214"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clinical trials may fail to demonstrate the safety and efficacy of any of our product candidates, which would prevent or delay regulatory approval and commercialization.*</w:t>
      </w:r>
    </w:p>
    <w:p>
      <w:pPr>
        <w:spacing w:after="0" w:line="169" w:lineRule="exact"/>
        <w:rPr>
          <w:sz w:val="20"/>
          <w:szCs w:val="20"/>
          <w:color w:val="auto"/>
        </w:rPr>
      </w:pPr>
    </w:p>
    <w:p>
      <w:pPr>
        <w:ind w:right="180" w:firstLine="629"/>
        <w:spacing w:after="0" w:line="268" w:lineRule="auto"/>
        <w:rPr>
          <w:sz w:val="20"/>
          <w:szCs w:val="20"/>
          <w:color w:val="auto"/>
        </w:rPr>
      </w:pPr>
      <w:r>
        <w:rPr>
          <w:rFonts w:ascii="Times New Roman" w:cs="Times New Roman" w:eastAsia="Times New Roman" w:hAnsi="Times New Roman"/>
          <w:sz w:val="17"/>
          <w:szCs w:val="17"/>
          <w:color w:val="auto"/>
        </w:rPr>
        <w:t>Before obtaining regulatory approvals for the commercial sale of our product candidates, we must demonstrate through lengthy, complex and expensive preclinical testing and clinical trials that our product candidates are both safe and effective for use in each target indication. 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 including in any post-approval studies.</w:t>
      </w:r>
    </w:p>
    <w:p>
      <w:pPr>
        <w:spacing w:after="0" w:line="200" w:lineRule="exact"/>
        <w:rPr>
          <w:sz w:val="20"/>
          <w:szCs w:val="20"/>
          <w:color w:val="auto"/>
        </w:rPr>
      </w:pPr>
    </w:p>
    <w:p>
      <w:pPr>
        <w:spacing w:after="0" w:line="210"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There is typically an extremely high rate of attrition from the failure of product candidates proceeding through clinical trials. Product candidates in later stages of clinical trials may fail to show the desired safety and efficacy profile despite having</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progressed through preclinical studies and initial clinical trials. A number of companies in the biopharmaceutical industry have suffered significant setbacks in advanced clinical trials due to lack of efficacy, insufficient durability of efficacy or unacceptable safety issues, notwithstanding promising results in earlier trials. Most product candidates that commence clinical trials are never approved as products.</w:t>
      </w:r>
    </w:p>
    <w:p>
      <w:pPr>
        <w:spacing w:after="0" w:line="190" w:lineRule="exact"/>
        <w:rPr>
          <w:sz w:val="20"/>
          <w:szCs w:val="20"/>
          <w:color w:val="auto"/>
        </w:rPr>
      </w:pPr>
    </w:p>
    <w:p>
      <w:pPr>
        <w:ind w:right="100" w:firstLine="629"/>
        <w:spacing w:after="0" w:line="265" w:lineRule="auto"/>
        <w:rPr>
          <w:sz w:val="20"/>
          <w:szCs w:val="20"/>
          <w:color w:val="auto"/>
        </w:rPr>
      </w:pPr>
      <w:r>
        <w:rPr>
          <w:rFonts w:ascii="Times New Roman" w:cs="Times New Roman" w:eastAsia="Times New Roman" w:hAnsi="Times New Roman"/>
          <w:sz w:val="17"/>
          <w:szCs w:val="17"/>
          <w:color w:val="auto"/>
        </w:rPr>
        <w:t>In addition, for any trials that may be completed, we cannot guarantee that the FDA or comparable foreign regulatory authorities will interpret the results as we do, and more trials could be required before we submit our product candidates for approval. For example, FDA may determine that results from our Phase 2 ALPHA3 trial are not sufficient to establish that cema-cel is safe and effective, and FDA may require additional trials. To the extent that the results of the trials are not satisfactory to the FDA or comparable foreign regulatory authorities for support of a marketing application, approval of our product candidates may be significantly delayed, or we may be required to expend significant additional resources, which may not be available to us, to conduct additional trials in support of potential approval of our product candidates.</w:t>
      </w:r>
    </w:p>
    <w:p>
      <w:pPr>
        <w:spacing w:after="0" w:line="194" w:lineRule="exact"/>
        <w:rPr>
          <w:sz w:val="20"/>
          <w:szCs w:val="20"/>
          <w:color w:val="auto"/>
        </w:rPr>
      </w:pPr>
    </w:p>
    <w:p>
      <w:pPr>
        <w:ind w:right="2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Phase 1 data from our clinical trials is limited and may change as more patient data becomes available or may not be validated in any future or advanced clinical trial.*</w:t>
      </w:r>
    </w:p>
    <w:p>
      <w:pPr>
        <w:spacing w:after="0" w:line="169" w:lineRule="exact"/>
        <w:rPr>
          <w:sz w:val="20"/>
          <w:szCs w:val="20"/>
          <w:color w:val="auto"/>
        </w:rPr>
      </w:pPr>
    </w:p>
    <w:p>
      <w:pPr>
        <w:ind w:right="160" w:firstLine="629"/>
        <w:spacing w:after="0" w:line="260" w:lineRule="auto"/>
        <w:rPr>
          <w:sz w:val="20"/>
          <w:szCs w:val="20"/>
          <w:color w:val="auto"/>
        </w:rPr>
      </w:pPr>
      <w:r>
        <w:rPr>
          <w:rFonts w:ascii="Times New Roman" w:cs="Times New Roman" w:eastAsia="Times New Roman" w:hAnsi="Times New Roman"/>
          <w:sz w:val="17"/>
          <w:szCs w:val="17"/>
          <w:color w:val="auto"/>
        </w:rPr>
        <w:t>Data from clinical trials that we may complete are subject to the risk that one or more of the clinical outcomes may materially change as patient enrollment continues and more patient data becomes available. Phase 1 results are preliminary in nature and should not be viewed as predictive of ultimate success. It is possible that such results will not continue or may not be repeated in any clinical trial of our product candidates. For instance, our Phase 2 ALPHA3 trial design is based in part on Phase 1 data from a limited number of patients treated with various doses of ALLO-501 or cema-cel manufactured using the Alloy process, and the larger Phase 2 ALPHA3 trial, which we anticipate will only include cema-cel manufactured internally at CF1, but may ultimately also include cema-cel manufactured at a contract manufacturer, may not be consistent with the Phase 1 results. Furthermore, because ALPHA3 will include a different patient population versus our Phase 1 ALPHA2 trial, i.e., patients having MRD after front-line treatment versus patients with radiographically measurable disease after a minimum of two prior lines of treatment, it is possible that cema-cel may behave differently in terms of expansion, persistence and the ability to eradicate residual disease. In addition, our experience with our CD19 and BCMA programs indicates that manufacturing can impact clinical outcomes. The manufacturing runs we have completed and tested in the clinic are limited across our product candidates and any manufacturing variability that impacts clinical outcomes would significantly harm our business and prospects. We may also fail to develop any optimized manufacturing processes for any of our programs. Ultimately, if we cannot manufacture our product candidates with consistent and reproducible product characteristics, our ability to develop and commercialize any product candidate would be significantly impacted.</w:t>
      </w:r>
    </w:p>
    <w:p>
      <w:pPr>
        <w:spacing w:after="0" w:line="207" w:lineRule="exact"/>
        <w:rPr>
          <w:sz w:val="20"/>
          <w:szCs w:val="20"/>
          <w:color w:val="auto"/>
        </w:rPr>
      </w:pPr>
    </w:p>
    <w:p>
      <w:pPr>
        <w:ind w:right="40" w:firstLine="629"/>
        <w:spacing w:after="0" w:line="270" w:lineRule="auto"/>
        <w:rPr>
          <w:sz w:val="20"/>
          <w:szCs w:val="20"/>
          <w:color w:val="auto"/>
        </w:rPr>
      </w:pPr>
      <w:r>
        <w:rPr>
          <w:rFonts w:ascii="Times New Roman" w:cs="Times New Roman" w:eastAsia="Times New Roman" w:hAnsi="Times New Roman"/>
          <w:sz w:val="17"/>
          <w:szCs w:val="17"/>
          <w:color w:val="auto"/>
        </w:rPr>
        <w:t>Phase 1 trials of novel products also commonly include a dose exploration phase during which adverse effects of treatment may emerge at higher doses that are new, unexpected, or occur at higher-than-expected frequencies or severity and may limit our ability to develop such products in one or more target indications or patient populations. Similarly, in dose expansion phase, we may discover that adverse effects, either known or novel, may negatively impact the emerging overall benefit-risk profile of our product candidates and may lead to the discontinuation or other significant alteration to the development plan.</w:t>
      </w:r>
    </w:p>
    <w:p>
      <w:pPr>
        <w:spacing w:after="0" w:line="194" w:lineRule="exact"/>
        <w:rPr>
          <w:sz w:val="20"/>
          <w:szCs w:val="20"/>
          <w:color w:val="auto"/>
        </w:rPr>
      </w:pPr>
    </w:p>
    <w:p>
      <w:pPr>
        <w:ind w:right="460" w:firstLine="629"/>
        <w:spacing w:after="0" w:line="276" w:lineRule="auto"/>
        <w:rPr>
          <w:sz w:val="20"/>
          <w:szCs w:val="20"/>
          <w:color w:val="auto"/>
        </w:rPr>
      </w:pPr>
      <w:r>
        <w:rPr>
          <w:rFonts w:ascii="Times New Roman" w:cs="Times New Roman" w:eastAsia="Times New Roman" w:hAnsi="Times New Roman"/>
          <w:sz w:val="17"/>
          <w:szCs w:val="17"/>
          <w:color w:val="auto"/>
        </w:rPr>
        <w:t>Preliminary data also remain subject to audit and verification procedures that may result in the final data being materially different from the preliminary data we previously published. As a result, initial, interim and preliminary data should be viewed with caution until the final data are available. Adverse differences between preliminary or interim data and final data could significantly harm our business prospects.</w:t>
      </w:r>
    </w:p>
    <w:p>
      <w:pPr>
        <w:spacing w:after="0" w:line="186"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submit INDs or equivalent foreign applications to commence additional clinical trials on the timelines we expect, and even if we are able to, the FDA or other comparable foreign regulatory authorities may not permit us to proceed.*</w:t>
      </w:r>
    </w:p>
    <w:p>
      <w:pPr>
        <w:spacing w:after="0" w:line="169" w:lineRule="exact"/>
        <w:rPr>
          <w:sz w:val="20"/>
          <w:szCs w:val="20"/>
          <w:color w:val="auto"/>
        </w:rPr>
      </w:pPr>
    </w:p>
    <w:p>
      <w:pPr>
        <w:ind w:right="60" w:firstLine="629"/>
        <w:spacing w:after="0" w:line="263" w:lineRule="auto"/>
        <w:rPr>
          <w:sz w:val="20"/>
          <w:szCs w:val="20"/>
          <w:color w:val="auto"/>
        </w:rPr>
      </w:pPr>
      <w:r>
        <w:rPr>
          <w:rFonts w:ascii="Times New Roman" w:cs="Times New Roman" w:eastAsia="Times New Roman" w:hAnsi="Times New Roman"/>
          <w:sz w:val="17"/>
          <w:szCs w:val="17"/>
          <w:color w:val="auto"/>
        </w:rPr>
        <w:t>We plan to submit INDs or IND amendments and equivalent foreign applications for additional product candidates or indications in the future. We cannot be sure that submission of an IND or IND amendment or an equivalent foreign application will result in the FDA or other comparable foreign regulatory authorities allowing testing and clinical trials to begin, or that, once begun, issues will not arise that suspend or terminate such clinical trials. The manufacturing of allogeneic CAR T cell therapy remains an emerging and evolving field. Accordingly, we expect Chemistry, Manufacturing and Controls (CMC) related topics, including product specification, will be a focus of IND reviews, which may delay the clearance of INDs or IND amendments. For instance, if we introduce changes to the manufacturing of our product candidates, regulatory authorities may require additional studies or clinical data to support the changes, which could delay our clinical trial timelines. Additionally, even if such regulatory authorities agree with the design and implementation of the clinical trials set forth in an IND, IND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amendment or clinical trial application, we cannot guarantee that such regulatory authorities will not change their requirements in the future.</w:t>
      </w:r>
    </w:p>
    <w:p>
      <w:pPr>
        <w:spacing w:after="0" w:line="250" w:lineRule="exact"/>
        <w:rPr>
          <w:sz w:val="20"/>
          <w:szCs w:val="20"/>
          <w:color w:val="auto"/>
        </w:rPr>
      </w:pPr>
    </w:p>
    <w:p>
      <w:pPr>
        <w:ind w:right="20" w:firstLine="629"/>
        <w:spacing w:after="0" w:line="276" w:lineRule="auto"/>
        <w:rPr>
          <w:sz w:val="20"/>
          <w:szCs w:val="20"/>
          <w:color w:val="auto"/>
        </w:rPr>
      </w:pPr>
      <w:r>
        <w:rPr>
          <w:rFonts w:ascii="Times New Roman" w:cs="Times New Roman" w:eastAsia="Times New Roman" w:hAnsi="Times New Roman"/>
          <w:sz w:val="17"/>
          <w:szCs w:val="17"/>
          <w:color w:val="auto"/>
        </w:rPr>
        <w:t>In addition, we have an open IND for ALLO-647, which is being used as part of lymphodepletion in certain of our clinical trials. Any regulatory issues related to ALLO-647 or to the development of ALLO-647, if it is used as part of a lymphodepletion regimen in a clinical study, could delay such study and delay the development of our allogeneic CAR T cell product candidates and significantly affect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encounter substantial delays in our clinical trials, or may not be able to conduct our trials on the timelines we expect.*</w:t>
      </w:r>
    </w:p>
    <w:p>
      <w:pPr>
        <w:spacing w:after="0" w:line="254"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Clinical testing is expensive, time consuming and subject to uncertainty. We cannot guarantee that any clinical studies will be conducted as planned or completed on schedule, if at all. Even if our trials begin as planned, issues may arise that could suspend or terminate such clinical trials. A failure of one or more clinical studies can occur at any stage of testing, and our future clinical studies may not be successful. Events that may prevent successful or timely completion of clinical development include:</w:t>
      </w:r>
    </w:p>
    <w:p>
      <w:pPr>
        <w:spacing w:after="0" w:line="10" w:lineRule="exact"/>
        <w:rPr>
          <w:sz w:val="20"/>
          <w:szCs w:val="20"/>
          <w:color w:val="auto"/>
        </w:rPr>
      </w:pPr>
    </w:p>
    <w:p>
      <w:pPr>
        <w:ind w:left="620" w:hanging="301"/>
        <w:spacing w:after="0"/>
        <w:tabs>
          <w:tab w:leader="none" w:pos="62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inability to generate sufficient preclinical, toxicology or other in vivo or in vitro data to support the initiation of clinical studies;</w:t>
      </w:r>
    </w:p>
    <w:p>
      <w:pPr>
        <w:spacing w:after="0" w:line="21" w:lineRule="exact"/>
        <w:rPr>
          <w:rFonts w:ascii="Arial" w:cs="Arial" w:eastAsia="Arial" w:hAnsi="Arial"/>
          <w:sz w:val="21"/>
          <w:szCs w:val="21"/>
          <w:color w:val="auto"/>
        </w:rPr>
      </w:pPr>
    </w:p>
    <w:p>
      <w:pPr>
        <w:ind w:left="640" w:right="120" w:hanging="321"/>
        <w:spacing w:after="0"/>
        <w:tabs>
          <w:tab w:leader="none" w:pos="63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delays in sufficiently developing, characterizing, controlling or optimizing a manufacturing process suitable for clinical trials, including the validation and deployment of release assays;</w:t>
      </w:r>
    </w:p>
    <w:p>
      <w:pPr>
        <w:spacing w:after="0" w:line="7" w:lineRule="exact"/>
        <w:rPr>
          <w:rFonts w:ascii="Arial" w:cs="Arial" w:eastAsia="Arial" w:hAnsi="Arial"/>
          <w:sz w:val="21"/>
          <w:szCs w:val="21"/>
          <w:color w:val="auto"/>
        </w:rPr>
      </w:pPr>
    </w:p>
    <w:p>
      <w:pPr>
        <w:ind w:left="620" w:hanging="301"/>
        <w:spacing w:after="0"/>
        <w:tabs>
          <w:tab w:leader="none" w:pos="62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difficulty sourcing healthy donor material of sufficient quality and in sufficient quantity to meet our development needs;</w:t>
      </w:r>
    </w:p>
    <w:p>
      <w:pPr>
        <w:spacing w:after="0" w:line="34" w:lineRule="exact"/>
        <w:rPr>
          <w:rFonts w:ascii="Arial" w:cs="Arial" w:eastAsia="Arial" w:hAnsi="Arial"/>
          <w:sz w:val="21"/>
          <w:szCs w:val="21"/>
          <w:color w:val="auto"/>
        </w:rPr>
      </w:pPr>
    </w:p>
    <w:p>
      <w:pPr>
        <w:ind w:left="640" w:right="200" w:hanging="321"/>
        <w:spacing w:after="0"/>
        <w:tabs>
          <w:tab w:leader="none" w:pos="63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delays in developing, obtaining regulatory approval for, or implementing suitable assays for screening patients for eligibility for trials with respect to certain product candidates;</w:t>
      </w:r>
    </w:p>
    <w:p>
      <w:pPr>
        <w:spacing w:after="0" w:line="21" w:lineRule="exact"/>
        <w:rPr>
          <w:rFonts w:ascii="Arial" w:cs="Arial" w:eastAsia="Arial" w:hAnsi="Arial"/>
          <w:sz w:val="21"/>
          <w:szCs w:val="21"/>
          <w:color w:val="auto"/>
        </w:rPr>
      </w:pPr>
    </w:p>
    <w:p>
      <w:pPr>
        <w:ind w:left="640" w:right="240" w:hanging="321"/>
        <w:spacing w:after="0" w:line="245" w:lineRule="auto"/>
        <w:tabs>
          <w:tab w:leader="none" w:pos="63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the screen failure rate for clinical trials of our product candidates may be higher than we anticipate, requiring us to screen larger numbers of patients than originally planned. For example, the number of patients who have MRD at the end of front-line treatment in ALPHA3 may be lower than we expect, requiring more patients to be screened;</w:t>
      </w:r>
    </w:p>
    <w:p>
      <w:pPr>
        <w:spacing w:after="0" w:line="8" w:lineRule="exact"/>
        <w:rPr>
          <w:rFonts w:ascii="Arial" w:cs="Arial" w:eastAsia="Arial" w:hAnsi="Arial"/>
          <w:sz w:val="21"/>
          <w:szCs w:val="21"/>
          <w:color w:val="auto"/>
        </w:rPr>
      </w:pPr>
    </w:p>
    <w:p>
      <w:pPr>
        <w:ind w:left="620" w:hanging="301"/>
        <w:spacing w:after="0"/>
        <w:tabs>
          <w:tab w:leader="none" w:pos="62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delays in reaching a consensus with regulatory agencies on study design;</w:t>
      </w:r>
    </w:p>
    <w:p>
      <w:pPr>
        <w:spacing w:after="0" w:line="21" w:lineRule="exact"/>
        <w:rPr>
          <w:rFonts w:ascii="Arial" w:cs="Arial" w:eastAsia="Arial" w:hAnsi="Arial"/>
          <w:sz w:val="21"/>
          <w:szCs w:val="21"/>
          <w:color w:val="auto"/>
        </w:rPr>
      </w:pPr>
    </w:p>
    <w:p>
      <w:pPr>
        <w:ind w:left="640" w:right="520" w:hanging="321"/>
        <w:spacing w:after="0"/>
        <w:tabs>
          <w:tab w:leader="none" w:pos="63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delays in reaching agreement on acceptable terms with prospective CROs and clinical study sites, the terms of which can be subject to extensive negotiation and may vary significantly among different CROs and clinical study sites;</w:t>
      </w:r>
    </w:p>
    <w:p>
      <w:pPr>
        <w:spacing w:after="0" w:line="7" w:lineRule="exact"/>
        <w:rPr>
          <w:rFonts w:ascii="Arial" w:cs="Arial" w:eastAsia="Arial" w:hAnsi="Arial"/>
          <w:sz w:val="21"/>
          <w:szCs w:val="21"/>
          <w:color w:val="auto"/>
        </w:rPr>
      </w:pPr>
    </w:p>
    <w:p>
      <w:pPr>
        <w:ind w:left="620" w:hanging="301"/>
        <w:spacing w:after="0"/>
        <w:tabs>
          <w:tab w:leader="none" w:pos="62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delays in obtaining required IRB approval or approval of other ancillary regulatory committees at each clinical study site;</w:t>
      </w:r>
    </w:p>
    <w:p>
      <w:pPr>
        <w:spacing w:after="0" w:line="14" w:lineRule="exact"/>
        <w:rPr>
          <w:rFonts w:ascii="Arial" w:cs="Arial" w:eastAsia="Arial" w:hAnsi="Arial"/>
          <w:sz w:val="21"/>
          <w:szCs w:val="21"/>
          <w:color w:val="auto"/>
        </w:rPr>
      </w:pPr>
    </w:p>
    <w:p>
      <w:pPr>
        <w:ind w:left="640" w:right="20" w:hanging="321"/>
        <w:spacing w:after="0" w:line="257" w:lineRule="auto"/>
        <w:tabs>
          <w:tab w:leader="none" w:pos="63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imposition of a temporary or permanent clinical hold by regulatory agencies for a number of reasons, including after review of an IND application or amendment, or equivalent application or amendment; as a result of a new safety finding that presents uncertain or unreasonable risk to clinical trial participants; a negative finding from an inspection of our or our collaborator’s clinical study operations or our study sites; developments on trials conducted by competitors for related technology that raises FDA or other comparable foreign regulatory authority concerns about risk to patients of the technology broadly; or if the FDA or other comparable foreign regulatory authorities find that the investigational protocol or plan is clearly deficient to meet its stated objectives;</w:t>
      </w:r>
    </w:p>
    <w:p>
      <w:pPr>
        <w:spacing w:after="0" w:line="7"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delays in recruiting suitable patients to participate in our clinical studies;</w:t>
      </w:r>
    </w:p>
    <w:p>
      <w:pPr>
        <w:spacing w:after="0" w:line="13"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difficulty collaborating with patient groups and investigators;</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failure by our CROs, other third parties or us to adhere to clinical study requirements;</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failure to perform in accordance with the FDA’s good clinical practices (GCP) requirements or equivalent regulatory guidelines in other countries;</w:t>
      </w:r>
    </w:p>
    <w:p>
      <w:pPr>
        <w:spacing w:after="0" w:line="21" w:lineRule="exact"/>
        <w:rPr>
          <w:rFonts w:ascii="Arial" w:cs="Arial" w:eastAsia="Arial" w:hAnsi="Arial"/>
          <w:sz w:val="21"/>
          <w:szCs w:val="21"/>
          <w:color w:val="auto"/>
        </w:rPr>
      </w:pPr>
    </w:p>
    <w:p>
      <w:pPr>
        <w:ind w:left="640" w:right="940" w:hanging="321"/>
        <w:spacing w:after="0"/>
        <w:tabs>
          <w:tab w:leader="none" w:pos="635"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delays or failures in the transfer of manufacturing processes to any CDMO or our own manufacturing facility or any other development or commercialization partner for the manufacture of product candidates;</w:t>
      </w:r>
    </w:p>
    <w:p>
      <w:pPr>
        <w:spacing w:after="0" w:line="7" w:lineRule="exact"/>
        <w:rPr>
          <w:rFonts w:ascii="Arial" w:cs="Arial" w:eastAsia="Arial" w:hAnsi="Arial"/>
          <w:sz w:val="21"/>
          <w:szCs w:val="21"/>
          <w:color w:val="auto"/>
        </w:rPr>
      </w:pPr>
    </w:p>
    <w:p>
      <w:pPr>
        <w:ind w:left="620" w:hanging="301"/>
        <w:spacing w:after="0"/>
        <w:tabs>
          <w:tab w:leader="none" w:pos="62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delays in having patients complete participation in a study or return for post-treatment follow-up;</w:t>
      </w:r>
    </w:p>
    <w:p>
      <w:pPr>
        <w:spacing w:after="0" w:line="20" w:lineRule="exact"/>
        <w:rPr>
          <w:rFonts w:ascii="Arial" w:cs="Arial" w:eastAsia="Arial" w:hAnsi="Arial"/>
          <w:sz w:val="21"/>
          <w:szCs w:val="21"/>
          <w:color w:val="auto"/>
        </w:rPr>
      </w:pPr>
    </w:p>
    <w:p>
      <w:pPr>
        <w:ind w:left="620" w:hanging="301"/>
        <w:spacing w:after="0"/>
        <w:tabs>
          <w:tab w:leader="none" w:pos="62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patients dropping out of a study;</w:t>
      </w:r>
    </w:p>
    <w:p>
      <w:pPr>
        <w:spacing w:after="0" w:line="13"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occurrence of adverse events associated with the product candidate that are viewed to outweigh its potential benefits;</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regulatory requirements and guidance that require amending or submitting new clinical protocols;</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the standard of care on which a clinical development plan was based, which may require new or additional trials;</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26"/>
        </w:numPr>
        <w:rPr>
          <w:rFonts w:ascii="Arial" w:cs="Arial" w:eastAsia="Arial" w:hAnsi="Arial"/>
          <w:sz w:val="21"/>
          <w:szCs w:val="21"/>
          <w:color w:val="auto"/>
        </w:rPr>
      </w:pPr>
      <w:r>
        <w:rPr>
          <w:rFonts w:ascii="Times New Roman" w:cs="Times New Roman" w:eastAsia="Times New Roman" w:hAnsi="Times New Roman"/>
          <w:sz w:val="17"/>
          <w:szCs w:val="17"/>
          <w:color w:val="auto"/>
        </w:rPr>
        <w:t>the cost of clinical studies of our product candidates being greater than we anticipate;</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40" w:right="280" w:hanging="321"/>
        <w:spacing w:after="0"/>
        <w:tabs>
          <w:tab w:leader="none" w:pos="63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clinical studies of our product candidates producing negative or inconclusive results, which may result in our deciding, or regulators requiring us, to conduct additional clinical studies or abandon product development programs;</w:t>
      </w:r>
    </w:p>
    <w:p>
      <w:pPr>
        <w:spacing w:after="0" w:line="21" w:lineRule="exact"/>
        <w:rPr>
          <w:rFonts w:ascii="Arial" w:cs="Arial" w:eastAsia="Arial" w:hAnsi="Arial"/>
          <w:sz w:val="21"/>
          <w:szCs w:val="21"/>
          <w:color w:val="auto"/>
        </w:rPr>
      </w:pPr>
    </w:p>
    <w:p>
      <w:pPr>
        <w:ind w:left="640" w:right="760" w:hanging="321"/>
        <w:spacing w:after="0"/>
        <w:tabs>
          <w:tab w:leader="none" w:pos="635" w:val="left"/>
        </w:tabs>
        <w:numPr>
          <w:ilvl w:val="0"/>
          <w:numId w:val="27"/>
        </w:numPr>
        <w:rPr>
          <w:rFonts w:ascii="Arial" w:cs="Arial" w:eastAsia="Arial" w:hAnsi="Arial"/>
          <w:sz w:val="21"/>
          <w:szCs w:val="21"/>
          <w:color w:val="auto"/>
        </w:rPr>
      </w:pPr>
      <w:r>
        <w:rPr>
          <w:rFonts w:ascii="Times New Roman" w:cs="Times New Roman" w:eastAsia="Times New Roman" w:hAnsi="Times New Roman"/>
          <w:sz w:val="17"/>
          <w:szCs w:val="17"/>
          <w:color w:val="auto"/>
        </w:rPr>
        <w:t>delays or failure to secure supply agreements with suitable raw material suppliers, or any failures by suppliers to meet our quantity or quality requirements for necessary raw materials;</w:t>
      </w:r>
    </w:p>
    <w:p>
      <w:pPr>
        <w:ind w:left="640" w:right="200" w:hanging="321"/>
        <w:spacing w:after="0" w:line="257" w:lineRule="auto"/>
        <w:tabs>
          <w:tab w:leader="none" w:pos="63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shortage, interruption, or failure to secure commercially available and/or investigational drug products that are required to conduct clinical trials with our allogeneic CAR T product candidates; and</w:t>
      </w:r>
    </w:p>
    <w:p>
      <w:pPr>
        <w:ind w:left="640" w:right="220" w:hanging="321"/>
        <w:spacing w:after="0" w:line="274" w:lineRule="auto"/>
        <w:tabs>
          <w:tab w:leader="none" w:pos="63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manufacturing, testing, releasing, validating, or importing/exporting sufficient stable quantities of our product candidates for use in clinical studies or the inability to do any of the foregoing.</w:t>
      </w:r>
    </w:p>
    <w:p>
      <w:pPr>
        <w:spacing w:after="0" w:line="191"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A pandemic or epidemic may also increase the risk of certain of the events described above and delay our development timelines. Any inability to successfully complete preclinical and clinical development could result in additional costs to us or impair our ability to generate revenue. In addition, as we continue to transition manufacturing of certain of our product candidates from our CDMO to our manufacturing facility, we will be required to meet certain regulatory conditions, such as establishing comparability with the product candidates manufactured at our CDMO, and our inability to meet such conditions would result in investment of additional resources, a delay in using our manufacturing facility for production of such product candidate and an extension of our clinical trial timelines. Similar conditions may apply if we make manufacturing or formulation changes to our product candidates. Clinical study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w:t>
      </w:r>
    </w:p>
    <w:p>
      <w:pPr>
        <w:spacing w:after="0" w:line="205"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Our clinical trials may also be delayed because of the availability of drugs required to be used under our protocols. For example, in some of our clinical trials, the study participants receive commercially available drugs for lymphodepletion before our allogeneic CAR T product candidates are administered, and receive other drugs to prevent infections and manage the treatment emergent adverse events. Shortage or lack of availability of these commercially available drugs that are necessary to conduct our clinical trials may cause delays in our clinical trials.</w:t>
      </w:r>
    </w:p>
    <w:p>
      <w:pPr>
        <w:spacing w:after="0" w:line="190"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Monitoring and managing toxicities in patients receiving our product candidates is challenging, which could adversely affect our ability to obtain regulatory approval and commercialize.*</w:t>
      </w:r>
    </w:p>
    <w:p>
      <w:pPr>
        <w:spacing w:after="0" w:line="169" w:lineRule="exact"/>
        <w:rPr>
          <w:sz w:val="20"/>
          <w:szCs w:val="20"/>
          <w:color w:val="auto"/>
        </w:rPr>
      </w:pPr>
    </w:p>
    <w:p>
      <w:pPr>
        <w:ind w:right="20" w:firstLine="629"/>
        <w:spacing w:after="0" w:line="262" w:lineRule="auto"/>
        <w:rPr>
          <w:sz w:val="20"/>
          <w:szCs w:val="20"/>
          <w:color w:val="auto"/>
        </w:rPr>
      </w:pPr>
      <w:r>
        <w:rPr>
          <w:rFonts w:ascii="Times New Roman" w:cs="Times New Roman" w:eastAsia="Times New Roman" w:hAnsi="Times New Roman"/>
          <w:sz w:val="17"/>
          <w:szCs w:val="17"/>
          <w:color w:val="auto"/>
        </w:rPr>
        <w:t>For our clinical trials of our product candidates, we contract or will contract with academic medical centers and hospitals experienced in the assessment and management of toxicities arising during clinical trials. Nonetheless, these centers and hospitals may have difficulty observing patients and treating toxicities, which may be more challenging due to personnel changes, inexperience, shift changes, house staff coverage or related issues. This could lead to more severe or prolonged toxicities or even patient deaths, which could result in us or the FDA or other comparable foreign regulatory authorities delaying, suspending, varying, or terminating one or more of our clinical trials, and which could jeopardize regulatory approval. We also expect the centers using our product candidates, if approved, on a commercial basis could have similar difficulty in managing adverse events. Medicines used at centers to help manage adverse side effects of our product candidates may not adequately control the side effects and/or may have a detrimental impact on the efficacy of the treatment. Challenges associated with the use of these medicines may increase with new physicians and centers administering our product candidates.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encounter difficulties enrolling patients in our clinical trials, our clinical development activities could be delayed or otherwise adversely affected.*</w:t>
      </w:r>
    </w:p>
    <w:p>
      <w:pPr>
        <w:spacing w:after="0" w:line="254" w:lineRule="exact"/>
        <w:rPr>
          <w:sz w:val="20"/>
          <w:szCs w:val="20"/>
          <w:color w:val="auto"/>
        </w:rPr>
      </w:pPr>
    </w:p>
    <w:p>
      <w:pPr>
        <w:ind w:right="40" w:firstLine="629"/>
        <w:spacing w:after="0" w:line="259" w:lineRule="auto"/>
        <w:rPr>
          <w:sz w:val="20"/>
          <w:szCs w:val="20"/>
          <w:color w:val="auto"/>
        </w:rPr>
      </w:pPr>
      <w:r>
        <w:rPr>
          <w:rFonts w:ascii="Times New Roman" w:cs="Times New Roman" w:eastAsia="Times New Roman" w:hAnsi="Times New Roman"/>
          <w:sz w:val="17"/>
          <w:szCs w:val="17"/>
          <w:color w:val="auto"/>
        </w:rPr>
        <w:t>We may experience difficulties in patient enrollment in our clinical trials for a variety of reasons. For example, as we progress the ALPHA2 CLL cohort, ALPHA3 and TRAVERSE trials, we may face enrollment challenges, including an unwillingness of sites or patients to participate, the exclusion of patients with certain disease characteristics or the ineligibility of patients that have received prior autologous CAR T therapies, which continue to gain adoption. The timely completion of clinical trials in accordance with their protocols depends, among other things, on our ability to enroll a sufficient number of patients. Because we anticipate a minority of the 1L patients we will test for MRD as part of screening for the ALPHA3 trial will be MRD positive, we will likely experience a very high screen failure rate, which will require screening a large number of patients to complete enrollment in the study. Because of the anticipated high screen failure rate, certain clinical trial sites may decline to participate in ALPHA3 or completion of enrollment may be significantly delayed. Future epidemics or pandemics may result in reduced enrollment and challenges to related clinical trial activities. The enrollment of patients may be more difficult, such as due to the perceptions of the safety of our product candidates, and will depend on many factors, including:</w:t>
      </w:r>
    </w:p>
    <w:p>
      <w:pPr>
        <w:spacing w:after="0" w:line="13" w:lineRule="exact"/>
        <w:rPr>
          <w:sz w:val="20"/>
          <w:szCs w:val="20"/>
          <w:color w:val="auto"/>
        </w:rPr>
      </w:pPr>
    </w:p>
    <w:p>
      <w:pPr>
        <w:ind w:left="620" w:hanging="301"/>
        <w:spacing w:after="0"/>
        <w:tabs>
          <w:tab w:leader="none" w:pos="62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the patient eligibility criteria defined in the protocol;</w:t>
      </w:r>
    </w:p>
    <w:p>
      <w:pPr>
        <w:spacing w:after="0" w:line="13" w:lineRule="exact"/>
        <w:rPr>
          <w:rFonts w:ascii="Arial" w:cs="Arial" w:eastAsia="Arial" w:hAnsi="Arial"/>
          <w:sz w:val="21"/>
          <w:szCs w:val="21"/>
          <w:color w:val="auto"/>
        </w:rPr>
      </w:pPr>
    </w:p>
    <w:p>
      <w:pPr>
        <w:ind w:left="620" w:hanging="301"/>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of any biomarker required for enrollment, such as MRD or CD70 expression;</w:t>
      </w:r>
    </w:p>
    <w:p>
      <w:pPr>
        <w:spacing w:after="0" w:line="20"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8"/>
        </w:numPr>
        <w:rPr>
          <w:rFonts w:ascii="Arial" w:cs="Arial" w:eastAsia="Arial" w:hAnsi="Arial"/>
          <w:sz w:val="21"/>
          <w:szCs w:val="21"/>
          <w:color w:val="auto"/>
        </w:rPr>
      </w:pPr>
      <w:r>
        <w:rPr>
          <w:rFonts w:ascii="Times New Roman" w:cs="Times New Roman" w:eastAsia="Times New Roman" w:hAnsi="Times New Roman"/>
          <w:sz w:val="17"/>
          <w:szCs w:val="17"/>
          <w:color w:val="auto"/>
        </w:rPr>
        <w:t>the size of the patient population required for analysis of the trial’s primary endpoints;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ind w:left="620" w:hanging="301"/>
        <w:spacing w:after="0"/>
        <w:tabs>
          <w:tab w:leader="none" w:pos="62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7"/>
          <w:szCs w:val="17"/>
          <w:color w:val="auto"/>
        </w:rPr>
        <w:t>the proximity of patients to study sites;</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7"/>
          <w:szCs w:val="17"/>
          <w:color w:val="auto"/>
        </w:rPr>
        <w:t>the design of the trial;</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recruit clinical trial investigators with the appropriate competencies and experience;</w:t>
      </w:r>
    </w:p>
    <w:p>
      <w:pPr>
        <w:spacing w:after="0" w:line="20" w:lineRule="exact"/>
        <w:rPr>
          <w:rFonts w:ascii="Arial" w:cs="Arial" w:eastAsia="Arial" w:hAnsi="Arial"/>
          <w:sz w:val="21"/>
          <w:szCs w:val="21"/>
          <w:color w:val="auto"/>
        </w:rPr>
      </w:pPr>
    </w:p>
    <w:p>
      <w:pPr>
        <w:ind w:left="620" w:hanging="301"/>
        <w:spacing w:after="0"/>
        <w:tabs>
          <w:tab w:leader="none" w:pos="620"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obtain and maintain patient consents;</w:t>
      </w:r>
    </w:p>
    <w:p>
      <w:pPr>
        <w:spacing w:after="0" w:line="21" w:lineRule="exact"/>
        <w:rPr>
          <w:rFonts w:ascii="Arial" w:cs="Arial" w:eastAsia="Arial" w:hAnsi="Arial"/>
          <w:sz w:val="21"/>
          <w:szCs w:val="21"/>
          <w:color w:val="auto"/>
        </w:rPr>
      </w:pPr>
    </w:p>
    <w:p>
      <w:pPr>
        <w:ind w:left="640" w:right="480" w:hanging="321"/>
        <w:spacing w:after="0"/>
        <w:tabs>
          <w:tab w:leader="none" w:pos="635" w:val="left"/>
        </w:tabs>
        <w:numPr>
          <w:ilvl w:val="0"/>
          <w:numId w:val="29"/>
        </w:numPr>
        <w:rPr>
          <w:rFonts w:ascii="Arial" w:cs="Arial" w:eastAsia="Arial" w:hAnsi="Arial"/>
          <w:sz w:val="21"/>
          <w:szCs w:val="21"/>
          <w:color w:val="auto"/>
        </w:rPr>
      </w:pPr>
      <w:r>
        <w:rPr>
          <w:rFonts w:ascii="Times New Roman" w:cs="Times New Roman" w:eastAsia="Times New Roman" w:hAnsi="Times New Roman"/>
          <w:sz w:val="17"/>
          <w:szCs w:val="17"/>
          <w:color w:val="auto"/>
        </w:rPr>
        <w:t>the competition from approved products in the same or other lines of therapy and and/or disease indications and from product candidates in other clinical trials; and</w:t>
      </w:r>
    </w:p>
    <w:p>
      <w:pPr>
        <w:ind w:left="620" w:hanging="301"/>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patients enrolled in clinical trials will drop out of the trials before the infusion of our product candidates or trial completion.</w:t>
      </w:r>
    </w:p>
    <w:p>
      <w:pPr>
        <w:spacing w:after="0" w:line="232" w:lineRule="exact"/>
        <w:rPr>
          <w:sz w:val="20"/>
          <w:szCs w:val="20"/>
          <w:color w:val="auto"/>
        </w:rPr>
      </w:pPr>
    </w:p>
    <w:p>
      <w:pPr>
        <w:ind w:firstLine="629"/>
        <w:spacing w:after="0" w:line="266" w:lineRule="auto"/>
        <w:rPr>
          <w:sz w:val="20"/>
          <w:szCs w:val="20"/>
          <w:color w:val="auto"/>
        </w:rPr>
      </w:pPr>
      <w:r>
        <w:rPr>
          <w:rFonts w:ascii="Times New Roman" w:cs="Times New Roman" w:eastAsia="Times New Roman" w:hAnsi="Times New Roman"/>
          <w:sz w:val="17"/>
          <w:szCs w:val="17"/>
          <w:color w:val="auto"/>
        </w:rPr>
        <w:t>Since we only need to conduct a limited number of manufacturing runs to generate clinical supply, the diversity of our supply is limited during clinical trials. As a result, some patients may have antibodies to certain donor specific antigens at titers that could negatively impact the activity of our product candidates and which would render the patients ineligible for treatment. Furthermore, cellular mechanisms of allogeneic tissue rejection may limit the efficacy of our products. In addition, we have introduced an in vitro companion diagnostic (IVD) assay in the TRAVERSE trial to screen for patients with CD70+ tumors and are utilizing an MRD assay in the ALPHA3 trial to screen for patients who are MRD positive, both of which are restricting the number of patients eligible for the trials.</w:t>
      </w:r>
    </w:p>
    <w:p>
      <w:pPr>
        <w:spacing w:after="0" w:line="200" w:lineRule="exact"/>
        <w:rPr>
          <w:sz w:val="20"/>
          <w:szCs w:val="20"/>
          <w:color w:val="auto"/>
        </w:rPr>
      </w:pPr>
    </w:p>
    <w:p>
      <w:pPr>
        <w:spacing w:after="0" w:line="210" w:lineRule="exact"/>
        <w:rPr>
          <w:sz w:val="20"/>
          <w:szCs w:val="20"/>
          <w:color w:val="auto"/>
        </w:rPr>
      </w:pPr>
    </w:p>
    <w:p>
      <w:pPr>
        <w:ind w:right="140" w:firstLine="629"/>
        <w:spacing w:after="0" w:line="263" w:lineRule="auto"/>
        <w:rPr>
          <w:sz w:val="20"/>
          <w:szCs w:val="20"/>
          <w:color w:val="auto"/>
        </w:rPr>
      </w:pPr>
      <w:r>
        <w:rPr>
          <w:rFonts w:ascii="Times New Roman" w:cs="Times New Roman" w:eastAsia="Times New Roman" w:hAnsi="Times New Roman"/>
          <w:sz w:val="17"/>
          <w:szCs w:val="17"/>
          <w:color w:val="auto"/>
        </w:rPr>
        <w:t>Development and research use of an experimental diagnostic assay or test, such as that we are using to determine CD70 expression on tumor tissue of potential participants in the TRAVERSE trial or to identify MRD positive patients in the ALPHA3 trial, may influence results of the study in expected or unexpected ways. For example, emerging safety and efficacy outcomes could lead us to impose, tighten or expand “cutoff” values of CD70 expression to determine enrollment eligibility for TRAVERSE. Assay performance or necessary changes we or our partners make to the assay(s) during development may reduce the pace of enrollment or may lead to alterations in the expected benefit risk profile as compared to results collected prior to the change. The diagnostic assay itself may not perform as expected due to identifiable or obscure factors. It is also possible that we may not be aware of such underperformance of the assay which could lead to incorrect conclusions. This could, in turn, impact enrollment and interpretation of the clinical trial results.</w:t>
      </w:r>
    </w:p>
    <w:p>
      <w:pPr>
        <w:spacing w:after="0" w:line="203"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Our clinical trials will also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For example, our collaboration with Foresight Diagnostics is nonexclusive. As a result, there is a risk that Foresight Diagnostics might work with our competitors to enable a competing clinical trial involving the same MRD positive patient population that we plan to enroll in ALPHA3, which would reduce the number of patients who are available to participate in ALPHA3, and potentially delay completion of ALPHA3. Since the number of qualified clinical investigators is limited, some of our clinical trial sites are also being used by some of our competitors, which may reduce the number of patients who are available for our clinical trials in that clinical trial site.</w:t>
      </w:r>
    </w:p>
    <w:p>
      <w:pPr>
        <w:spacing w:after="0" w:line="203"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As our clinical trials require conditioning patients with chemotherapy, including agents such as cyclophosphamide and fludarabine, and physicians use other drugs prophylactically or to manage adverse events, our ability to enroll may be impacted by the shortage of such agents or drugs. For instance, the FDA has reported a shortage of fludarabine and any failure or delays by us or by our clinical trial sites to obtain sufficient quantities of fludarabine may delay our ability to enroll and treat patients in our clinical trials.</w:t>
      </w:r>
    </w:p>
    <w:p>
      <w:pPr>
        <w:spacing w:after="0" w:line="194" w:lineRule="exact"/>
        <w:rPr>
          <w:sz w:val="20"/>
          <w:szCs w:val="20"/>
          <w:color w:val="auto"/>
        </w:rPr>
      </w:pPr>
    </w:p>
    <w:p>
      <w:pPr>
        <w:ind w:right="120" w:firstLine="629"/>
        <w:spacing w:after="0" w:line="261" w:lineRule="auto"/>
        <w:rPr>
          <w:sz w:val="20"/>
          <w:szCs w:val="20"/>
          <w:color w:val="auto"/>
        </w:rPr>
      </w:pPr>
      <w:r>
        <w:rPr>
          <w:rFonts w:ascii="Times New Roman" w:cs="Times New Roman" w:eastAsia="Times New Roman" w:hAnsi="Times New Roman"/>
          <w:sz w:val="17"/>
          <w:szCs w:val="17"/>
          <w:color w:val="auto"/>
        </w:rPr>
        <w:t>Moreover, because our product candidates represent a departure from more commonly used methods for cancer treatment, potential patients and their doctors may be inclined to use conventional therapies, such as chemotherapy, monoclonal antibodies, hematopoietic cell transplantation as well as autologous CAR T cell therapies, rather than enroll patients in our clinical trial, including if our product candidates have or are perceived to have additional safety or efficacy risks or if using our product candidates may affect insurance coverage of conventional therapies. For instance, the development of autologous CAR T cell therapies continues to rapidly advance, including into earlier lines of treatment of LBCL and treatment of relapsed/refractory (R/R) multiple myeloma, as described under the section entitled "Business—Competition" included in our Annual Report. We also may experience risks associated with a new class of therapies, bispecific antibodies, which have been approved for multiple myeloma and LBCL. The compelling results and related approvals may impact our ability to enroll patients in our clinical trials. Moreover, patients eligible for allogeneic CAR T cell therapies but ineligible for autologous CAR T cell therapies due to aggressive cancer and inability to wait for autologous CAR T cell therapies may be at greater risk for complications and death from therapy or may experience a reduction in efficacy as compared to patients who are well enough and whose disease is sufficiently slow growing as to be eligible for autologous CAR T cell therapy.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60" w:firstLine="629"/>
        <w:spacing w:after="0" w:line="296" w:lineRule="auto"/>
        <w:rPr>
          <w:sz w:val="20"/>
          <w:szCs w:val="20"/>
          <w:color w:val="auto"/>
        </w:rPr>
      </w:pPr>
      <w:r>
        <w:rPr>
          <w:rFonts w:ascii="Times New Roman" w:cs="Times New Roman" w:eastAsia="Times New Roman" w:hAnsi="Times New Roman"/>
          <w:sz w:val="17"/>
          <w:szCs w:val="17"/>
          <w:color w:val="auto"/>
        </w:rPr>
        <w:t>Delays in patient enrollment may result in increased costs or may affect the timing or outcome of our clinical trials, which could prevent completion of these trials and adversely affect our ability to advance the development of our product candidates.</w:t>
      </w:r>
    </w:p>
    <w:p>
      <w:pPr>
        <w:spacing w:after="0" w:line="169" w:lineRule="exact"/>
        <w:rPr>
          <w:sz w:val="20"/>
          <w:szCs w:val="20"/>
          <w:color w:val="auto"/>
        </w:rPr>
      </w:pPr>
    </w:p>
    <w:p>
      <w:pPr>
        <w:ind w:right="2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market opportunities for certain of our product candidates may be limited to those patients who are ineligible for or have failed prior treatments and may be small.</w:t>
      </w:r>
    </w:p>
    <w:p>
      <w:pPr>
        <w:spacing w:after="0" w:line="169" w:lineRule="exact"/>
        <w:rPr>
          <w:sz w:val="20"/>
          <w:szCs w:val="20"/>
          <w:color w:val="auto"/>
        </w:rPr>
      </w:pPr>
    </w:p>
    <w:p>
      <w:pPr>
        <w:ind w:right="140" w:firstLine="629"/>
        <w:spacing w:after="0" w:line="263" w:lineRule="auto"/>
        <w:rPr>
          <w:sz w:val="20"/>
          <w:szCs w:val="20"/>
          <w:color w:val="auto"/>
        </w:rPr>
      </w:pPr>
      <w:r>
        <w:rPr>
          <w:rFonts w:ascii="Times New Roman" w:cs="Times New Roman" w:eastAsia="Times New Roman" w:hAnsi="Times New Roman"/>
          <w:sz w:val="17"/>
          <w:szCs w:val="17"/>
          <w:color w:val="auto"/>
        </w:rPr>
        <w:t>The FDA often approves new therapies initially only for use in patients with R/R metastatic disease. We may initially seek approval of certain of our product candidates in this setting. Subsequently, for those products that prove to be sufficiently beneficial, if any, we would expect to seek further approval in earlier lines of treatment, and for cema-cel we expect to initially seek approval in the first line consolidation setting. There is no guarantee that our product candidates, even if approved, would be approved for earlier lines of therapy, and, prior to any such approvals, we will have to conduct additional clinical trials, including potentially comparative trials against the then-current standard of care, which in some cases may include comparative trials against approved therapies. We may also target a similar patient population as autologous CAR T product candidates, including approved autologous CAR T products. Our therapies may not be as safe and effective as autologous CAR T therapies and may only be approved for patients who are ineligible for autologous CAR T therapy.</w:t>
      </w:r>
    </w:p>
    <w:p>
      <w:pPr>
        <w:spacing w:after="0" w:line="200" w:lineRule="exact"/>
        <w:rPr>
          <w:sz w:val="20"/>
          <w:szCs w:val="20"/>
          <w:color w:val="auto"/>
        </w:rPr>
      </w:pPr>
    </w:p>
    <w:p>
      <w:pPr>
        <w:spacing w:after="0" w:line="213" w:lineRule="exact"/>
        <w:rPr>
          <w:sz w:val="20"/>
          <w:szCs w:val="20"/>
          <w:color w:val="auto"/>
        </w:rPr>
      </w:pPr>
    </w:p>
    <w:p>
      <w:pPr>
        <w:ind w:right="80" w:firstLine="629"/>
        <w:spacing w:after="0" w:line="265" w:lineRule="auto"/>
        <w:rPr>
          <w:sz w:val="20"/>
          <w:szCs w:val="20"/>
          <w:color w:val="auto"/>
        </w:rPr>
      </w:pPr>
      <w:r>
        <w:rPr>
          <w:rFonts w:ascii="Times New Roman" w:cs="Times New Roman" w:eastAsia="Times New Roman" w:hAnsi="Times New Roman"/>
          <w:sz w:val="17"/>
          <w:szCs w:val="17"/>
          <w:color w:val="auto"/>
        </w:rPr>
        <w:t>Our projections of both the number of patients who have the cancers we are targeting, as well as the subset of patients with these cancers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or therapies may change the estimated incidence or prevalence of these cancers. The number of patients may turn out to be lower than expected. Additionally, the potentially addressable patient population for our product candidates may be limited, such as due to the eligibility criteria of our trials, or may not be amenable to treatment with our product candidates.</w:t>
      </w:r>
    </w:p>
    <w:p>
      <w:pPr>
        <w:spacing w:after="0" w:line="194"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may fail to successfully manufacture our product candidates, operate our own manufacturing facility, or obtain regulatory approval to utilize or commercialize from our manufacturing facility or at a CDMO, which could adversely affect our clinical trials and the commercial viability of our product candidates.*</w:t>
      </w:r>
    </w:p>
    <w:p>
      <w:pPr>
        <w:spacing w:after="0" w:line="187" w:lineRule="exact"/>
        <w:rPr>
          <w:sz w:val="20"/>
          <w:szCs w:val="20"/>
          <w:color w:val="auto"/>
        </w:rPr>
      </w:pPr>
    </w:p>
    <w:p>
      <w:pPr>
        <w:ind w:right="220" w:firstLine="629"/>
        <w:spacing w:after="0" w:line="268" w:lineRule="auto"/>
        <w:rPr>
          <w:sz w:val="20"/>
          <w:szCs w:val="20"/>
          <w:color w:val="auto"/>
        </w:rPr>
      </w:pPr>
      <w:r>
        <w:rPr>
          <w:rFonts w:ascii="Times New Roman" w:cs="Times New Roman" w:eastAsia="Times New Roman" w:hAnsi="Times New Roman"/>
          <w:sz w:val="17"/>
          <w:szCs w:val="17"/>
          <w:color w:val="auto"/>
        </w:rPr>
        <w:t>We may not be able to achieve clinical or commercial manufacturing of our products on our own or at a CDMO, including the inability to satisfy demands for any of our product candidates. We have limited experience in managing the allogeneic T cell engineering process, and our allogeneic processes may be more difficult or more expensive than the approaches taken by our competitors. Until we complete our clinical trials, we cannot be sure that the manufacturing processes employed by us or the technologies that we incorporate for manufacturing will result in consistent T cell production that will be safe and effective.</w:t>
      </w:r>
    </w:p>
    <w:p>
      <w:pPr>
        <w:spacing w:after="0" w:line="200" w:lineRule="exact"/>
        <w:rPr>
          <w:sz w:val="20"/>
          <w:szCs w:val="20"/>
          <w:color w:val="auto"/>
        </w:rPr>
      </w:pPr>
    </w:p>
    <w:p>
      <w:pPr>
        <w:spacing w:after="0" w:line="210"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We operate a manufacturing facility located in Newark, California that is designed to support our clinical trials and potential commercial production and worldwide distribution of allogeneic CAR T cell products for blood cancers, solid tumors and autoimmune diseases. Introducing any product manufactured at our manufacturing facility into an ongoing clinical trial would be subject to FDA review, and may result in increased costs and delays in conducting such trial, submitting a biologics license application (BLA) and/or gaining FDA or other comparable foreign regulatory authority approval. Similar conditions may apply if we make process changes to our product candidates, as we plan to do for our BCMA program. In addition, any process or raw material change could introduce unacceptable product variability and impact our ability to manufacture on a consistent and reproducible basis. Ultimately, any failure or delays in manufacturing and qualification of our product candidates at our CDMO or at our own manufacturing facility could delay our clinical trials.</w:t>
      </w:r>
    </w:p>
    <w:p>
      <w:pPr>
        <w:spacing w:after="0" w:line="203" w:lineRule="exact"/>
        <w:rPr>
          <w:sz w:val="20"/>
          <w:szCs w:val="20"/>
          <w:color w:val="auto"/>
        </w:rPr>
      </w:pPr>
    </w:p>
    <w:p>
      <w:pPr>
        <w:ind w:right="80" w:firstLine="629"/>
        <w:spacing w:after="0" w:line="262" w:lineRule="auto"/>
        <w:rPr>
          <w:sz w:val="20"/>
          <w:szCs w:val="20"/>
          <w:color w:val="auto"/>
        </w:rPr>
      </w:pPr>
      <w:r>
        <w:rPr>
          <w:rFonts w:ascii="Times New Roman" w:cs="Times New Roman" w:eastAsia="Times New Roman" w:hAnsi="Times New Roman"/>
          <w:sz w:val="17"/>
          <w:szCs w:val="17"/>
          <w:color w:val="auto"/>
        </w:rPr>
        <w:t>We do not yet have sufficient information to reliably estimate the cost of the commercial manufacturing of our product candidates, and the actual cost to manufacture our product candidates could materially and adversely affect the commercial viability of our product candidates. The commercial dose and treatment regimen may affect our ability to scale and will affect our cost per dose. For instance, because our anti-BCMA product candidates may require a higher dose than cema-cel, it is possible that it may be more difficult to scale production of our anti-BCMA product candidates to meet demand. As a result, we may never be able to develop a commercially viable product. Our manufacturing facility will also require FDA approval, and possibly similar approval from comparable foreign regulatory authorities before it can be used for commercial production, which we may never obtain. Even if approved, we would be subject to ongoing periodic unannounced inspection by the FDA, EMA, the Drug Enforcement Administration and corresponding state agencies to ensure strict compliance with current good manufacturing practices (cGMP), and other government regulations.</w:t>
      </w:r>
    </w:p>
    <w:p>
      <w:pPr>
        <w:spacing w:after="0" w:line="205" w:lineRule="exact"/>
        <w:rPr>
          <w:sz w:val="20"/>
          <w:szCs w:val="20"/>
          <w:color w:val="auto"/>
        </w:rPr>
      </w:pPr>
    </w:p>
    <w:p>
      <w:pPr>
        <w:ind w:right="180" w:firstLine="629"/>
        <w:spacing w:after="0" w:line="296" w:lineRule="auto"/>
        <w:rPr>
          <w:sz w:val="20"/>
          <w:szCs w:val="20"/>
          <w:color w:val="auto"/>
        </w:rPr>
      </w:pPr>
      <w:r>
        <w:rPr>
          <w:rFonts w:ascii="Times New Roman" w:cs="Times New Roman" w:eastAsia="Times New Roman" w:hAnsi="Times New Roman"/>
          <w:sz w:val="17"/>
          <w:szCs w:val="17"/>
          <w:color w:val="auto"/>
        </w:rPr>
        <w:t>The manufacture of biopharmaceutical products is complex and requires significant expertise, including the development of advanced manufacturing techniques and process controls. Manufacturers of cell therapy products often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7"/>
          <w:szCs w:val="17"/>
          <w:color w:val="auto"/>
        </w:rPr>
        <w:t>encounter difficulties in production, particularly in validating initial production and ensuring the absence of contamination. Other problems can include difficulties with production costs and yields, quality control, including stability of the product, operator error, shortages of qualified personnel, as well as compliance with strictly enforced federal, state and foreign regulations. The application of new regulatory guidelines or parameters, such as those related to release testing, may also adversely affect our ability to manufacture our product candidates. Furthermore, if contaminants are discovered in our supply of product candidates or in the manufacturing facilities, such supply may have to be discarded and our manufacturing facility may need to be closed for an extended period of time to investigate and remedy the contamination. We cannot assure you that any stability or other issues relating to the manufacture of our product candidates will not occur in the future.</w:t>
      </w:r>
    </w:p>
    <w:p>
      <w:pPr>
        <w:spacing w:after="0" w:line="203"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We or any of our vendors may fail to manage the logistics of storing and shipping our raw materials and product candidates. Storage failures and shipment delays and problems caused by us, our vendors or other factors not in our control, such as weather, could result in the inability to manufacture product, the loss of usable product or prevent or delay the delivery of product candidates to patients.</w:t>
      </w:r>
    </w:p>
    <w:p>
      <w:pPr>
        <w:spacing w:after="0" w:line="190" w:lineRule="exact"/>
        <w:rPr>
          <w:sz w:val="20"/>
          <w:szCs w:val="20"/>
          <w:color w:val="auto"/>
        </w:rPr>
      </w:pPr>
    </w:p>
    <w:p>
      <w:pPr>
        <w:ind w:right="360" w:firstLine="629"/>
        <w:spacing w:after="0" w:line="296" w:lineRule="auto"/>
        <w:rPr>
          <w:sz w:val="20"/>
          <w:szCs w:val="20"/>
          <w:color w:val="auto"/>
        </w:rPr>
      </w:pPr>
      <w:r>
        <w:rPr>
          <w:rFonts w:ascii="Times New Roman" w:cs="Times New Roman" w:eastAsia="Times New Roman" w:hAnsi="Times New Roman"/>
          <w:sz w:val="17"/>
          <w:szCs w:val="17"/>
          <w:color w:val="auto"/>
        </w:rPr>
        <w:t>We may also experience manufacturing difficulties due to resource constraints or as a result of labor disruptions, such as due to a future pandemic, epidemic or disputes. If we were to encounter any of these difficulties, our ability to provide our product candidates to patients would be jeopardized.</w:t>
      </w:r>
    </w:p>
    <w:p>
      <w:pPr>
        <w:spacing w:after="0" w:line="169" w:lineRule="exact"/>
        <w:rPr>
          <w:sz w:val="20"/>
          <w:szCs w:val="20"/>
          <w:color w:val="auto"/>
        </w:rPr>
      </w:pPr>
    </w:p>
    <w:p>
      <w:pPr>
        <w:ind w:right="2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As a company, we have no experience in marketing products. If we are unable to establish marketing and sales capabilities or enter into agreements with third parties to market and sell our product candidates, we may not be able to generate product revenue.</w:t>
      </w:r>
    </w:p>
    <w:p>
      <w:pPr>
        <w:spacing w:after="0" w:line="169" w:lineRule="exact"/>
        <w:rPr>
          <w:sz w:val="20"/>
          <w:szCs w:val="20"/>
          <w:color w:val="auto"/>
        </w:rPr>
      </w:pPr>
    </w:p>
    <w:p>
      <w:pPr>
        <w:ind w:right="180" w:firstLine="629"/>
        <w:spacing w:after="0" w:line="276" w:lineRule="auto"/>
        <w:rPr>
          <w:sz w:val="20"/>
          <w:szCs w:val="20"/>
          <w:color w:val="auto"/>
        </w:rPr>
      </w:pPr>
      <w:r>
        <w:rPr>
          <w:rFonts w:ascii="Times New Roman" w:cs="Times New Roman" w:eastAsia="Times New Roman" w:hAnsi="Times New Roman"/>
          <w:sz w:val="17"/>
          <w:szCs w:val="17"/>
          <w:color w:val="auto"/>
        </w:rPr>
        <w:t>As a company, we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90"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If we are unable or decide not to establish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or be on favorable terms.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98" w:lineRule="exact"/>
        <w:rPr>
          <w:sz w:val="20"/>
          <w:szCs w:val="20"/>
          <w:color w:val="auto"/>
        </w:rPr>
      </w:pPr>
    </w:p>
    <w:p>
      <w:pPr>
        <w:ind w:right="140" w:firstLine="629"/>
        <w:spacing w:after="0" w:line="296" w:lineRule="auto"/>
        <w:rPr>
          <w:sz w:val="20"/>
          <w:szCs w:val="20"/>
          <w:color w:val="auto"/>
        </w:rPr>
      </w:pPr>
      <w:r>
        <w:rPr>
          <w:rFonts w:ascii="Times New Roman" w:cs="Times New Roman" w:eastAsia="Times New Roman" w:hAnsi="Times New Roman"/>
          <w:sz w:val="17"/>
          <w:szCs w:val="17"/>
          <w:color w:val="auto"/>
        </w:rPr>
        <w:t>There can be no assurance that we will be able to develop in-house sales and distribution capabilities or establish or maintain relationships with third-party collaborators to commercialize any product that receives regulatory approval in the United States or in other markets.</w:t>
      </w:r>
    </w:p>
    <w:p>
      <w:pPr>
        <w:spacing w:after="0" w:line="169" w:lineRule="exact"/>
        <w:rPr>
          <w:sz w:val="20"/>
          <w:szCs w:val="20"/>
          <w:color w:val="auto"/>
        </w:rPr>
      </w:pPr>
    </w:p>
    <w:p>
      <w:pPr>
        <w:ind w:right="3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A variety of risks associated with conducting research and clinical trials abroad and marketing our product candidates internationally could materially adversely affect our business.*</w:t>
      </w:r>
    </w:p>
    <w:p>
      <w:pPr>
        <w:spacing w:after="0" w:line="169" w:lineRule="exact"/>
        <w:rPr>
          <w:sz w:val="20"/>
          <w:szCs w:val="20"/>
          <w:color w:val="auto"/>
        </w:rPr>
      </w:pPr>
    </w:p>
    <w:p>
      <w:pPr>
        <w:ind w:right="220" w:firstLine="629"/>
        <w:spacing w:after="0" w:line="268" w:lineRule="auto"/>
        <w:rPr>
          <w:sz w:val="20"/>
          <w:szCs w:val="20"/>
          <w:color w:val="auto"/>
        </w:rPr>
      </w:pPr>
      <w:r>
        <w:rPr>
          <w:rFonts w:ascii="Times New Roman" w:cs="Times New Roman" w:eastAsia="Times New Roman" w:hAnsi="Times New Roman"/>
          <w:sz w:val="17"/>
          <w:szCs w:val="17"/>
          <w:color w:val="auto"/>
        </w:rPr>
        <w:t>We plan to globally develop our product candidates. Accordingly, we expect that we will be subject to additional risks related to operating in foreign countries, including:</w:t>
      </w:r>
    </w:p>
    <w:p>
      <w:pPr>
        <w:spacing w:after="0" w:line="8" w:lineRule="exact"/>
        <w:rPr>
          <w:sz w:val="20"/>
          <w:szCs w:val="20"/>
          <w:color w:val="auto"/>
        </w:rPr>
      </w:pPr>
    </w:p>
    <w:p>
      <w:pPr>
        <w:ind w:left="620" w:hanging="301"/>
        <w:spacing w:after="0"/>
        <w:tabs>
          <w:tab w:leader="none" w:pos="62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differing regulatory requirements in foreign countries;</w:t>
      </w:r>
    </w:p>
    <w:p>
      <w:pPr>
        <w:spacing w:after="0" w:line="13"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unexpected changes in tariffs, trade barriers, price and exchange controls and other regulatory requirements;</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differing standards and privacy requirements for the conduct of clinical trials;</w:t>
      </w:r>
    </w:p>
    <w:p>
      <w:pPr>
        <w:spacing w:after="0" w:line="34" w:lineRule="exact"/>
        <w:rPr>
          <w:rFonts w:ascii="Arial" w:cs="Arial" w:eastAsia="Arial" w:hAnsi="Arial"/>
          <w:sz w:val="21"/>
          <w:szCs w:val="21"/>
          <w:color w:val="auto"/>
        </w:rPr>
      </w:pPr>
    </w:p>
    <w:p>
      <w:pPr>
        <w:ind w:left="640" w:right="220" w:hanging="321"/>
        <w:spacing w:after="0"/>
        <w:tabs>
          <w:tab w:leader="none" w:pos="635"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increased difficulties in managing the logistics and transportation of storing and shipping product candidates produced in the United States, shipping the product candidate to the patient abroad, and shipping patient samples to the United States for screening tests;</w:t>
      </w:r>
    </w:p>
    <w:p>
      <w:pPr>
        <w:spacing w:after="0" w:line="7" w:lineRule="exact"/>
        <w:rPr>
          <w:rFonts w:ascii="Arial" w:cs="Arial" w:eastAsia="Arial" w:hAnsi="Arial"/>
          <w:sz w:val="21"/>
          <w:szCs w:val="21"/>
          <w:color w:val="auto"/>
        </w:rPr>
      </w:pPr>
    </w:p>
    <w:p>
      <w:pPr>
        <w:ind w:left="620" w:hanging="301"/>
        <w:spacing w:after="0"/>
        <w:tabs>
          <w:tab w:leader="none" w:pos="62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import and export requirements and restrictions;</w:t>
      </w:r>
    </w:p>
    <w:p>
      <w:pPr>
        <w:spacing w:after="0" w:line="13"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economic weakness, including inflation, or political instability in particular foreign economies and markets;</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compliance with tax, employment, immigration and labor laws for employees living or traveling abroad;</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foreign taxes, including withholding of payroll taxes;</w:t>
      </w:r>
    </w:p>
    <w:p>
      <w:pPr>
        <w:spacing w:after="0" w:line="34" w:lineRule="exact"/>
        <w:rPr>
          <w:rFonts w:ascii="Arial" w:cs="Arial" w:eastAsia="Arial" w:hAnsi="Arial"/>
          <w:sz w:val="21"/>
          <w:szCs w:val="21"/>
          <w:color w:val="auto"/>
        </w:rPr>
      </w:pPr>
    </w:p>
    <w:p>
      <w:pPr>
        <w:ind w:left="640" w:right="20" w:hanging="321"/>
        <w:spacing w:after="0"/>
        <w:tabs>
          <w:tab w:leader="none" w:pos="635" w:val="left"/>
        </w:tabs>
        <w:numPr>
          <w:ilvl w:val="0"/>
          <w:numId w:val="30"/>
        </w:numPr>
        <w:rPr>
          <w:rFonts w:ascii="Arial" w:cs="Arial" w:eastAsia="Arial" w:hAnsi="Arial"/>
          <w:sz w:val="21"/>
          <w:szCs w:val="21"/>
          <w:color w:val="auto"/>
        </w:rPr>
      </w:pPr>
      <w:r>
        <w:rPr>
          <w:rFonts w:ascii="Times New Roman" w:cs="Times New Roman" w:eastAsia="Times New Roman" w:hAnsi="Times New Roman"/>
          <w:sz w:val="17"/>
          <w:szCs w:val="17"/>
          <w:color w:val="auto"/>
        </w:rPr>
        <w:t>foreign currency fluctuations, which could result in increased operating expenses and reduced revenue, and other obligations incident to doing business in another country;</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ind w:left="620" w:hanging="301"/>
        <w:spacing w:after="0"/>
        <w:tabs>
          <w:tab w:leader="none" w:pos="62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7"/>
          <w:szCs w:val="17"/>
          <w:color w:val="auto"/>
        </w:rPr>
        <w:t>difficulties staffing and managing foreign operations;</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7"/>
          <w:szCs w:val="17"/>
          <w:color w:val="auto"/>
        </w:rPr>
        <w:t>workforce uncertainty in countries where labor unrest is more common than in the United States;</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7"/>
          <w:szCs w:val="17"/>
          <w:color w:val="auto"/>
        </w:rPr>
        <w:t>differing payor reimbursement regimes, governmental payors or patient self-pay systems, and price controls;</w:t>
      </w:r>
    </w:p>
    <w:p>
      <w:pPr>
        <w:spacing w:after="0" w:line="20" w:lineRule="exact"/>
        <w:rPr>
          <w:rFonts w:ascii="Arial" w:cs="Arial" w:eastAsia="Arial" w:hAnsi="Arial"/>
          <w:sz w:val="21"/>
          <w:szCs w:val="21"/>
          <w:color w:val="auto"/>
        </w:rPr>
      </w:pPr>
    </w:p>
    <w:p>
      <w:pPr>
        <w:ind w:left="620" w:hanging="301"/>
        <w:spacing w:after="0"/>
        <w:tabs>
          <w:tab w:leader="none" w:pos="62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7"/>
          <w:szCs w:val="17"/>
          <w:color w:val="auto"/>
        </w:rPr>
        <w:t>potential liability under the Foreign Corrupt Practices Act of 1977 or comparable foreign regulations;</w:t>
      </w:r>
    </w:p>
    <w:p>
      <w:pPr>
        <w:spacing w:after="0" w:line="21" w:lineRule="exact"/>
        <w:rPr>
          <w:rFonts w:ascii="Arial" w:cs="Arial" w:eastAsia="Arial" w:hAnsi="Arial"/>
          <w:sz w:val="21"/>
          <w:szCs w:val="21"/>
          <w:color w:val="auto"/>
        </w:rPr>
      </w:pPr>
    </w:p>
    <w:p>
      <w:pPr>
        <w:ind w:left="640" w:right="300" w:hanging="321"/>
        <w:spacing w:after="0"/>
        <w:tabs>
          <w:tab w:leader="none" w:pos="635"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7" w:lineRule="exact"/>
        <w:rPr>
          <w:rFonts w:ascii="Arial" w:cs="Arial" w:eastAsia="Arial" w:hAnsi="Arial"/>
          <w:sz w:val="21"/>
          <w:szCs w:val="21"/>
          <w:color w:val="auto"/>
        </w:rPr>
      </w:pPr>
    </w:p>
    <w:p>
      <w:pPr>
        <w:ind w:left="620" w:hanging="301"/>
        <w:spacing w:after="0"/>
        <w:tabs>
          <w:tab w:leader="none" w:pos="620"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7"/>
          <w:szCs w:val="17"/>
          <w:color w:val="auto"/>
        </w:rPr>
        <w:t>production shortages resulting from any events affecting raw material supply or manufacturing capabilities abroad;</w:t>
      </w:r>
    </w:p>
    <w:p>
      <w:pPr>
        <w:spacing w:after="0" w:line="21" w:lineRule="exact"/>
        <w:rPr>
          <w:rFonts w:ascii="Arial" w:cs="Arial" w:eastAsia="Arial" w:hAnsi="Arial"/>
          <w:sz w:val="21"/>
          <w:szCs w:val="21"/>
          <w:color w:val="auto"/>
        </w:rPr>
      </w:pPr>
    </w:p>
    <w:p>
      <w:pPr>
        <w:ind w:left="640" w:right="220" w:hanging="321"/>
        <w:spacing w:after="0"/>
        <w:tabs>
          <w:tab w:leader="none" w:pos="635" w:val="left"/>
        </w:tabs>
        <w:numPr>
          <w:ilvl w:val="0"/>
          <w:numId w:val="31"/>
        </w:numPr>
        <w:rPr>
          <w:rFonts w:ascii="Arial" w:cs="Arial" w:eastAsia="Arial" w:hAnsi="Arial"/>
          <w:sz w:val="21"/>
          <w:szCs w:val="21"/>
          <w:color w:val="auto"/>
        </w:rPr>
      </w:pPr>
      <w:r>
        <w:rPr>
          <w:rFonts w:ascii="Times New Roman" w:cs="Times New Roman" w:eastAsia="Times New Roman" w:hAnsi="Times New Roman"/>
          <w:sz w:val="17"/>
          <w:szCs w:val="17"/>
          <w:color w:val="auto"/>
        </w:rPr>
        <w:t>challenges with obtaining any local supply of drugs or agents used with our product candidates, which are required by certain local clinical trial sites before conducting any study; and</w:t>
      </w:r>
    </w:p>
    <w:p>
      <w:pPr>
        <w:ind w:left="640" w:right="100" w:hanging="321"/>
        <w:spacing w:after="0" w:line="274" w:lineRule="auto"/>
        <w:tabs>
          <w:tab w:leader="none" w:pos="63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interruptions resulting from future health epidemics or pandemics, or natural or man-made disasters, including earthquakes, tsunamis, fires or other medical epidemics, or geo-political actions, including war and terrorism.</w:t>
      </w:r>
    </w:p>
    <w:p>
      <w:pPr>
        <w:spacing w:after="0" w:line="191" w:lineRule="exact"/>
        <w:rPr>
          <w:sz w:val="20"/>
          <w:szCs w:val="20"/>
          <w:color w:val="auto"/>
        </w:rPr>
      </w:pPr>
    </w:p>
    <w:p>
      <w:pPr>
        <w:ind w:right="520" w:firstLine="629"/>
        <w:spacing w:after="0" w:line="276" w:lineRule="auto"/>
        <w:rPr>
          <w:sz w:val="20"/>
          <w:szCs w:val="20"/>
          <w:color w:val="auto"/>
        </w:rPr>
      </w:pPr>
      <w:r>
        <w:rPr>
          <w:rFonts w:ascii="Times New Roman" w:cs="Times New Roman" w:eastAsia="Times New Roman" w:hAnsi="Times New Roman"/>
          <w:sz w:val="17"/>
          <w:szCs w:val="17"/>
          <w:color w:val="auto"/>
        </w:rPr>
        <w:t>These and other risks associated with our collaborations with Servier and Cellectis, each based in France, our collaboration with Notch, based in Canada, and our joint venture for China, Taiwan, South Korea and Singapore with HBP, may materially adversely affect our ability to attain or maintain profitable operations.</w:t>
      </w:r>
    </w:p>
    <w:p>
      <w:pPr>
        <w:spacing w:after="0" w:line="186" w:lineRule="exact"/>
        <w:rPr>
          <w:sz w:val="20"/>
          <w:szCs w:val="20"/>
          <w:color w:val="auto"/>
        </w:rPr>
      </w:pPr>
    </w:p>
    <w:p>
      <w:pPr>
        <w:ind w:right="6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competition from other biotechnology and pharmaceutical companies, and our operating results will suffer if we fail to compete effectively.</w:t>
      </w:r>
    </w:p>
    <w:p>
      <w:pPr>
        <w:spacing w:after="0" w:line="169" w:lineRule="exact"/>
        <w:rPr>
          <w:sz w:val="20"/>
          <w:szCs w:val="20"/>
          <w:color w:val="auto"/>
        </w:rPr>
      </w:pPr>
    </w:p>
    <w:p>
      <w:pPr>
        <w:ind w:right="100" w:firstLine="629"/>
        <w:spacing w:after="0" w:line="261" w:lineRule="auto"/>
        <w:rPr>
          <w:sz w:val="20"/>
          <w:szCs w:val="20"/>
          <w:color w:val="auto"/>
        </w:rPr>
      </w:pPr>
      <w:r>
        <w:rPr>
          <w:rFonts w:ascii="Times New Roman" w:cs="Times New Roman" w:eastAsia="Times New Roman" w:hAnsi="Times New Roman"/>
          <w:sz w:val="17"/>
          <w:szCs w:val="17"/>
          <w:color w:val="auto"/>
        </w:rPr>
        <w:t>The biopharmaceutical industry, and the immuno-oncology industry specifically,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and universities and other research institutions. Many of our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w:t>
      </w:r>
    </w:p>
    <w:p>
      <w:pPr>
        <w:spacing w:after="0" w:line="203"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Specifically, engineered T cells face significant competition from multiple companies. Success of other therapies could impact our regulatory strategy and delay or prevent regulatory approval of our product candidates. 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For additional information regarding our competition, see the section entitled “Business—Competition” included in our Annual Report.</w:t>
      </w:r>
    </w:p>
    <w:p>
      <w:pPr>
        <w:spacing w:after="0" w:line="194" w:lineRule="exact"/>
        <w:rPr>
          <w:sz w:val="20"/>
          <w:szCs w:val="20"/>
          <w:color w:val="auto"/>
        </w:rPr>
      </w:pPr>
    </w:p>
    <w:p>
      <w:pPr>
        <w:ind w:right="30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highly dependent on our key personnel, and if we are not successful in attracting and retaining highly qualified personnel, we may not be able to successfully implement our business strategy.*</w:t>
      </w:r>
    </w:p>
    <w:p>
      <w:pPr>
        <w:spacing w:after="0" w:line="169"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Our ability to compete in the highly competitive biotechnology and pharmaceutical industries depends upon our ability to attract and retain highly qualified managerial, scientific, medical and other personnel. We are highly dependent on our management, including our Executive Chair, our President and Chief Executive Officer, our Executive Vice President, Research &amp; Development and Chief Medical Officer, our Executive Vice President, Chief Technical Officer, our Chief Financial Officer, and our General Counsel. The loss of the services of any of our executive officers, other key employees, and other scientific and medical advisors, and our inability to find suitable replacements could result in delays in product development and harm our business.</w:t>
      </w:r>
    </w:p>
    <w:p>
      <w:pPr>
        <w:spacing w:after="0" w:line="196" w:lineRule="exact"/>
        <w:rPr>
          <w:sz w:val="20"/>
          <w:szCs w:val="20"/>
          <w:color w:val="auto"/>
        </w:rPr>
      </w:pPr>
    </w:p>
    <w:p>
      <w:pPr>
        <w:ind w:right="80" w:firstLine="629"/>
        <w:spacing w:after="0" w:line="276" w:lineRule="auto"/>
        <w:rPr>
          <w:sz w:val="20"/>
          <w:szCs w:val="20"/>
          <w:color w:val="auto"/>
        </w:rPr>
      </w:pPr>
      <w:r>
        <w:rPr>
          <w:rFonts w:ascii="Times New Roman" w:cs="Times New Roman" w:eastAsia="Times New Roman" w:hAnsi="Times New Roman"/>
          <w:sz w:val="17"/>
          <w:szCs w:val="17"/>
          <w:color w:val="auto"/>
        </w:rPr>
        <w:t>We conduct substantially all of our operations at our facilities in the San Francisco Bay area. This region is headquarters to many other biopharmaceutical companies and many academic and research institutions. Competition for skilled personnel in our market is intense and may limit our ability to hire and retain highly qualified personnel on acceptable terms or</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all. Attrition may lead to higher costs for hiring and retention, diversion of management time to address retention matters and disrupt the business.</w:t>
      </w:r>
    </w:p>
    <w:p>
      <w:pPr>
        <w:spacing w:after="0" w:line="250" w:lineRule="exact"/>
        <w:rPr>
          <w:sz w:val="20"/>
          <w:szCs w:val="20"/>
          <w:color w:val="auto"/>
        </w:rPr>
      </w:pPr>
    </w:p>
    <w:p>
      <w:pPr>
        <w:ind w:right="20" w:firstLine="629"/>
        <w:spacing w:after="0" w:line="261" w:lineRule="auto"/>
        <w:rPr>
          <w:sz w:val="20"/>
          <w:szCs w:val="20"/>
          <w:color w:val="auto"/>
        </w:rPr>
      </w:pPr>
      <w:r>
        <w:rPr>
          <w:rFonts w:ascii="Times New Roman" w:cs="Times New Roman" w:eastAsia="Times New Roman" w:hAnsi="Times New Roman"/>
          <w:sz w:val="17"/>
          <w:szCs w:val="17"/>
          <w:color w:val="auto"/>
        </w:rPr>
        <w:t>To induce valuable employees to remain at our company, in addition to salary and cash incentives, we have provided stock options and restricted stock unit (RSU) awards that vest over time or upon the achievement of certain key strategic goals. The value to employees of stock options and RSU awards that vest over time or upon achieving goals have been significantly affected by movements in our stock price that are beyond our control and may at any time be insufficient to counteract more lucrative offers from other companies. We completed an option exchange program in July 2022 to alleviate the significant number of employee options that were underwater at that time. Our stock price has significantly declined since the option exchange program and a significant number of our employee options remain underwater and may not provide the intended incentive for employees to remain at our company. Despite our efforts to retain valuable employees, members of our management, scientific and development teams may terminate their employment with us on short notice. Although we have employment agreements with our key employees, these employment agreements provide for at-will employment,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managers as well as junior, mid-level and senior scientific and medical personnel.</w:t>
      </w:r>
    </w:p>
    <w:p>
      <w:pPr>
        <w:spacing w:after="0" w:line="199" w:lineRule="exact"/>
        <w:rPr>
          <w:sz w:val="20"/>
          <w:szCs w:val="20"/>
          <w:color w:val="auto"/>
        </w:rPr>
      </w:pPr>
    </w:p>
    <w:p>
      <w:pPr>
        <w:ind w:right="6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reduction in force undertaken to extend our cash runway and focus more of our capital resources on our prioritized research and development programs might not achieve our intended outcome.</w:t>
      </w:r>
    </w:p>
    <w:p>
      <w:pPr>
        <w:spacing w:after="0" w:line="169"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In January 2024, our board of directors approved a reduction in force affecting approximately 22% of our workforce, in order to preserve cash and prioritize investment in our core clinical programs. The reduction in force may result in unintended consequences and costs, such as the loss of institutional knowledge and expertise, attrition beyond the intended number of employees, decreased morale among our remaining employees, and the risk that we may not achieve the anticipated benefits of the reduction in force. In addition, while positions have been eliminated, certain functions necessary to our operations remain, and we might not successfully distribute the duties and obligations of our terminated employees among our remaining employees. The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If we are unable to realize the anticipated benefits from the reduction in force, or if we experience significant adverse consequences from the reduction in force, our business, financial condition and results of operations may be materially adversely affected.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size of our workforce has fluctuated and we will need to manage the size of our organization as we continue to advance our product candidates.</w:t>
      </w:r>
    </w:p>
    <w:p>
      <w:pPr>
        <w:spacing w:after="0" w:line="254" w:lineRule="exact"/>
        <w:rPr>
          <w:sz w:val="20"/>
          <w:szCs w:val="20"/>
          <w:color w:val="auto"/>
        </w:rPr>
      </w:pPr>
    </w:p>
    <w:p>
      <w:pPr>
        <w:ind w:right="80" w:firstLine="629"/>
        <w:spacing w:after="0" w:line="281" w:lineRule="auto"/>
        <w:rPr>
          <w:sz w:val="20"/>
          <w:szCs w:val="20"/>
          <w:color w:val="auto"/>
        </w:rPr>
      </w:pPr>
      <w:r>
        <w:rPr>
          <w:rFonts w:ascii="Times New Roman" w:cs="Times New Roman" w:eastAsia="Times New Roman" w:hAnsi="Times New Roman"/>
          <w:sz w:val="17"/>
          <w:szCs w:val="17"/>
          <w:color w:val="auto"/>
        </w:rPr>
        <w:t>As our development, manufacturing and commercialization plans and strategies develop, we have grown our employee base and allocated resources to multiple new functions, but in January 2024 we implemented a 22% reduction in force, and we will need to continue to manage the size of our organization to</w:t>
      </w:r>
    </w:p>
    <w:p>
      <w:pPr>
        <w:spacing w:after="0" w:line="1" w:lineRule="exact"/>
        <w:rPr>
          <w:sz w:val="20"/>
          <w:szCs w:val="20"/>
          <w:color w:val="auto"/>
        </w:rPr>
      </w:pPr>
    </w:p>
    <w:p>
      <w:pPr>
        <w:ind w:right="80"/>
        <w:spacing w:after="0" w:line="344" w:lineRule="auto"/>
        <w:rPr>
          <w:sz w:val="20"/>
          <w:szCs w:val="20"/>
          <w:color w:val="auto"/>
        </w:rPr>
      </w:pPr>
      <w:r>
        <w:rPr>
          <w:rFonts w:ascii="Times New Roman" w:cs="Times New Roman" w:eastAsia="Times New Roman" w:hAnsi="Times New Roman"/>
          <w:sz w:val="17"/>
          <w:szCs w:val="17"/>
          <w:color w:val="auto"/>
        </w:rPr>
        <w:t>ensure that we can successfully execute our strategic plans. As our product candidates advance toward commercialization, we expect to hire employees in areas that include sales and marketing. Future growth imposes significant added responsibilities on members of management, including:</w:t>
      </w:r>
    </w:p>
    <w:p>
      <w:pPr>
        <w:spacing w:after="0" w:line="159" w:lineRule="exact"/>
        <w:rPr>
          <w:sz w:val="20"/>
          <w:szCs w:val="20"/>
          <w:color w:val="auto"/>
        </w:rPr>
      </w:pPr>
    </w:p>
    <w:p>
      <w:pPr>
        <w:ind w:left="620" w:hanging="301"/>
        <w:spacing w:after="0"/>
        <w:tabs>
          <w:tab w:leader="none" w:pos="620"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7"/>
          <w:szCs w:val="17"/>
          <w:color w:val="auto"/>
        </w:rPr>
        <w:t>identifying, recruiting, integrating, maintaining and motivating additional employees;</w:t>
      </w:r>
    </w:p>
    <w:p>
      <w:pPr>
        <w:spacing w:after="0" w:line="34" w:lineRule="exact"/>
        <w:rPr>
          <w:rFonts w:ascii="Arial" w:cs="Arial" w:eastAsia="Arial" w:hAnsi="Arial"/>
          <w:sz w:val="21"/>
          <w:szCs w:val="21"/>
          <w:color w:val="auto"/>
        </w:rPr>
      </w:pPr>
    </w:p>
    <w:p>
      <w:pPr>
        <w:ind w:left="640" w:right="20" w:hanging="321"/>
        <w:spacing w:after="0"/>
        <w:tabs>
          <w:tab w:leader="none" w:pos="635" w:val="left"/>
        </w:tabs>
        <w:numPr>
          <w:ilvl w:val="0"/>
          <w:numId w:val="32"/>
        </w:numPr>
        <w:rPr>
          <w:rFonts w:ascii="Arial" w:cs="Arial" w:eastAsia="Arial" w:hAnsi="Arial"/>
          <w:sz w:val="21"/>
          <w:szCs w:val="21"/>
          <w:color w:val="auto"/>
        </w:rPr>
      </w:pPr>
      <w:r>
        <w:rPr>
          <w:rFonts w:ascii="Times New Roman" w:cs="Times New Roman" w:eastAsia="Times New Roman" w:hAnsi="Times New Roman"/>
          <w:sz w:val="17"/>
          <w:szCs w:val="17"/>
          <w:color w:val="auto"/>
        </w:rPr>
        <w:t>managing our internal development efforts effectively, including the clinical and FDA review process for our product candidates, while complying with our contractual obligations to contractors and other third parties; and</w:t>
      </w:r>
    </w:p>
    <w:p>
      <w:pPr>
        <w:ind w:left="620" w:hanging="301"/>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improving our operational, financial and management controls, reporting systems and procedures.</w:t>
      </w:r>
    </w:p>
    <w:p>
      <w:pPr>
        <w:spacing w:after="0" w:line="232" w:lineRule="exact"/>
        <w:rPr>
          <w:sz w:val="20"/>
          <w:szCs w:val="20"/>
          <w:color w:val="auto"/>
        </w:rPr>
      </w:pPr>
    </w:p>
    <w:p>
      <w:pPr>
        <w:jc w:val="both"/>
        <w:ind w:right="100" w:firstLine="629"/>
        <w:spacing w:after="0" w:line="276" w:lineRule="auto"/>
        <w:rPr>
          <w:sz w:val="20"/>
          <w:szCs w:val="20"/>
          <w:color w:val="auto"/>
        </w:rPr>
      </w:pPr>
      <w:r>
        <w:rPr>
          <w:rFonts w:ascii="Times New Roman" w:cs="Times New Roman" w:eastAsia="Times New Roman" w:hAnsi="Times New Roman"/>
          <w:sz w:val="17"/>
          <w:szCs w:val="17"/>
          <w:color w:val="auto"/>
        </w:rPr>
        <w:t>Our future financial performance and our ability to commercialize our product candidates will depend, in part, on our ability to effectively manage our growth, and our management may also have to divert a disproportionate amount of its attention away from day-to-day activities in order to devote a substantial amount of time to managing these growth activities.</w:t>
      </w:r>
    </w:p>
    <w:p>
      <w:pPr>
        <w:spacing w:after="0" w:line="190"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We currently rely, and for the foreseeable future will continue to rely, in substantial part on certain independent organizations, advisors and consultants. There can be no assurance that the services of independent organizations, advisors and consultants will continue to be available to us on a timely basis when needed, or that we can find qualified replacements. We may also be subject to penalties or other liabilities if we mis-classify employees as consultants.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able to manage our existing consultants or find other competent outside contractors and consultants on economically reasonable terms, or at all.</w:t>
      </w:r>
    </w:p>
    <w:p>
      <w:pPr>
        <w:spacing w:after="0" w:line="250"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If we are not able to effectively expand our organization by hiring and retaining employees and expanding our groups of consultants and contractors, we may not be able to successfully implement the tasks necessary to further develop, manufacture and commercialize our product candidates and, accordingly, may not achieve our research, development, manufacturing and commercialization goals. Conversely, if we expand ahead of our business progress, we may take on unnecessary costs.</w:t>
      </w:r>
    </w:p>
    <w:p>
      <w:pPr>
        <w:spacing w:after="0" w:line="190"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may form or seek additional strategic alliances or enter into additional licensing arrangements in the future, and we may not realize the benefits of such alliances or licensing arrangements.</w:t>
      </w:r>
    </w:p>
    <w:p>
      <w:pPr>
        <w:spacing w:after="0" w:line="169" w:lineRule="exact"/>
        <w:rPr>
          <w:sz w:val="20"/>
          <w:szCs w:val="20"/>
          <w:color w:val="auto"/>
        </w:rPr>
      </w:pPr>
    </w:p>
    <w:p>
      <w:pPr>
        <w:ind w:right="160" w:firstLine="629"/>
        <w:spacing w:after="0" w:line="262" w:lineRule="auto"/>
        <w:rPr>
          <w:sz w:val="20"/>
          <w:szCs w:val="20"/>
          <w:color w:val="auto"/>
        </w:rPr>
      </w:pPr>
      <w:r>
        <w:rPr>
          <w:rFonts w:ascii="Times New Roman" w:cs="Times New Roman" w:eastAsia="Times New Roman" w:hAnsi="Times New Roman"/>
          <w:sz w:val="17"/>
          <w:szCs w:val="17"/>
          <w:color w:val="auto"/>
        </w:rPr>
        <w:t>We may form or seek additional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Any delays in entering into new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01"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If we license products or new technologies or acquire businesses, we may not be able to realize the benefit of such transactions if we are unable to successfully integrate them with our existing operations and company culture. For instance, our agreements with Cellectis, Servier, Notch, Antion, and Foresight Diagnostics require significant research and development that may not result in the development and commercialization of product candidates. We cannot be certain that, following a strategic transaction or license, we will achieve the results, revenue or specific net income that justifies such transaction.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realize the benefits of acquired assets or other strategic transactions.*</w:t>
      </w:r>
    </w:p>
    <w:p>
      <w:pPr>
        <w:spacing w:after="0" w:line="254"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We actively evaluate various strategic transactions on an ongoing basis. We may acquire other businesses, products or technologies as well as pursue joint ventures or investments in complementary businesses. The success of our strategic transactions, including our acquisition of CAR T cell assets from Pfizer, licenses with Cellectis, Servier, Notch, Antion, our strategic collaboration with Foresight Diagnostics, and our joint venture with HBP and any future strategic transactions depends on the risks and uncertainties involved including:</w:t>
      </w:r>
    </w:p>
    <w:p>
      <w:pPr>
        <w:spacing w:after="0" w:line="11" w:lineRule="exact"/>
        <w:rPr>
          <w:sz w:val="20"/>
          <w:szCs w:val="20"/>
          <w:color w:val="auto"/>
        </w:rPr>
      </w:pPr>
    </w:p>
    <w:p>
      <w:pPr>
        <w:ind w:left="620" w:hanging="301"/>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difficulties associated with advancing partnered programs;</w:t>
      </w:r>
    </w:p>
    <w:p>
      <w:pPr>
        <w:spacing w:after="0" w:line="66"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liabilities related to acquired companies or joint ventures;</w:t>
      </w:r>
    </w:p>
    <w:p>
      <w:pPr>
        <w:spacing w:after="0" w:line="66"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integrating acquired personnel, technologies and operations into our existing business;</w:t>
      </w:r>
    </w:p>
    <w:p>
      <w:pPr>
        <w:spacing w:after="0" w:line="66"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retention of key employees;</w:t>
      </w:r>
    </w:p>
    <w:p>
      <w:pPr>
        <w:spacing w:after="0" w:line="66"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managerial challenges associated with the oversight of partnered programs;</w:t>
      </w:r>
    </w:p>
    <w:p>
      <w:pPr>
        <w:spacing w:after="0" w:line="66"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disagreements regarding each party’s contractual rights and obligations under our partnership agreements;</w:t>
      </w:r>
    </w:p>
    <w:p>
      <w:pPr>
        <w:spacing w:after="0" w:line="66"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and uncertainties related to managing disputes with any strategic partners;</w:t>
      </w:r>
    </w:p>
    <w:p>
      <w:pPr>
        <w:spacing w:after="0" w:line="66"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in our expenses and reductions in our cash available for operations and other uses;</w:t>
      </w:r>
    </w:p>
    <w:p>
      <w:pPr>
        <w:spacing w:after="0" w:line="66"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of our strategic partners to access suitable capital;</w:t>
      </w:r>
    </w:p>
    <w:p>
      <w:pPr>
        <w:spacing w:after="0" w:line="66"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 in or termination of our relationships with collaborators or suppliers as a result of such a transaction; and</w:t>
      </w:r>
    </w:p>
    <w:p>
      <w:pPr>
        <w:spacing w:after="0" w:line="66"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possible write-offs or impairment charges relating to acquired businesses or joint ventures.</w:t>
      </w:r>
    </w:p>
    <w:p>
      <w:pPr>
        <w:spacing w:after="0" w:line="249"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of these risks or uncertainties occur, we may not realize the anticipated benefit of any acquisition or strategic transaction.</w:t>
      </w:r>
    </w:p>
    <w:p>
      <w:pPr>
        <w:spacing w:after="0" w:line="250" w:lineRule="exact"/>
        <w:rPr>
          <w:sz w:val="20"/>
          <w:szCs w:val="20"/>
          <w:color w:val="auto"/>
        </w:rPr>
      </w:pPr>
    </w:p>
    <w:p>
      <w:pPr>
        <w:jc w:val="both"/>
        <w:ind w:right="140" w:firstLine="629"/>
        <w:spacing w:after="0" w:line="276" w:lineRule="auto"/>
        <w:rPr>
          <w:sz w:val="20"/>
          <w:szCs w:val="20"/>
          <w:color w:val="auto"/>
        </w:rPr>
      </w:pPr>
      <w:r>
        <w:rPr>
          <w:rFonts w:ascii="Times New Roman" w:cs="Times New Roman" w:eastAsia="Times New Roman" w:hAnsi="Times New Roman"/>
          <w:sz w:val="17"/>
          <w:szCs w:val="17"/>
          <w:color w:val="auto"/>
        </w:rPr>
        <w:t>Additionally, foreign acquisitions and joint ventures are subject to additional risks, including those related to integration of operations across different cultures and languages, currency risks, potentially adverse tax consequences of overseas operations and the particular economic, political and regulatory risks associated with specific countries. For instance,</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our joint venture with HBP has faced challenges relating to the regulatory and competitive environment in China for allogeneic CAR T products, as well as challenges within the capital markets for financing allogeneic CAR T development. Our joint venture may face manufacturing difficulties, such as from changes in raw materials or processes due to local regulations, or delivering our licensed product candidates in China, Taiwan, South Korea or Singapore, which could prevent any development or commercialization of our licensed product candidates in the region. The joint venture will also require significant operational and financial support in the future by us or third parties, and any future financing of the joint venture would increase our expenses or dilute our ownership in the joint venture. We may also face unknown liabilities due to supporting our joint venture, such as due to any misuse of materials supplied to our joint venture.</w:t>
      </w:r>
    </w:p>
    <w:p>
      <w:pPr>
        <w:spacing w:after="0" w:line="198" w:lineRule="exact"/>
        <w:rPr>
          <w:sz w:val="20"/>
          <w:szCs w:val="20"/>
          <w:color w:val="auto"/>
        </w:rPr>
      </w:pPr>
    </w:p>
    <w:p>
      <w:pPr>
        <w:ind w:right="100" w:firstLine="629"/>
        <w:spacing w:after="0" w:line="296" w:lineRule="auto"/>
        <w:rPr>
          <w:sz w:val="20"/>
          <w:szCs w:val="20"/>
          <w:color w:val="auto"/>
        </w:rPr>
      </w:pPr>
      <w:r>
        <w:rPr>
          <w:rFonts w:ascii="Times New Roman" w:cs="Times New Roman" w:eastAsia="Times New Roman" w:hAnsi="Times New Roman"/>
          <w:sz w:val="17"/>
          <w:szCs w:val="17"/>
          <w:color w:val="auto"/>
        </w:rPr>
        <w:t>Future acquisitions or dispositions could result in potentially dilutive issuances of our equity securities, the incurrence of debt, contingent liabilities or amortization expenses or write-offs of goodwill, any of which could harm our financial condition.</w:t>
      </w:r>
    </w:p>
    <w:p>
      <w:pPr>
        <w:spacing w:after="0" w:line="169"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our security measures, or those of our CROs, CDMOs, collaborators, contractors, consultants or other third parties with whom we work, are or were compromised or the security, confidentiality, integrity or availability of our information technology, software, services, networks, communications or data is compromised, limited or fails, we could experience a material adverse impact.*</w:t>
      </w:r>
    </w:p>
    <w:p>
      <w:pPr>
        <w:spacing w:after="0" w:line="187" w:lineRule="exact"/>
        <w:rPr>
          <w:sz w:val="20"/>
          <w:szCs w:val="20"/>
          <w:color w:val="auto"/>
        </w:rPr>
      </w:pPr>
    </w:p>
    <w:p>
      <w:pPr>
        <w:ind w:right="40" w:firstLine="629"/>
        <w:spacing w:after="0" w:line="262" w:lineRule="auto"/>
        <w:rPr>
          <w:sz w:val="20"/>
          <w:szCs w:val="20"/>
          <w:color w:val="auto"/>
        </w:rPr>
      </w:pPr>
      <w:r>
        <w:rPr>
          <w:rFonts w:ascii="Times New Roman" w:cs="Times New Roman" w:eastAsia="Times New Roman" w:hAnsi="Times New Roman"/>
          <w:sz w:val="17"/>
          <w:szCs w:val="17"/>
          <w:color w:val="auto"/>
        </w:rPr>
        <w:t>In the ordinary course of our business, we and the third parties with whom we work collect, process, receive, store, use, generate, transfer, disclose, make accessible, protect, secure, dispose of, transmit, and share (collectively, process) proprietary, confidential and sensitive information, including personal data (including health information), intellectual property, trade secrets, information we collect about patients in connection with clinical trials, and proprietary business information owned or controlled by ourselves or other parties (collectively, sensitive information). We work with certain third parties, such as CROs and CDMOs, to process our proprietary, confidential and sensitive information. We may also share or receive sensitive information with our partners, CROs, CDMOs, or other third parties. Our ability to monitor these third parties’ information security practices is limited, and these third parties may not have adequate information security measures in place. If we (or a third party with whom we work) experience a security incident or are perceived to have experienced a security incident, we may also experience adverse consequences.</w:t>
      </w:r>
    </w:p>
    <w:p>
      <w:pPr>
        <w:spacing w:after="0" w:line="205" w:lineRule="exact"/>
        <w:rPr>
          <w:sz w:val="20"/>
          <w:szCs w:val="20"/>
          <w:color w:val="auto"/>
        </w:rPr>
      </w:pPr>
    </w:p>
    <w:p>
      <w:pPr>
        <w:ind w:right="20" w:firstLine="629"/>
        <w:spacing w:after="0" w:line="260" w:lineRule="auto"/>
        <w:rPr>
          <w:sz w:val="20"/>
          <w:szCs w:val="20"/>
          <w:color w:val="auto"/>
        </w:rPr>
      </w:pPr>
      <w:r>
        <w:rPr>
          <w:rFonts w:ascii="Times New Roman" w:cs="Times New Roman" w:eastAsia="Times New Roman" w:hAnsi="Times New Roman"/>
          <w:sz w:val="17"/>
          <w:szCs w:val="17"/>
          <w:color w:val="auto"/>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are increasing in their frequency, sophistication and intensity, and have become increasingly difficult to detect. These threats come from a variety of sources, including traditional computer “hackers,” “hacktivists,” organized criminal threat actors, threat actors, personnel (such as through theft or misuse), sophisticated nation-states,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and distribute our product candidates. 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credential stuffing attacks, credential harvesting, adware, ransomware, supply chain attacks, personnel misconduct or error, attacks enhanced or facilitated by AI, and other similar threats. Our information technology systems and data, and those of the third parties with whom we work, may also be subject to failure or disruption from software bugs, server malfunction, software or hardware failures, loss of data or other information technology assets, telecommunications failures, natural disasters such as earthquakes, fires, and floods, and other similar issues.</w:t>
      </w:r>
    </w:p>
    <w:p>
      <w:pPr>
        <w:spacing w:after="0" w:line="205" w:lineRule="exact"/>
        <w:rPr>
          <w:sz w:val="20"/>
          <w:szCs w:val="20"/>
          <w:color w:val="auto"/>
        </w:rPr>
      </w:pPr>
    </w:p>
    <w:p>
      <w:pPr>
        <w:ind w:right="80" w:firstLine="629"/>
        <w:spacing w:after="0" w:line="262" w:lineRule="auto"/>
        <w:rPr>
          <w:sz w:val="20"/>
          <w:szCs w:val="20"/>
          <w:color w:val="auto"/>
        </w:rPr>
      </w:pPr>
      <w:r>
        <w:rPr>
          <w:rFonts w:ascii="Times New Roman" w:cs="Times New Roman" w:eastAsia="Times New Roman" w:hAnsi="Times New Roman"/>
          <w:sz w:val="17"/>
          <w:szCs w:val="17"/>
          <w:color w:val="auto"/>
        </w:rPr>
        <w:t>In particular, severe ransomware attacks are becoming increasingly prevalent and severe and can lead to significant interruptions, delays, or outages in our operations, disruptions to our clinical trials, loss of data (including data related to clinical trials), significant expense to restore data or systems, reputational loss and the diversion of funds. Extortion payments may alleviate the negative impact of a ransomware attack, but we may be unwilling or unable to make such payments due to, for example, applicable laws or regulations prohibiting such payments. In addition, our reliance on third-party service providers could introduce new cybersecurity risks and vulnerabilities, including supply-chain attacks, and other threats to our business operations. Such supply chain attacks have increased in frequency and severity, and we cannot guarantee that third parties and infrastructure in our supply chain have not been compromised or that they do not contain exploitable defects or bugs that could result in a breach to our information technology systems or the third-party information technology systems that support us and our services. Additionally, future or past business transactions (such as acquisitions or integrations) could expose us to additional cybersecurity risks and vulnerabilities, as our systems could be negatively affected by vulnerabilities present in</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560"/>
        <w:spacing w:after="0" w:line="296" w:lineRule="auto"/>
        <w:rPr>
          <w:sz w:val="20"/>
          <w:szCs w:val="20"/>
          <w:color w:val="auto"/>
        </w:rPr>
      </w:pPr>
      <w:r>
        <w:rPr>
          <w:rFonts w:ascii="Times New Roman" w:cs="Times New Roman" w:eastAsia="Times New Roman" w:hAnsi="Times New Roman"/>
          <w:sz w:val="17"/>
          <w:szCs w:val="17"/>
          <w:color w:val="auto"/>
        </w:rPr>
        <w:t>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212" w:lineRule="exact"/>
        <w:rPr>
          <w:sz w:val="20"/>
          <w:szCs w:val="20"/>
          <w:color w:val="auto"/>
        </w:rPr>
      </w:pPr>
    </w:p>
    <w:p>
      <w:pPr>
        <w:ind w:right="180" w:firstLine="629"/>
        <w:spacing w:after="0" w:line="281" w:lineRule="auto"/>
        <w:rPr>
          <w:sz w:val="20"/>
          <w:szCs w:val="20"/>
          <w:color w:val="auto"/>
        </w:rPr>
      </w:pPr>
      <w:r>
        <w:rPr>
          <w:rFonts w:ascii="Times New Roman" w:cs="Times New Roman" w:eastAsia="Times New Roman" w:hAnsi="Times New Roman"/>
          <w:sz w:val="17"/>
          <w:szCs w:val="17"/>
          <w:color w:val="auto"/>
        </w:rPr>
        <w:t>Any of the previously identified or similar threats could cause a security incident or other interruption. A security incident or other interruption could result in unauthorized, unlawful, or accidental acquisition, modification, destruction, loss, alteration, encryption, disclosure of, or access to our sensitive</w:t>
      </w:r>
    </w:p>
    <w:p>
      <w:pPr>
        <w:spacing w:after="0" w:line="1" w:lineRule="exact"/>
        <w:rPr>
          <w:sz w:val="20"/>
          <w:szCs w:val="20"/>
          <w:color w:val="auto"/>
        </w:rPr>
      </w:pPr>
    </w:p>
    <w:p>
      <w:pPr>
        <w:ind w:right="440"/>
        <w:spacing w:after="0" w:line="296" w:lineRule="auto"/>
        <w:rPr>
          <w:sz w:val="20"/>
          <w:szCs w:val="20"/>
          <w:color w:val="auto"/>
        </w:rPr>
      </w:pPr>
      <w:r>
        <w:rPr>
          <w:rFonts w:ascii="Times New Roman" w:cs="Times New Roman" w:eastAsia="Times New Roman" w:hAnsi="Times New Roman"/>
          <w:sz w:val="17"/>
          <w:szCs w:val="17"/>
          <w:color w:val="auto"/>
        </w:rPr>
        <w:t>information. A security incident or other interruption could disrupt our ability (and that of third parties with whom we work) to manufacture or deliver our product candidates.</w:t>
      </w:r>
    </w:p>
    <w:p>
      <w:pPr>
        <w:spacing w:after="0" w:line="173"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We may expend significant resources (including financial), or modify our business activities and operations, including our clinical trial activities, in an effort to protect against security incidents or to detect, investigate, mitigate, contain and remediate a security incident. Certain data privacy and security obligations may require us to implement and maintain specific security measures or use industry-standard or reasonable security measures to protect our information technology systems and sensitive information.</w:t>
      </w:r>
    </w:p>
    <w:p>
      <w:pPr>
        <w:spacing w:after="0" w:line="194" w:lineRule="exact"/>
        <w:rPr>
          <w:sz w:val="20"/>
          <w:szCs w:val="20"/>
          <w:color w:val="auto"/>
        </w:rPr>
      </w:pPr>
    </w:p>
    <w:p>
      <w:pPr>
        <w:ind w:right="140" w:firstLine="629"/>
        <w:spacing w:after="0" w:line="267" w:lineRule="auto"/>
        <w:rPr>
          <w:sz w:val="20"/>
          <w:szCs w:val="20"/>
          <w:color w:val="auto"/>
        </w:rPr>
      </w:pPr>
      <w:r>
        <w:rPr>
          <w:rFonts w:ascii="Times New Roman" w:cs="Times New Roman" w:eastAsia="Times New Roman" w:hAnsi="Times New Roman"/>
          <w:sz w:val="17"/>
          <w:szCs w:val="17"/>
          <w:color w:val="auto"/>
        </w:rPr>
        <w:t>Although we have implemented security measures designed to protect against, mitigate, and remediate security incidents, there can be no assurance that these measures will be effective. We have experienced attempts to compromise our information technology systems or otherwise cause a security incident, but, to our knowledge, such attempts have been unsuccessful. In addition, from time to time, our vendors inform us of security incidents. To date, we have not determined that such incidents as reported to us were material. However, we may not have all information related to such incidents and future incidents could have an adverse impact on our business.</w:t>
      </w:r>
    </w:p>
    <w:p>
      <w:pPr>
        <w:spacing w:after="0" w:line="196"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We take steps designed to detect, mitigate, and remediate vulnerabilities in our information systems (such as our hardware and/or software, including that of third parties with whom we work). We may, however, be unable to detect and remediate vulnerabilities in our information technology systems because such threats and techniques change frequently, are often sophisticated in nature, and may not be detected until after a security incident has occurred, meaning that such vulnerabilities could be exploited. Unremediated high risk or critical vulnerabilities pose material risks to our business that may be exploited and could result in a security incident. Further, we may experience delays in developing and deploying remedial measures designed to address any such identified vulnerabilities. We may also face heightened physical and information technology risks due to our sharing office space with other tenants at certain of our sites. Any failure to prevent or mitigate security incidents or improper access to, use of, or disclosure of our clinical data or patients’ personal data could result in significant liability under state, federal, and international law and may cause a material adverse impact to our reputation, affect our ability to conduct our clinical trials and potentially disrupt our business. In addition, as many of our employees work from home at least part of the time and utilize network connections outside our premises, including while at home, or in transit, this poses increased risks to our information technology systems and data.</w:t>
      </w:r>
    </w:p>
    <w:p>
      <w:pPr>
        <w:spacing w:after="0" w:line="206" w:lineRule="exact"/>
        <w:rPr>
          <w:sz w:val="20"/>
          <w:szCs w:val="20"/>
          <w:color w:val="auto"/>
        </w:rPr>
      </w:pPr>
    </w:p>
    <w:p>
      <w:pPr>
        <w:ind w:right="160" w:firstLine="629"/>
        <w:spacing w:after="0" w:line="260" w:lineRule="auto"/>
        <w:rPr>
          <w:sz w:val="20"/>
          <w:szCs w:val="20"/>
          <w:color w:val="auto"/>
        </w:rPr>
      </w:pPr>
      <w:r>
        <w:rPr>
          <w:rFonts w:ascii="Times New Roman" w:cs="Times New Roman" w:eastAsia="Times New Roman" w:hAnsi="Times New Roman"/>
          <w:sz w:val="17"/>
          <w:szCs w:val="17"/>
          <w:color w:val="auto"/>
        </w:rPr>
        <w:t>Applicable data protection laws, privacy policies, data protection obligations and public company disclosure obligations may require us, or we may choose, to notify relevant stakeholders, including affected individuals, regulators and investors, of certain security incidents, or to implement other requirements, such as providing credit monitoring. Such disclosures and compliance with such requirements are costly, and the disclosures or the failure to comply with such requirements could lead to adverse consequences. A security incident, whether perceived or actual, experienced by us or a third party with whom we work, may cause us to experience adverse consequences. These consequences may include: government enforcement actions (for example, investigations, fines, penalties, audits, and inspections); additional reporting requirements and/or oversight; restrictions on processing sensitive information (including personal data); litigation (including class claims) and mass arbitration; indemnification obligations; negative publicity; reputational harm; monetary fund diversions; interruptions in our operations (including availability of data); financial loss; and other similar harms. Whether a cybersecurity incident is reportable to our investors may not be straightforward, may take considerable time to determine, and may be subject to change as the investigation of the incident progresses, including changes that may significantly alter any initial disclosure that we provide. Moreover, experiencing a material cybersecurity incident and any mandatory disclosures could lead to negative publicity, loss of investor or partner confidence in the effectiveness of our cybersecurity measures, diversion of management’s attention, governmental investigations, lawsuits, and the expenditure of significant capital and other resources.</w:t>
      </w:r>
    </w:p>
    <w:p>
      <w:pPr>
        <w:spacing w:after="0" w:line="209" w:lineRule="exact"/>
        <w:rPr>
          <w:sz w:val="20"/>
          <w:szCs w:val="20"/>
          <w:color w:val="auto"/>
        </w:rPr>
      </w:pPr>
    </w:p>
    <w:p>
      <w:pPr>
        <w:ind w:right="60" w:firstLine="629"/>
        <w:spacing w:after="0" w:line="296" w:lineRule="auto"/>
        <w:rPr>
          <w:sz w:val="20"/>
          <w:szCs w:val="20"/>
          <w:color w:val="auto"/>
        </w:rPr>
      </w:pPr>
      <w:r>
        <w:rPr>
          <w:rFonts w:ascii="Times New Roman" w:cs="Times New Roman" w:eastAsia="Times New Roman" w:hAnsi="Times New Roman"/>
          <w:sz w:val="17"/>
          <w:szCs w:val="17"/>
          <w:color w:val="auto"/>
        </w:rPr>
        <w:t>Our contracts may not contain limitations of liability, and even where they do, there can be no assurance that the limitations of liability in our contracts are sufficient to protect us from liabilities, damages, or claims related to our data privacy and security obligations.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340" w:firstLine="629"/>
        <w:spacing w:after="0" w:line="276" w:lineRule="auto"/>
        <w:rPr>
          <w:sz w:val="20"/>
          <w:szCs w:val="20"/>
          <w:color w:val="auto"/>
        </w:rPr>
      </w:pPr>
      <w:r>
        <w:rPr>
          <w:rFonts w:ascii="Times New Roman" w:cs="Times New Roman" w:eastAsia="Times New Roman" w:hAnsi="Times New Roman"/>
          <w:sz w:val="17"/>
          <w:szCs w:val="17"/>
          <w:color w:val="auto"/>
        </w:rPr>
        <w:t>We cannot be sure that our insurance coverage will be adequate or sufficient to protect us from or adequately mitigate liabilities arising out of our privacy and security practices, or that such coverage will continue to be available on commercially reasonable terms or at all, or that such coverage will pay future claims.</w:t>
      </w:r>
    </w:p>
    <w:p>
      <w:pPr>
        <w:spacing w:after="0" w:line="190" w:lineRule="exact"/>
        <w:rPr>
          <w:sz w:val="20"/>
          <w:szCs w:val="20"/>
          <w:color w:val="auto"/>
        </w:rPr>
      </w:pPr>
    </w:p>
    <w:p>
      <w:pPr>
        <w:ind w:right="60" w:firstLine="629"/>
        <w:spacing w:after="0" w:line="270" w:lineRule="auto"/>
        <w:rPr>
          <w:sz w:val="20"/>
          <w:szCs w:val="20"/>
          <w:color w:val="auto"/>
        </w:rPr>
      </w:pPr>
      <w:r>
        <w:rPr>
          <w:rFonts w:ascii="Times New Roman" w:cs="Times New Roman" w:eastAsia="Times New Roman" w:hAnsi="Times New Roman"/>
          <w:sz w:val="17"/>
          <w:szCs w:val="17"/>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could be leaked, disclosed, or revealed as a result of or in connection with the use of generative artificial intelligence technologies by our employees, personnel, or vendors.</w:t>
      </w:r>
    </w:p>
    <w:p>
      <w:pPr>
        <w:spacing w:after="0" w:line="19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Changes in funding for the FDA, the SEC and other government agencies including comparable foreign regulatory authorities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188" w:lineRule="exact"/>
        <w:rPr>
          <w:sz w:val="20"/>
          <w:szCs w:val="20"/>
          <w:color w:val="auto"/>
        </w:rPr>
      </w:pPr>
    </w:p>
    <w:p>
      <w:pPr>
        <w:ind w:right="100" w:firstLine="629"/>
        <w:spacing w:after="0" w:line="267" w:lineRule="auto"/>
        <w:rPr>
          <w:sz w:val="20"/>
          <w:szCs w:val="20"/>
          <w:color w:val="auto"/>
        </w:rPr>
      </w:pPr>
      <w:r>
        <w:rPr>
          <w:rFonts w:ascii="Times New Roman" w:cs="Times New Roman" w:eastAsia="Times New Roman" w:hAnsi="Times New Roman"/>
          <w:sz w:val="17"/>
          <w:szCs w:val="17"/>
          <w:color w:val="auto"/>
        </w:rPr>
        <w:t>The ability of the FDA or other comparable foreign regulatory authorities to review and approve new products can be affected by a variety of factors, including government budget and funding levels, ability to hire and retain key personnel and accept payment of user fees, statutory, regulatory and policy changes, and business disruptions, such as those caused by the COVID-19 pandemic. Average review times at the agency and comparable foreign regulatory authorities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96"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Disruptions at the FDA and other agencies or other comparable foreign regulatory authorities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94"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relationships with customers, physicians, and third-party payors are subject, directly or indirectly, to federal, state, local and foreign healthcare fraud and abuse laws, false claims laws, health information privacy and security laws, and other healthcare laws and regulations. If we or our employees, independent contractors, consultants, commercial partners and vendors violate these laws, we could face substantial penalties.</w:t>
      </w:r>
    </w:p>
    <w:p>
      <w:pPr>
        <w:spacing w:after="0" w:line="187" w:lineRule="exact"/>
        <w:rPr>
          <w:sz w:val="20"/>
          <w:szCs w:val="20"/>
          <w:color w:val="auto"/>
        </w:rPr>
      </w:pPr>
    </w:p>
    <w:p>
      <w:pPr>
        <w:ind w:right="80" w:firstLine="629"/>
        <w:spacing w:after="0" w:line="265" w:lineRule="auto"/>
        <w:rPr>
          <w:sz w:val="20"/>
          <w:szCs w:val="20"/>
          <w:color w:val="auto"/>
        </w:rPr>
      </w:pPr>
      <w:r>
        <w:rPr>
          <w:rFonts w:ascii="Times New Roman" w:cs="Times New Roman" w:eastAsia="Times New Roman" w:hAnsi="Times New Roman"/>
          <w:sz w:val="17"/>
          <w:szCs w:val="17"/>
          <w:color w:val="auto"/>
        </w:rPr>
        <w:t>These laws may impact, among other things, our clinical research program, as well as our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We may also be subject to federal, state and foreign laws governing the privacy and security of identifiable patient information, price reporting, false claims and provider transparency. If our operations are found to be in violation of any of these laws that apply to us, we may be subject to significant civil, criminal and administrative penalties.</w:t>
      </w:r>
    </w:p>
    <w:p>
      <w:pPr>
        <w:spacing w:after="0" w:line="19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We and the third parties with whom we work are subject to stringent and evolving privacy laws, regulations and standards as well as policies, contracts and other obligations related to data privacy and security. Our (or the third parties with whom we work) actual or perceived failure to comply with such obligations could lead to enforcement or litigation (including class claims) and mass arbitration demands, fines or penalties, a disruption of clinical trials or commercialization of products, reputational harm, or other adverse business effects.*</w:t>
      </w:r>
    </w:p>
    <w:p>
      <w:pPr>
        <w:spacing w:after="0" w:line="192" w:lineRule="exact"/>
        <w:rPr>
          <w:sz w:val="20"/>
          <w:szCs w:val="20"/>
          <w:color w:val="auto"/>
        </w:rPr>
      </w:pPr>
    </w:p>
    <w:p>
      <w:pPr>
        <w:ind w:right="260" w:firstLine="629"/>
        <w:spacing w:after="0" w:line="270" w:lineRule="auto"/>
        <w:rPr>
          <w:sz w:val="20"/>
          <w:szCs w:val="20"/>
          <w:color w:val="auto"/>
        </w:rPr>
      </w:pPr>
      <w:r>
        <w:rPr>
          <w:rFonts w:ascii="Times New Roman" w:cs="Times New Roman" w:eastAsia="Times New Roman" w:hAnsi="Times New Roman"/>
          <w:sz w:val="17"/>
          <w:szCs w:val="17"/>
          <w:color w:val="auto"/>
        </w:rPr>
        <w:t>In the ordinary course of business, we process sensitive information. Accordingly, we are, or may become, subject to numerous data privacy and security obligations, such as various federal, state, local and foreign data privacy and security laws, regulations, guidance, and industry standards as well as external and internal privacy and security policies, contracts and other obligations that apply to data privacy and security and our processing of personal data and the processing of personal data on our behalf.</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40" w:firstLine="629"/>
        <w:spacing w:after="0" w:line="262" w:lineRule="auto"/>
        <w:rPr>
          <w:sz w:val="20"/>
          <w:szCs w:val="20"/>
          <w:color w:val="auto"/>
        </w:rPr>
      </w:pPr>
      <w:r>
        <w:rPr>
          <w:rFonts w:ascii="Times New Roman" w:cs="Times New Roman" w:eastAsia="Times New Roman" w:hAnsi="Times New Roman"/>
          <w:sz w:val="17"/>
          <w:szCs w:val="17"/>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and their respective implementing regulations, imposes requirements relating to the privacy, security and transmission of individually identifiable health information. Among other things, HITECH, through its implementing regulations, makes certain of HIPAA’s privacy and security standards directly applicable to business associates, defined as a person or organization, other than a member of a covered entity’s workforce, that creates, receives, maintains or transmits protected health information for or on behalf of a covered entity for a function or activity regulated by HIPAA as well as their covered subcontractors.</w:t>
      </w:r>
    </w:p>
    <w:p>
      <w:pPr>
        <w:spacing w:after="0" w:line="205" w:lineRule="exact"/>
        <w:rPr>
          <w:sz w:val="20"/>
          <w:szCs w:val="20"/>
          <w:color w:val="auto"/>
        </w:rPr>
      </w:pPr>
    </w:p>
    <w:p>
      <w:pPr>
        <w:ind w:right="20" w:firstLine="629"/>
        <w:spacing w:after="0" w:line="261" w:lineRule="auto"/>
        <w:rPr>
          <w:sz w:val="20"/>
          <w:szCs w:val="20"/>
          <w:color w:val="auto"/>
        </w:rPr>
      </w:pPr>
      <w:r>
        <w:rPr>
          <w:rFonts w:ascii="Times New Roman" w:cs="Times New Roman" w:eastAsia="Times New Roman" w:hAnsi="Times New Roman"/>
          <w:sz w:val="17"/>
          <w:szCs w:val="17"/>
          <w:color w:val="auto"/>
        </w:rPr>
        <w:t>In the past few years,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covered companies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The CCPA and other comprehensive U.S. state privacy laws exempt some data processed in the context of clinical trials, but these developments may further complicate compliance efforts, and increase legal risk and compliance costs for us, the third parties with whom we work. Such laws may significantly impact our business activities, exemplifying the vulnerability of our business to</w:t>
      </w:r>
    </w:p>
    <w:p>
      <w:pPr>
        <w:spacing w:after="0" w:line="6" w:lineRule="exact"/>
        <w:rPr>
          <w:sz w:val="20"/>
          <w:szCs w:val="20"/>
          <w:color w:val="auto"/>
        </w:rPr>
      </w:pPr>
    </w:p>
    <w:p>
      <w:pPr>
        <w:ind w:right="260"/>
        <w:spacing w:after="0" w:line="296" w:lineRule="auto"/>
        <w:rPr>
          <w:sz w:val="20"/>
          <w:szCs w:val="20"/>
          <w:color w:val="auto"/>
        </w:rPr>
      </w:pPr>
      <w:r>
        <w:rPr>
          <w:rFonts w:ascii="Times New Roman" w:cs="Times New Roman" w:eastAsia="Times New Roman" w:hAnsi="Times New Roman"/>
          <w:sz w:val="17"/>
          <w:szCs w:val="17"/>
          <w:color w:val="auto"/>
        </w:rPr>
        <w:t>evolving regulatory environment related to personal data and protected health information. Similar laws are being considered in other states, as well as at the federal and local levels, and we expect more states to pass similar laws in the future.</w:t>
      </w:r>
    </w:p>
    <w:p>
      <w:pPr>
        <w:spacing w:after="0" w:line="173" w:lineRule="exact"/>
        <w:rPr>
          <w:sz w:val="20"/>
          <w:szCs w:val="20"/>
          <w:color w:val="auto"/>
        </w:rPr>
      </w:pPr>
    </w:p>
    <w:p>
      <w:pPr>
        <w:ind w:right="140" w:firstLine="629"/>
        <w:spacing w:after="0" w:line="281" w:lineRule="auto"/>
        <w:rPr>
          <w:sz w:val="20"/>
          <w:szCs w:val="20"/>
          <w:color w:val="auto"/>
        </w:rPr>
      </w:pPr>
      <w:r>
        <w:rPr>
          <w:rFonts w:ascii="Times New Roman" w:cs="Times New Roman" w:eastAsia="Times New Roman" w:hAnsi="Times New Roman"/>
          <w:sz w:val="17"/>
          <w:szCs w:val="17"/>
          <w:color w:val="auto"/>
        </w:rPr>
        <w:t>Outside the United States, there are an increasing number of laws, regulations and industry standards concerning governing privacy, data protection, information security and cross-border personal data transfers. For example, the European Union’s General Data Protection Regulation (EU GDPR), the United</w:t>
      </w:r>
    </w:p>
    <w:p>
      <w:pPr>
        <w:spacing w:after="0" w:line="1"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Kingdom’s GDPR (UK GDPR) (collectively, GDPR), and Australia’s Privacy Act, China’s Personal Information Protection Law (PIPL), and Canada’s Personal Information Protection and Electronic Documents Act (PIPEDA) (and various related provincial laws) and Anti-Spam Legislation (CASL) may apply to our operations and impose strict requirements for processing personal data.</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For example, under the GDPR, companies may face temporary or definitive bans on data processing and other corrective actions; fines of up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€20,000,000 under the EU GDPR / 17.5 million pounds sterling under the UK GDPR, or up to 4% annual total revenue, in each case, whichever is greater; 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private litigation related to processing of personal data brought by classes of data subjects or consumer protection organizations authorized at law to represent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their interests.</w:t>
      </w:r>
    </w:p>
    <w:p>
      <w:pPr>
        <w:spacing w:after="0" w:line="232"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the UK’s International Data Transfer Agreement / Addendum, and the EU-U.S. Data Privacy Framework and the UK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UK, or other jurisdictions to the United States, or if the requirements for a legally-compliant transfer are too onerous, we may face significant adverse consequences, including the interruption or degradation of our operations (such as by limiting our ability to conduct clinical trial activities in Europe and elsewhere), the need to relocate part of or all of our business or data processing activities to other jurisdictions (such as Europe) at significant expense, the inability to transfer data and work with partners, vendors and other third parties, increased exposure to regulatory actions, substantial fines, and injunctions against processing personal data necessary to operate</w:t>
      </w:r>
    </w:p>
    <w:p>
      <w:pPr>
        <w:spacing w:after="0" w:line="11"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our business. Additionally, companies that transfer personal data out of the EEA and UK to other jurisdictions, particularly to the United States, are subject to increased scrutiny from regulators, individual</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litigants, and activist groups. Some European regulators have also ordered certain companies to suspend or permanently cease certain transfers out of Europe for allegedly violating the GDPR’s cross-border data transfer limitations. The United States is also increasingly scrutinizing certain data transfers and may also impose certain data localization requirements, particularly if we transfer personal data to, or process personal data of residents of, high risk or sanctioned jurisdictions.</w:t>
      </w:r>
    </w:p>
    <w:p>
      <w:pPr>
        <w:spacing w:after="0" w:line="200" w:lineRule="exact"/>
        <w:rPr>
          <w:sz w:val="20"/>
          <w:szCs w:val="20"/>
          <w:color w:val="auto"/>
        </w:rPr>
      </w:pPr>
    </w:p>
    <w:p>
      <w:pPr>
        <w:spacing w:after="0" w:line="205" w:lineRule="exact"/>
        <w:rPr>
          <w:sz w:val="20"/>
          <w:szCs w:val="20"/>
          <w:color w:val="auto"/>
        </w:rPr>
      </w:pPr>
    </w:p>
    <w:p>
      <w:pPr>
        <w:ind w:right="120" w:firstLine="629"/>
        <w:spacing w:after="0" w:line="265" w:lineRule="auto"/>
        <w:rPr>
          <w:sz w:val="20"/>
          <w:szCs w:val="20"/>
          <w:color w:val="auto"/>
        </w:rPr>
      </w:pPr>
      <w:r>
        <w:rPr>
          <w:rFonts w:ascii="Times New Roman" w:cs="Times New Roman" w:eastAsia="Times New Roman" w:hAnsi="Times New Roman"/>
          <w:sz w:val="17"/>
          <w:szCs w:val="17"/>
          <w:color w:val="auto"/>
        </w:rPr>
        <w:t>In addition, privacy advocates and industry groups have proposed, and may propose, standards with which we are legally or contractually bound to comply. We are also bound by contractual obligations related to data privacy and security, and our efforts to comply with such obligations may not be successful. We publish privacy notices and other statements regarding data privacy and security. If any of our privacy notices or related materials or statements are found to be deficient, lacking in transparency, deceptive, unfair, or misrepresentative of our practices, we may be subject to investigation, enforcement actions by regulators or other adverse consequences. Furthermore, our employees and personnel may use generative artificial intelligence technologies to perform their work, and the disclosure and use of personal data in such technologies is subject to various privacy laws and other privacy obligations.</w:t>
      </w:r>
    </w:p>
    <w:p>
      <w:pPr>
        <w:spacing w:after="0" w:line="198" w:lineRule="exact"/>
        <w:rPr>
          <w:sz w:val="20"/>
          <w:szCs w:val="20"/>
          <w:color w:val="auto"/>
        </w:rPr>
      </w:pPr>
    </w:p>
    <w:p>
      <w:pPr>
        <w:ind w:right="60" w:firstLine="629"/>
        <w:spacing w:after="0" w:line="268" w:lineRule="auto"/>
        <w:rPr>
          <w:sz w:val="20"/>
          <w:szCs w:val="20"/>
          <w:color w:val="auto"/>
        </w:rPr>
      </w:pPr>
      <w:r>
        <w:rPr>
          <w:rFonts w:ascii="Times New Roman" w:cs="Times New Roman" w:eastAsia="Times New Roman" w:hAnsi="Times New Roman"/>
          <w:sz w:val="17"/>
          <w:szCs w:val="17"/>
          <w:color w:val="auto"/>
        </w:rPr>
        <w:t>Our obligations related to data privacy and security are quickly changing, becoming increasingly stringent fashion, and creating uncertainty. Additionally, these obligations may be subject to differing applications and interpretations, which may be inconsistent or conflict among jurisdictions. As a result, preparing for and complying with these obligations requires significant resources and may necessitate changes to our information technologies, systems and practices, as well as those of any third-party collaborators, service providers, contractors, consultants or other third parties that process personal data on our behalf.</w:t>
      </w:r>
    </w:p>
    <w:p>
      <w:pPr>
        <w:spacing w:after="0" w:line="200" w:lineRule="exact"/>
        <w:rPr>
          <w:sz w:val="20"/>
          <w:szCs w:val="20"/>
          <w:color w:val="auto"/>
        </w:rPr>
      </w:pPr>
    </w:p>
    <w:p>
      <w:pPr>
        <w:spacing w:after="0" w:line="210" w:lineRule="exact"/>
        <w:rPr>
          <w:sz w:val="20"/>
          <w:szCs w:val="20"/>
          <w:color w:val="auto"/>
        </w:rPr>
      </w:pPr>
    </w:p>
    <w:p>
      <w:pPr>
        <w:ind w:right="120" w:firstLine="629"/>
        <w:spacing w:after="0" w:line="265" w:lineRule="auto"/>
        <w:rPr>
          <w:sz w:val="20"/>
          <w:szCs w:val="20"/>
          <w:color w:val="auto"/>
        </w:rPr>
      </w:pPr>
      <w:r>
        <w:rPr>
          <w:rFonts w:ascii="Times New Roman" w:cs="Times New Roman" w:eastAsia="Times New Roman" w:hAnsi="Times New Roman"/>
          <w:sz w:val="17"/>
          <w:szCs w:val="17"/>
          <w:color w:val="auto"/>
        </w:rPr>
        <w:t>Although we endeavor to comply with our applicable privacy and security obligations, we may at times fail (or be perceived to have failed) to do so. Moreover, despite our efforts, we may not be successful in achieving compliance if our employees, third-party collaborators, service providers, contractors or consultants fail to comply with such obligations, which could negatively impact our business operations and compliance posture. If we or the third parties with whom we work fail, or are perceived to have failed, to address or comply with obligations related to data privacy and security obligations, we could face significant consequences including, but not limited to, government enforcement actions (e.g., investigations, fines, penalties, audits and inspections, and similar); litigation (including class-related claims) and mass arbitration demands; additional reporting requirements and/or oversight; temporary or permanent</w:t>
      </w:r>
    </w:p>
    <w:p>
      <w:pPr>
        <w:spacing w:after="0" w:line="2"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bans or restrictions on all or some processing of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99" w:lineRule="exact"/>
        <w:rPr>
          <w:sz w:val="20"/>
          <w:szCs w:val="20"/>
          <w:color w:val="auto"/>
        </w:rPr>
      </w:pPr>
    </w:p>
    <w:p>
      <w:pPr>
        <w:ind w:right="50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product liability lawsuits are brought against us, we may incur substantial liabilities and may be required to limit commercialization of our product candidates.</w:t>
      </w:r>
    </w:p>
    <w:p>
      <w:pPr>
        <w:spacing w:after="0" w:line="169" w:lineRule="exact"/>
        <w:rPr>
          <w:sz w:val="20"/>
          <w:szCs w:val="20"/>
          <w:color w:val="auto"/>
        </w:rPr>
      </w:pPr>
    </w:p>
    <w:p>
      <w:pPr>
        <w:ind w:right="100" w:firstLine="629"/>
        <w:spacing w:after="0" w:line="263" w:lineRule="auto"/>
        <w:rPr>
          <w:sz w:val="20"/>
          <w:szCs w:val="20"/>
          <w:color w:val="auto"/>
        </w:rPr>
      </w:pPr>
      <w:r>
        <w:rPr>
          <w:rFonts w:ascii="Times New Roman" w:cs="Times New Roman" w:eastAsia="Times New Roman" w:hAnsi="Times New Roman"/>
          <w:sz w:val="17"/>
          <w:szCs w:val="17"/>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229" w:lineRule="exact"/>
        <w:rPr>
          <w:sz w:val="20"/>
          <w:szCs w:val="20"/>
          <w:color w:val="auto"/>
        </w:rPr>
      </w:pPr>
    </w:p>
    <w:p>
      <w:pPr>
        <w:ind w:left="620" w:hanging="301"/>
        <w:spacing w:after="0"/>
        <w:tabs>
          <w:tab w:leader="none" w:pos="620"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7"/>
          <w:szCs w:val="17"/>
          <w:color w:val="auto"/>
        </w:rPr>
        <w:t>decreased demand for our product candidates;</w:t>
      </w:r>
    </w:p>
    <w:p>
      <w:pPr>
        <w:spacing w:after="0" w:line="13"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7"/>
          <w:szCs w:val="17"/>
          <w:color w:val="auto"/>
        </w:rPr>
        <w:t>injury to our reputation;</w:t>
      </w:r>
    </w:p>
    <w:p>
      <w:pPr>
        <w:spacing w:after="0" w:line="20" w:lineRule="exact"/>
        <w:rPr>
          <w:rFonts w:ascii="Arial" w:cs="Arial" w:eastAsia="Arial" w:hAnsi="Arial"/>
          <w:sz w:val="21"/>
          <w:szCs w:val="21"/>
          <w:color w:val="auto"/>
        </w:rPr>
      </w:pPr>
    </w:p>
    <w:p>
      <w:pPr>
        <w:ind w:left="620" w:hanging="301"/>
        <w:spacing w:after="0"/>
        <w:tabs>
          <w:tab w:leader="none" w:pos="620"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7"/>
          <w:szCs w:val="17"/>
          <w:color w:val="auto"/>
        </w:rPr>
        <w:t>withdrawal of clinical trial participants;</w:t>
      </w:r>
    </w:p>
    <w:p>
      <w:pPr>
        <w:spacing w:after="0" w:line="13"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7"/>
          <w:szCs w:val="17"/>
          <w:color w:val="auto"/>
        </w:rPr>
        <w:t>initiation of investigations by regulators;</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7"/>
          <w:szCs w:val="17"/>
          <w:color w:val="auto"/>
        </w:rPr>
        <w:t>costs to defend the related litigation;</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7"/>
          <w:szCs w:val="17"/>
          <w:color w:val="auto"/>
        </w:rPr>
        <w:t>a diversion of management’s time and our resources;</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34"/>
        </w:numPr>
        <w:rPr>
          <w:rFonts w:ascii="Arial" w:cs="Arial" w:eastAsia="Arial" w:hAnsi="Arial"/>
          <w:sz w:val="21"/>
          <w:szCs w:val="21"/>
          <w:color w:val="auto"/>
        </w:rPr>
      </w:pPr>
      <w:r>
        <w:rPr>
          <w:rFonts w:ascii="Times New Roman" w:cs="Times New Roman" w:eastAsia="Times New Roman" w:hAnsi="Times New Roman"/>
          <w:sz w:val="17"/>
          <w:szCs w:val="17"/>
          <w:color w:val="auto"/>
        </w:rPr>
        <w:t>substantial monetary awards to trial participants or patients;</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ind w:left="620" w:hanging="301"/>
        <w:spacing w:after="0"/>
        <w:tabs>
          <w:tab w:leader="none" w:pos="620"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7"/>
          <w:szCs w:val="17"/>
          <w:color w:val="auto"/>
        </w:rPr>
        <w:t>product recalls, withdrawals or labeling, marketing or promotional restrictions;</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7"/>
          <w:szCs w:val="17"/>
          <w:color w:val="auto"/>
        </w:rPr>
        <w:t>loss of revenue;</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7"/>
          <w:szCs w:val="17"/>
          <w:color w:val="auto"/>
        </w:rPr>
        <w:t>exhaustion of any available insurance and our capital resources;</w:t>
      </w:r>
    </w:p>
    <w:p>
      <w:pPr>
        <w:spacing w:after="0" w:line="20" w:lineRule="exact"/>
        <w:rPr>
          <w:rFonts w:ascii="Arial" w:cs="Arial" w:eastAsia="Arial" w:hAnsi="Arial"/>
          <w:sz w:val="21"/>
          <w:szCs w:val="21"/>
          <w:color w:val="auto"/>
        </w:rPr>
      </w:pPr>
    </w:p>
    <w:p>
      <w:pPr>
        <w:ind w:left="620" w:hanging="301"/>
        <w:spacing w:after="0"/>
        <w:tabs>
          <w:tab w:leader="none" w:pos="620"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7"/>
          <w:szCs w:val="17"/>
          <w:color w:val="auto"/>
        </w:rPr>
        <w:t>the inability to commercialize any product candidate; and</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35"/>
        </w:numPr>
        <w:rPr>
          <w:rFonts w:ascii="Arial" w:cs="Arial" w:eastAsia="Arial" w:hAnsi="Arial"/>
          <w:sz w:val="21"/>
          <w:szCs w:val="21"/>
          <w:color w:val="auto"/>
        </w:rPr>
      </w:pPr>
      <w:r>
        <w:rPr>
          <w:rFonts w:ascii="Times New Roman" w:cs="Times New Roman" w:eastAsia="Times New Roman" w:hAnsi="Times New Roman"/>
          <w:sz w:val="17"/>
          <w:szCs w:val="17"/>
          <w:color w:val="auto"/>
        </w:rPr>
        <w:t>a decline in our share price.</w:t>
      </w:r>
    </w:p>
    <w:p>
      <w:pPr>
        <w:spacing w:after="0" w:line="218" w:lineRule="exact"/>
        <w:rPr>
          <w:sz w:val="20"/>
          <w:szCs w:val="20"/>
          <w:color w:val="auto"/>
        </w:rPr>
      </w:pPr>
    </w:p>
    <w:p>
      <w:pPr>
        <w:ind w:right="120" w:firstLine="629"/>
        <w:spacing w:after="0" w:line="265" w:lineRule="auto"/>
        <w:rPr>
          <w:sz w:val="20"/>
          <w:szCs w:val="20"/>
          <w:color w:val="auto"/>
        </w:rPr>
      </w:pPr>
      <w:r>
        <w:rPr>
          <w:rFonts w:ascii="Times New Roman" w:cs="Times New Roman" w:eastAsia="Times New Roman" w:hAnsi="Times New Roman"/>
          <w:sz w:val="17"/>
          <w:szCs w:val="17"/>
          <w:color w:val="auto"/>
        </w:rPr>
        <w:t>Our inability to obtain sufficient product liability insurance at an acceptable cost to protect against potential product liability claims could prevent or inhibit the commercialization of products we develop, alone or with corporate collaborators. Our insurance policies may also have various exclusions, and we may be subject to a product liability claim for which we have no coverage. While we have obtained and expect to obtain clinical trial insurance for our clinical trials, we may have to pay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Development of Our Product Candidates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engineered allogeneic T cell product candidates represent a novel approach to cancer treatment that creates significant challenges for us.*</w:t>
      </w:r>
    </w:p>
    <w:p>
      <w:pPr>
        <w:spacing w:after="0" w:line="254" w:lineRule="exact"/>
        <w:rPr>
          <w:sz w:val="20"/>
          <w:szCs w:val="20"/>
          <w:color w:val="auto"/>
        </w:rPr>
      </w:pPr>
    </w:p>
    <w:p>
      <w:pPr>
        <w:ind w:right="100" w:firstLine="629"/>
        <w:spacing w:after="0" w:line="268" w:lineRule="auto"/>
        <w:rPr>
          <w:sz w:val="20"/>
          <w:szCs w:val="20"/>
          <w:color w:val="auto"/>
        </w:rPr>
      </w:pPr>
      <w:r>
        <w:rPr>
          <w:rFonts w:ascii="Times New Roman" w:cs="Times New Roman" w:eastAsia="Times New Roman" w:hAnsi="Times New Roman"/>
          <w:sz w:val="17"/>
          <w:szCs w:val="17"/>
          <w:color w:val="auto"/>
        </w:rPr>
        <w:t>We are developing a pipeline of allogeneic T cell product candidates that are engineered from healthy donor T cells to express CARs and are intended for use in any eligible patient with certain cancers. Advancing these novel product candidates creates significant challenges for us, including:</w:t>
      </w:r>
    </w:p>
    <w:p>
      <w:pPr>
        <w:spacing w:after="0" w:line="22" w:lineRule="exact"/>
        <w:rPr>
          <w:sz w:val="20"/>
          <w:szCs w:val="20"/>
          <w:color w:val="auto"/>
        </w:rPr>
      </w:pPr>
    </w:p>
    <w:p>
      <w:pPr>
        <w:ind w:left="640" w:right="620" w:hanging="321"/>
        <w:spacing w:after="0"/>
        <w:tabs>
          <w:tab w:leader="none" w:pos="635"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7"/>
          <w:szCs w:val="17"/>
          <w:color w:val="auto"/>
        </w:rPr>
        <w:t>manufacturing our product candidates to our or regulatory specifications and in a timely manner to support our clinical trials, and, if approved, commercialization;</w:t>
      </w:r>
    </w:p>
    <w:p>
      <w:pPr>
        <w:spacing w:after="0" w:line="7" w:lineRule="exact"/>
        <w:rPr>
          <w:rFonts w:ascii="Arial" w:cs="Arial" w:eastAsia="Arial" w:hAnsi="Arial"/>
          <w:sz w:val="21"/>
          <w:szCs w:val="21"/>
          <w:color w:val="auto"/>
        </w:rPr>
      </w:pPr>
    </w:p>
    <w:p>
      <w:pPr>
        <w:ind w:left="620" w:hanging="301"/>
        <w:spacing w:after="0"/>
        <w:tabs>
          <w:tab w:leader="none" w:pos="620"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7"/>
          <w:szCs w:val="17"/>
          <w:color w:val="auto"/>
        </w:rPr>
        <w:t>sourcing clinical and, if approved, commercial supplies for the raw materials used to manufacture our product candidates;</w:t>
      </w:r>
    </w:p>
    <w:p>
      <w:pPr>
        <w:spacing w:after="0" w:line="21" w:lineRule="exact"/>
        <w:rPr>
          <w:rFonts w:ascii="Arial" w:cs="Arial" w:eastAsia="Arial" w:hAnsi="Arial"/>
          <w:sz w:val="21"/>
          <w:szCs w:val="21"/>
          <w:color w:val="auto"/>
        </w:rPr>
      </w:pPr>
    </w:p>
    <w:p>
      <w:pPr>
        <w:ind w:left="640" w:right="240" w:hanging="321"/>
        <w:spacing w:after="0" w:line="247" w:lineRule="auto"/>
        <w:tabs>
          <w:tab w:leader="none" w:pos="635"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7"/>
          <w:szCs w:val="17"/>
          <w:color w:val="auto"/>
        </w:rPr>
        <w:t>understanding and addressing variability in the quality of a donor’s T cells, which could ultimately affect our ability to produce product in a reliable and consistent manner and treat certain patients;</w:t>
      </w:r>
    </w:p>
    <w:p>
      <w:pPr>
        <w:spacing w:after="0" w:line="21" w:lineRule="exact"/>
        <w:rPr>
          <w:rFonts w:ascii="Arial" w:cs="Arial" w:eastAsia="Arial" w:hAnsi="Arial"/>
          <w:sz w:val="21"/>
          <w:szCs w:val="21"/>
          <w:color w:val="auto"/>
        </w:rPr>
      </w:pPr>
    </w:p>
    <w:p>
      <w:pPr>
        <w:ind w:left="640" w:right="60" w:hanging="321"/>
        <w:spacing w:after="0"/>
        <w:tabs>
          <w:tab w:leader="none" w:pos="635"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7"/>
          <w:szCs w:val="17"/>
          <w:color w:val="auto"/>
        </w:rPr>
        <w:t>educating medical personnel regarding the potential side effect profile of our product candidates, if approved, such as the potential adverse side effects related to CRS, neurotoxicity, GvHD, prolonged cytopenia, aplastic anemia and neutropenic sepsis;</w:t>
      </w:r>
    </w:p>
    <w:p>
      <w:pPr>
        <w:spacing w:after="0" w:line="21" w:lineRule="exact"/>
        <w:rPr>
          <w:rFonts w:ascii="Arial" w:cs="Arial" w:eastAsia="Arial" w:hAnsi="Arial"/>
          <w:sz w:val="21"/>
          <w:szCs w:val="21"/>
          <w:color w:val="auto"/>
        </w:rPr>
      </w:pPr>
    </w:p>
    <w:p>
      <w:pPr>
        <w:ind w:left="640" w:right="220" w:hanging="321"/>
        <w:spacing w:after="0"/>
        <w:tabs>
          <w:tab w:leader="none" w:pos="635"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7"/>
          <w:szCs w:val="17"/>
          <w:color w:val="auto"/>
        </w:rPr>
        <w:t>using medicines to preempt or manage adverse side effects of our product candidates and such medicines may be difficult to source or costly or may not adequately control the side effects and/or may have other safety risks or a detrimental impact on the efficacy of the treatment;</w:t>
      </w:r>
    </w:p>
    <w:p>
      <w:pPr>
        <w:spacing w:after="0" w:line="21" w:lineRule="exact"/>
        <w:rPr>
          <w:rFonts w:ascii="Arial" w:cs="Arial" w:eastAsia="Arial" w:hAnsi="Arial"/>
          <w:sz w:val="21"/>
          <w:szCs w:val="21"/>
          <w:color w:val="auto"/>
        </w:rPr>
      </w:pPr>
    </w:p>
    <w:p>
      <w:pPr>
        <w:ind w:left="640" w:right="140" w:hanging="321"/>
        <w:spacing w:after="0"/>
        <w:tabs>
          <w:tab w:leader="none" w:pos="635"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7"/>
          <w:szCs w:val="17"/>
          <w:color w:val="auto"/>
        </w:rPr>
        <w:t>conditioning patients with chemotherapy and ALLO-647 or other lymphodepletion agents in advance of administering our product candidates, which may be difficult to source, costly or increase the risk of infections and other adverse side effects;</w:t>
      </w:r>
    </w:p>
    <w:p>
      <w:pPr>
        <w:spacing w:after="0" w:line="21" w:lineRule="exact"/>
        <w:rPr>
          <w:rFonts w:ascii="Arial" w:cs="Arial" w:eastAsia="Arial" w:hAnsi="Arial"/>
          <w:sz w:val="21"/>
          <w:szCs w:val="21"/>
          <w:color w:val="auto"/>
        </w:rPr>
      </w:pPr>
    </w:p>
    <w:p>
      <w:pPr>
        <w:ind w:left="640" w:hanging="321"/>
        <w:spacing w:after="0"/>
        <w:tabs>
          <w:tab w:leader="none" w:pos="635"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7"/>
          <w:szCs w:val="17"/>
          <w:color w:val="auto"/>
        </w:rPr>
        <w:t>obtaining regulatory approval, as the FDA and other comparable foreign regulatory authorities have limited experience with development of allogeneic T cell therapies for cancer; and</w:t>
      </w:r>
    </w:p>
    <w:p>
      <w:pPr>
        <w:ind w:left="620" w:hanging="301"/>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sales and marketing capabilities upon obtaining any regulatory approval to gain market acceptance of a novel therapy.</w:t>
      </w:r>
    </w:p>
    <w:p>
      <w:pPr>
        <w:spacing w:after="0" w:line="228"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Gene-editing is a relatively new technology, and if we are unable to use this technology in our intended product candidates, our revenue opportunities will be materially limited.</w:t>
      </w:r>
    </w:p>
    <w:p>
      <w:pPr>
        <w:spacing w:after="0" w:line="169"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Cellectis’ TALEN technology, which we use in our oncology programs, and Arbor’s CRISPR technology, which we use in our AID program, both involve relatively new approaches to gene editing, using sequence-specific DNA-cutting enzymes, or nucleases, to perform precise and stable modifications in the DNA of living-cells and organisms, and we have very little experience with Arbor’s CRISPR technology. Cellectis and Arbor have not created nucleases for all gene sequences that we may seek to target, and they may not agree to or have difficulty creating nucleases for other gene sequences that we may seek to target, which could limit the usefulness of this technology. This technology may also not be shown to be effective in clinical studies that Cellectis, we or other licensees of Cellectis technology or Arbor’s CRISPR technology may conduct, or may be associated with safety issues that may negatively affect our development programs. For instance, gene-editing may</w:t>
      </w: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create unintended changes to the DNA such as a non-target site gene-editing, a large deletion, or a DNA translocation, any of which could lead to oncogenesis. In our ALPHA2 trial, we observed a chromosomal abnormality, and the FDA placed our clinical trials on hold following this observation. While our investigation concluded that gene editing was not responsible for the chromosomal abnormality and the hold was resolved, we may discover future abnormalities caused by gene editing or other factors that would impact our development plans. The gene editing of our product candidates may also not be successful in limiting the risk of GvHD or premature rejection by the patient.</w:t>
      </w:r>
    </w:p>
    <w:p>
      <w:pPr>
        <w:spacing w:after="0" w:line="196"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In addition, the gene-editing industry is rapidly developing, and our competitors may introduce new technologies that render our technology obsolete or less attractive. New technology could emerge at any point in the development cycle of our product candidates. As competitors use or develop new technologies, any failures of such technology could adversely impact our program. We also may be placed at a competitive disadvantage, and competitive pressures may force us to implement new technologies at a substantial cost, and which would delay our development programs. In addition, our competitors may have greater financial, technical and personnel resources that allow them to enjoy technological advantages and may in the future allow them to implement new technologies before we can. We cannot be certain that we will be able to implement technologies on a timely basis or at a cost that is acceptable to us. If we are unable to maintain technological advancements consistent with industry standards, our operations and financial condition may be adversely affected.</w:t>
      </w:r>
    </w:p>
    <w:p>
      <w:pPr>
        <w:spacing w:after="0" w:line="199"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heavily reliant on our partners, Cellectis and Servier, for access to TALEN gene editing technology for the manufacturing and development of our oncology product candidates.*</w:t>
      </w:r>
    </w:p>
    <w:p>
      <w:pPr>
        <w:spacing w:after="0" w:line="169" w:lineRule="exact"/>
        <w:rPr>
          <w:sz w:val="20"/>
          <w:szCs w:val="20"/>
          <w:color w:val="auto"/>
        </w:rPr>
      </w:pPr>
    </w:p>
    <w:p>
      <w:pPr>
        <w:ind w:right="40" w:firstLine="629"/>
        <w:spacing w:after="0" w:line="261" w:lineRule="auto"/>
        <w:rPr>
          <w:sz w:val="20"/>
          <w:szCs w:val="20"/>
          <w:color w:val="auto"/>
        </w:rPr>
      </w:pPr>
      <w:r>
        <w:rPr>
          <w:rFonts w:ascii="Times New Roman" w:cs="Times New Roman" w:eastAsia="Times New Roman" w:hAnsi="Times New Roman"/>
          <w:sz w:val="17"/>
          <w:szCs w:val="17"/>
          <w:color w:val="auto"/>
        </w:rPr>
        <w:t>A critical aspect to manufacturing allogeneic T cell product candidates involves gene editing the healthy donor T cells in an effort to avoid GvHD and to limit the patient’s immune system from attacking the allogeneic T cells. GvHD results when allogeneic T cells start recognizing the patient’s normal tissue as foreign. For our oncology product candidates, we use Cellectis’ TALEN gene-editing technology to inactivate a gene coding for TCRα, a key component of the natural antigen receptor of T cells, to cause the engineered T cells to be incapable of recognizing foreign antigens. Accordingly, when injected into a patient, the intent is for the engineered T cell not to recognize the tissue of the patient as foreign and thus avoid attacking the patient’s tissue. In addition, we use TALEN gene editing in our oncology product candidates to inactivate the CD52 gene in donor T cells, which codes for the target of an anti-CD52 monoclonal antibody. Anti-CD52 monoclonal antibodies deplete CD52 expressing T cells in patients while sparing therapeutic allogeneic T cells lacking CD52. By administering an anti-CD52 antibody prior to infusing our oncology product candidates, we believe we have the potential to reduce the likelihood of a patient’s immune system from rejecting the engineered allogeneic T cells for a sufficient period of time to enable a window of persistence during which the engineered allogeneic T cells can actively target and destroy the cancer cells. However, the antibody may not have the benefits that we anticipate and could have adverse effects.</w:t>
      </w:r>
    </w:p>
    <w:p>
      <w:pPr>
        <w:spacing w:after="0" w:line="206" w:lineRule="exact"/>
        <w:rPr>
          <w:sz w:val="20"/>
          <w:szCs w:val="20"/>
          <w:color w:val="auto"/>
        </w:rPr>
      </w:pPr>
    </w:p>
    <w:p>
      <w:pPr>
        <w:ind w:right="20" w:firstLine="629"/>
        <w:spacing w:after="0" w:line="262" w:lineRule="auto"/>
        <w:rPr>
          <w:sz w:val="20"/>
          <w:szCs w:val="20"/>
          <w:color w:val="auto"/>
        </w:rPr>
      </w:pPr>
      <w:r>
        <w:rPr>
          <w:rFonts w:ascii="Times New Roman" w:cs="Times New Roman" w:eastAsia="Times New Roman" w:hAnsi="Times New Roman"/>
          <w:sz w:val="17"/>
          <w:szCs w:val="17"/>
          <w:color w:val="auto"/>
        </w:rPr>
        <w:t>We rely on an agreement with Cellectis for exclusive rights to use TALEN technology for 15 select cancer targets, including BCMA, FLT3, CD70, DLL3, Claudin 18.2 and other targets included in our pipeline. We also rely on Cellectis, through our agreement with Servier, for exclusive rights to UCART19, ALLO-501 and cema-cel. Any other gene-editing technology used to research and develop product candidates directed at targets not covered by our existing agreements with Cellectis and Servier will require significant investment and time for advancement. In addition, the Cellectis gene-editing technology may fail to produce viable product candidates. Moreover, both Servier and Cellectis may terminate our respective agreements in the event of a material breach of the agreements, or upon certain insolvency events. Cellectis has challenged and may in the future challenge certain performance by Servier, such as its development of products licensed under the Cellectis-Servier Agreement in acute lymphoblastic leukemia, and any failure by those parties to resolve such matters may have an adverse impact on us. If our agreements were terminated or we required other gene editing technology, such a license or technology may not be available to us on reasonable terms, or at all, and advancing other gene editing technology would require significant resources.</w:t>
      </w:r>
    </w:p>
    <w:p>
      <w:pPr>
        <w:spacing w:after="0" w:line="197"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Servier’s discontinuation of its involvement in the development of CD19 Products and Servier's disputes with Cellectis, or future disputes with us, may have adverse consequences.*</w:t>
      </w:r>
    </w:p>
    <w:p>
      <w:pPr>
        <w:spacing w:after="0" w:line="155" w:lineRule="exact"/>
        <w:rPr>
          <w:sz w:val="20"/>
          <w:szCs w:val="20"/>
          <w:color w:val="auto"/>
        </w:rPr>
      </w:pPr>
    </w:p>
    <w:p>
      <w:pPr>
        <w:ind w:right="40" w:firstLine="629"/>
        <w:spacing w:after="0" w:line="260" w:lineRule="auto"/>
        <w:rPr>
          <w:sz w:val="20"/>
          <w:szCs w:val="20"/>
          <w:color w:val="auto"/>
        </w:rPr>
      </w:pPr>
      <w:r>
        <w:rPr>
          <w:rFonts w:ascii="Times New Roman" w:cs="Times New Roman" w:eastAsia="Times New Roman" w:hAnsi="Times New Roman"/>
          <w:sz w:val="17"/>
          <w:szCs w:val="17"/>
          <w:color w:val="auto"/>
        </w:rPr>
        <w:t>On September 15, 2022, Servier sent a notice of discontinuation (Discontinuation) of its involvement in the development of CD19, including the CD19 Products pursuant to the Original Servier Agreement. Under the Servier Agreement, Servier sublicenses to us certain rights it has licensed from Cellectis relating to Cellectis’ TALEN gene editing technology pursuant to the Servier-Cellectis Agreement.</w:t>
      </w:r>
    </w:p>
    <w:p>
      <w:pPr>
        <w:spacing w:after="0" w:line="203"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In May 2024 we entered into the Servier Amendment which made various amendments to the Original Servier Agreement, and expanded our licensed territory thereunder to include the European Union and the United Kingdom, and also granted us an option, under certain circumstances, to expand the territory further to include China (including Hong Kong) and Japan. Although we believe that we and Servier are both in full compliance of our respective obligations under the Servier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Agreement, there can be no assurance that we will not have future disputes with Servier regarding our respective rights and obligations under our agreements and any future dispute could jeopardize our CD19 Products license, the loss of which would have a significant adverse impact on our business, financial condition, and prospects.</w:t>
      </w:r>
    </w:p>
    <w:p>
      <w:pPr>
        <w:spacing w:after="0" w:line="190"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 xml:space="preserve">In April 2024 Cellectis filed a Form 20-F with the SEC, stating that Cellectis does not believe that: (1) the Servier-Cellectis Agreement permits Servier to grant a world-wide sub-license to us; and (2) Servier has not complied with its performance obligations under the Servier-Cellectis Agreement, which Cellectis believes may involve material breaches thereof. Cellectis has initiated an arbitration proceeding against Servier through the </w:t>
      </w:r>
      <w:r>
        <w:rPr>
          <w:rFonts w:ascii="Times New Roman" w:cs="Times New Roman" w:eastAsia="Times New Roman" w:hAnsi="Times New Roman"/>
          <w:sz w:val="17"/>
          <w:szCs w:val="17"/>
          <w:i w:val="1"/>
          <w:iCs w:val="1"/>
          <w:color w:val="auto"/>
        </w:rPr>
        <w:t>Centre de Médiation 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d'Arbitrage de Paris</w:t>
      </w:r>
      <w:r>
        <w:rPr>
          <w:rFonts w:ascii="Times New Roman" w:cs="Times New Roman" w:eastAsia="Times New Roman" w:hAnsi="Times New Roman"/>
          <w:sz w:val="17"/>
          <w:szCs w:val="17"/>
          <w:color w:val="auto"/>
        </w:rPr>
        <w:t>, wherein Cellectis is seeking a decision terminating the Servier-Cellectis Agreement, and seeking certain compensation. Cellectis has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asserted that a favorable determination by the arbitral tribunal, if achieved, would return development and commercialization rights for the licensed products back to Cellectis. Although Servier has advised us that they believe Cellectis’ claims are without merit, there is a risk that Cellectis may prevail in the arbitration and terminate the Servier-Cellectis Agreement. Additionally, although we believe the Servier-Cellectis Agreement grants Servier the right to grant sublicenses without further consent from Cellectis, there is a risk that Cellectis may challenge the expansion of our territory under the Servier Agreement to regions outside the US. The Servier Agreement provides us with certain rights to obtain a direct license with Cellectis in the event the Servier-Cellectis Agreement is terminated, however, there can be no assurance that we will be able to obtain such a direct license. Additionally, although the Servier-Cellectis Agreement grants Servier the right to grant sublicenses without further consent from Cellectis, there is a risk that Cellectis could seek to challenge the expansion of our rights under the Servier Agreement to include the European Union and the United Kingdom. The termination of the Servier-Cellectis Agreement, our failure to obtain a direct license with Cellectis after such termination, or a successful challenge to the territorial expansion of our rights under the Servier Agreement would have a significant adverse impact on our business, financial condition, and prospects.</w:t>
      </w:r>
    </w:p>
    <w:p>
      <w:pPr>
        <w:spacing w:after="0" w:line="201" w:lineRule="exact"/>
        <w:rPr>
          <w:sz w:val="20"/>
          <w:szCs w:val="20"/>
          <w:color w:val="auto"/>
        </w:rPr>
      </w:pPr>
    </w:p>
    <w:p>
      <w:pPr>
        <w:ind w:right="3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oncology development strategy relies on incorporating an anti-CD52 monoclonal antibody as part of the lymphodepletion preconditioning regimen prior to infusing allogeneic CAR T cell product candidates.*</w:t>
      </w:r>
    </w:p>
    <w:p>
      <w:pPr>
        <w:spacing w:after="0" w:line="169" w:lineRule="exact"/>
        <w:rPr>
          <w:sz w:val="20"/>
          <w:szCs w:val="20"/>
          <w:color w:val="auto"/>
        </w:rPr>
      </w:pPr>
    </w:p>
    <w:p>
      <w:pPr>
        <w:ind w:right="40" w:firstLine="629"/>
        <w:spacing w:after="0" w:line="264" w:lineRule="auto"/>
        <w:rPr>
          <w:sz w:val="20"/>
          <w:szCs w:val="20"/>
          <w:color w:val="auto"/>
        </w:rPr>
      </w:pPr>
      <w:r>
        <w:rPr>
          <w:rFonts w:ascii="Times New Roman" w:cs="Times New Roman" w:eastAsia="Times New Roman" w:hAnsi="Times New Roman"/>
          <w:sz w:val="17"/>
          <w:szCs w:val="17"/>
          <w:color w:val="auto"/>
        </w:rPr>
        <w:t>Certain of our oncology product candidates utilize an anti-CD52 monoclonal antibody as part of a lymphodepletion regimen to be infused prior to infusing our product candidates. The anti-CD52 antibody may reduce the likelihood of a patient’s immune system rejecting the engineered allogeneic T cells for a sufficient period of time to enable a window of persistence during which such engineered allogeneic T cells can actively target and destroy cancer cells. However, the antibody may not have the benefits that we anticipate and could have adverse effects. For instance, our lymphodepletion regimen, including using an anti-CD52 antibody, will cause immune suppression that can be of unpredictable depth and duration and that may be associated with an increased risk of infection, such as to common viral or bacterial or opportunistic pathogens, that may be unable to be cleared and ultimately lead to other serious adverse events or death.</w:t>
      </w:r>
    </w:p>
    <w:p>
      <w:pPr>
        <w:spacing w:after="0" w:line="200" w:lineRule="exact"/>
        <w:rPr>
          <w:sz w:val="20"/>
          <w:szCs w:val="20"/>
          <w:color w:val="auto"/>
        </w:rPr>
      </w:pPr>
    </w:p>
    <w:p>
      <w:pPr>
        <w:spacing w:after="0" w:line="213" w:lineRule="exact"/>
        <w:rPr>
          <w:sz w:val="20"/>
          <w:szCs w:val="20"/>
          <w:color w:val="auto"/>
        </w:rPr>
      </w:pPr>
    </w:p>
    <w:p>
      <w:pPr>
        <w:ind w:right="80" w:firstLine="629"/>
        <w:spacing w:after="0" w:line="261" w:lineRule="auto"/>
        <w:rPr>
          <w:sz w:val="20"/>
          <w:szCs w:val="20"/>
          <w:color w:val="auto"/>
        </w:rPr>
      </w:pPr>
      <w:r>
        <w:rPr>
          <w:rFonts w:ascii="Times New Roman" w:cs="Times New Roman" w:eastAsia="Times New Roman" w:hAnsi="Times New Roman"/>
          <w:sz w:val="17"/>
          <w:szCs w:val="17"/>
          <w:color w:val="auto"/>
        </w:rPr>
        <w:t>In the prior CALM and PALL trials, a commercially available monoclonal antibody, alemtuzumab, that binds CD52 was used. Alemtuzumab is known to have risk of causing certain adverse events. In 2020, within the context of a procedure based on Article 20 of Regulation 726/2204 (EMA Regulation), the EMA completed a pharmacovigilance review of alemtuzumab in the context of the treatment of multiple sclerosis following reports of immune-mediated conditions and problems affecting the heart and blood vessels, including fatal cases. The EMA recommended that alemtuzumab should not be used in patients with certain heart, circulation or bleeding disorders or in patients who have autoimmune disorders other than multiple sclerosis. The EMA also recommended that alemtuzumab only be given in a hospital with ready access to intensive care facilities and specialists who can manage serious adverse reactions. The use of our anti-CD52 antibody may result in the same or similar adverse events as alemtuzumab, and we have chosen to administer our product candidates at trial centers experienced at managing patients with advanced malignancies as well as toxicities associated with immunomodulatory therapies, which significantly limits the sites that are eligible to participate in our clinical trials. If the EMA or other regulatory agencies further limit the use of alemtuzumab or anti-CD52 antibodies, our clinical program would be adversely affected.</w:t>
      </w:r>
    </w:p>
    <w:p>
      <w:pPr>
        <w:spacing w:after="0" w:line="206"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To secure our own readily available source of anti-CD52 antibody, we are developing our own monoclonal anti-CD52 antibody, ALLO-647, which we use in certain of our clinical trials. ALLO-647 may cause serious adverse events that alemtuzumab may cause, including fatal adverse events, infusion related reactions, immune thrombocytopenia, glomerular nephropathies, thyroid disorders, autoimmune cytopenias, autoimmune hepatitis, hemophagocytic lymphohistiocytosis, acquired hemophilia, infections, stroke, and progressive multifocal leukoencephalopathy. In addition, we are exploring various dosing strategies for lymphodepletion in our clinical trials, such as including varying doses of the chemotherapy agents and/or ALLO-647 or eliminating one or more of the agents, which may alter the risk of serious adverse events or have other undesirable outcomes such as a reduction of the efficacy of treatment. Additionally, our experimental lymphodepletion regimens may show different safety profiles when paired with different allogeneic CAR T product candidates such that regimens deemed safe with one CAR T product candidate may be determined to be associated with unacceptable toxicity when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color w:val="auto"/>
        </w:rPr>
        <w:t>combined with another CAR T candidate or with the same candidate in a different patient population. If observed, these differences may require additional clinical exploration and may cause delays in the execution or termination of development campaigns. See the section entitled "Business—Product Pipeline and Development Strategy" included in our Annual Report for information on safety events.</w:t>
      </w:r>
    </w:p>
    <w:p>
      <w:pPr>
        <w:spacing w:after="0" w:line="190" w:lineRule="exact"/>
        <w:rPr>
          <w:sz w:val="20"/>
          <w:szCs w:val="20"/>
          <w:color w:val="auto"/>
        </w:rPr>
      </w:pPr>
    </w:p>
    <w:p>
      <w:pPr>
        <w:jc w:val="both"/>
        <w:ind w:right="200" w:firstLine="629"/>
        <w:spacing w:after="0" w:line="276" w:lineRule="auto"/>
        <w:rPr>
          <w:sz w:val="20"/>
          <w:szCs w:val="20"/>
          <w:color w:val="auto"/>
        </w:rPr>
      </w:pPr>
      <w:r>
        <w:rPr>
          <w:rFonts w:ascii="Times New Roman" w:cs="Times New Roman" w:eastAsia="Times New Roman" w:hAnsi="Times New Roman"/>
          <w:sz w:val="17"/>
          <w:szCs w:val="17"/>
          <w:color w:val="auto"/>
        </w:rPr>
        <w:t>If we are unable to successfully develop and manufacture ALLO-647 in the timeframe we anticipate, or at all, such as if regulatory authorities do not agree with our selected dose or approve of the use of ALLO-647 in combination with our allogeneic T cell product candidates, our clinical trial timelines and ability to commercialize certain of our oncology product candidates would be significantly delayed.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Reliance on Third Parties</w:t>
      </w:r>
    </w:p>
    <w:p>
      <w:pPr>
        <w:spacing w:after="0" w:line="248"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rely and will continue to rely on third parties to conduct our clinical trials. If these third parties do not successfully carry out their contractual duties or meet expected deadlines, we may not be able to obtain regulatory approval of or commercialize our product candidates.*</w:t>
      </w:r>
    </w:p>
    <w:p>
      <w:pPr>
        <w:spacing w:after="0" w:line="169" w:lineRule="exact"/>
        <w:rPr>
          <w:sz w:val="20"/>
          <w:szCs w:val="20"/>
          <w:color w:val="auto"/>
        </w:rPr>
      </w:pPr>
    </w:p>
    <w:p>
      <w:pPr>
        <w:ind w:right="20" w:firstLine="629"/>
        <w:spacing w:after="0" w:line="296" w:lineRule="auto"/>
        <w:rPr>
          <w:sz w:val="20"/>
          <w:szCs w:val="20"/>
          <w:color w:val="auto"/>
        </w:rPr>
      </w:pPr>
      <w:r>
        <w:rPr>
          <w:rFonts w:ascii="Times New Roman" w:cs="Times New Roman" w:eastAsia="Times New Roman" w:hAnsi="Times New Roman"/>
          <w:sz w:val="17"/>
          <w:szCs w:val="17"/>
          <w:color w:val="auto"/>
        </w:rPr>
        <w:t>We depend and will continue to depend upon independent investigators and collaborators, such as universities, medical institutions, CROs and strategic partners to conduct our preclinical and clinical trials under agreements with us.</w:t>
      </w:r>
    </w:p>
    <w:p>
      <w:pPr>
        <w:spacing w:after="0" w:line="173" w:lineRule="exact"/>
        <w:rPr>
          <w:sz w:val="20"/>
          <w:szCs w:val="20"/>
          <w:color w:val="auto"/>
        </w:rPr>
      </w:pPr>
    </w:p>
    <w:p>
      <w:pPr>
        <w:ind w:right="100" w:firstLine="629"/>
        <w:spacing w:after="0" w:line="260" w:lineRule="auto"/>
        <w:rPr>
          <w:sz w:val="20"/>
          <w:szCs w:val="20"/>
          <w:color w:val="auto"/>
        </w:rPr>
      </w:pPr>
      <w:r>
        <w:rPr>
          <w:rFonts w:ascii="Times New Roman" w:cs="Times New Roman" w:eastAsia="Times New Roman" w:hAnsi="Times New Roman"/>
          <w:sz w:val="17"/>
          <w:szCs w:val="17"/>
          <w:color w:val="auto"/>
        </w:rPr>
        <w:t>We negotiate budgets and contracts with CROs and study sites, which may result in delays to our development timelines and increased costs. We will rely heavily on these third parties over the course of our clinical trials, and we control only certain aspects of their activities. Nevertheless, we are responsible for ensuring that each of our studies is conducted in accordance with applicable protocol, legal, regulatory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biologic product produced under cGMPs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209"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preclinical, clinical and nonclinical programs. These third parties may also have relationships with other commercial entities, including our competitors, for whom they may also be conducting clinical studies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205" w:lineRule="exact"/>
        <w:rPr>
          <w:sz w:val="20"/>
          <w:szCs w:val="20"/>
          <w:color w:val="auto"/>
        </w:rPr>
      </w:pPr>
    </w:p>
    <w:p>
      <w:pPr>
        <w:jc w:val="both"/>
        <w:ind w:right="260" w:firstLine="629"/>
        <w:spacing w:after="0" w:line="270" w:lineRule="auto"/>
        <w:rPr>
          <w:sz w:val="20"/>
          <w:szCs w:val="20"/>
          <w:color w:val="auto"/>
        </w:rPr>
      </w:pPr>
      <w:r>
        <w:rPr>
          <w:rFonts w:ascii="Times New Roman" w:cs="Times New Roman" w:eastAsia="Times New Roman" w:hAnsi="Times New Roman"/>
          <w:sz w:val="17"/>
          <w:szCs w:val="17"/>
          <w:color w:val="auto"/>
        </w:rPr>
        <w:t>If any of our relationships with trial sites, or any CRO that we may use in the future, terminates, we may not be able to enter into arrangements with alternative trial sites or CROs or do so on commercially reasonable terms. Switching or adding third parties to conduct our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190"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to manufacture and store our clinical product supplies, and we may have to rely on third parties to produce and process our product candidates, if approved.*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While we utilize CF1 for clinical manufacturing of our CAR T product candidates, we will continue to use CDMOs to manufacture ALLO-647 and several core reagents, and for distribution logistics. There can be no assurance that we will not experience supply or manufacturing issues related to our product candidates or core reagents in the future.</w:t>
      </w:r>
    </w:p>
    <w:p>
      <w:pPr>
        <w:spacing w:after="0" w:line="190"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We do not have long-term agreements in place with CDMOs for the manufacture of our cell therapies or of ALLO-647. If we are unable to contract with CDMOs on acceptable terms or at all, our clinical development program would be delayed and our business would be significantly harmed. For example, in February 2024 Catalent, Inc. and Novo Holdings announced that they have entered into a merger agreement under which Novo Holdings will acquire Catalent. The merger is expected to close towards the end of 2024, and shortly thereafter Novo Holdings intends to sell three Catalent fill-finish sites and related assets acquired in the merger to Novo Nordisk. ALLO-647 is manufactured at one of these sites, and there is a risk that the pendency of the merger and/or the merger itself could impact our ability to utilize the Catalent site for manufacturing ALLO-647. If we are unable to manufacture ALLO-647 at Catalent, we would be required to identify, qualify and establish an alternative manufacturing site and we may be unable to do so in a timely manner, if at all, which could significantly delay our clinical development timelines.</w:t>
      </w:r>
    </w:p>
    <w:p>
      <w:pPr>
        <w:spacing w:after="0" w:line="205" w:lineRule="exact"/>
        <w:rPr>
          <w:sz w:val="20"/>
          <w:szCs w:val="20"/>
          <w:color w:val="auto"/>
        </w:rPr>
      </w:pPr>
    </w:p>
    <w:p>
      <w:pPr>
        <w:ind w:right="100" w:firstLine="629"/>
        <w:spacing w:after="0" w:line="268" w:lineRule="auto"/>
        <w:rPr>
          <w:sz w:val="20"/>
          <w:szCs w:val="20"/>
          <w:color w:val="auto"/>
        </w:rPr>
      </w:pPr>
      <w:r>
        <w:rPr>
          <w:rFonts w:ascii="Times New Roman" w:cs="Times New Roman" w:eastAsia="Times New Roman" w:hAnsi="Times New Roman"/>
          <w:sz w:val="17"/>
          <w:szCs w:val="17"/>
          <w:color w:val="auto"/>
        </w:rPr>
        <w:t>We have built CF1 and have transitioned the manufacturing of certain product candidates to our manufacturing facility. Manufacturing product candidates in our own facility requires that we meet certain regulatory conditions, which may delay or extend our clinical trial timelines. As we transition more manufacturing to CF1, there is a risk that we may need to re-engage our CDMO to manufacture material, which would be costly and there is a risk that the CDMO may be unavailable or may fail in manufacturing, such as due to the CDMO having to retrain its personnel, or train new personnel, to manufacture our material.</w:t>
      </w:r>
    </w:p>
    <w:p>
      <w:pPr>
        <w:spacing w:after="0" w:line="200" w:lineRule="exact"/>
        <w:rPr>
          <w:sz w:val="20"/>
          <w:szCs w:val="20"/>
          <w:color w:val="auto"/>
        </w:rPr>
      </w:pPr>
    </w:p>
    <w:p>
      <w:pPr>
        <w:spacing w:after="0" w:line="210" w:lineRule="exact"/>
        <w:rPr>
          <w:sz w:val="20"/>
          <w:szCs w:val="20"/>
          <w:color w:val="auto"/>
        </w:rPr>
      </w:pPr>
    </w:p>
    <w:p>
      <w:pPr>
        <w:ind w:right="140" w:firstLine="629"/>
        <w:spacing w:after="0" w:line="276" w:lineRule="auto"/>
        <w:rPr>
          <w:sz w:val="20"/>
          <w:szCs w:val="20"/>
          <w:color w:val="auto"/>
        </w:rPr>
      </w:pPr>
      <w:r>
        <w:rPr>
          <w:rFonts w:ascii="Times New Roman" w:cs="Times New Roman" w:eastAsia="Times New Roman" w:hAnsi="Times New Roman"/>
          <w:sz w:val="17"/>
          <w:szCs w:val="17"/>
          <w:color w:val="auto"/>
        </w:rPr>
        <w:t>We have not yet caused our product candidates to be manufactured or processed on a commercial scale and may not be able to achieve manufacturing and processing and may be unable to create an inventory of mass-produced, off-the-shelf product to satisfy demands for any of our product candidates. Our clinical supply is also limited to small quantities and any latent defects discovered in our supply could significantly delay our development timelines.</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 addition, our actual and potential future reliance on a limited number of third-party manufacturers exposes us to the following risks:</w:t>
      </w:r>
    </w:p>
    <w:p>
      <w:pPr>
        <w:spacing w:after="0" w:line="250" w:lineRule="exact"/>
        <w:rPr>
          <w:sz w:val="20"/>
          <w:szCs w:val="20"/>
          <w:color w:val="auto"/>
        </w:rPr>
      </w:pPr>
    </w:p>
    <w:p>
      <w:pPr>
        <w:ind w:left="640" w:right="40" w:hanging="321"/>
        <w:spacing w:after="0" w:line="262" w:lineRule="auto"/>
        <w:tabs>
          <w:tab w:leader="none" w:pos="635" w:val="left"/>
        </w:tabs>
        <w:numPr>
          <w:ilvl w:val="0"/>
          <w:numId w:val="37"/>
        </w:numPr>
        <w:rPr>
          <w:rFonts w:ascii="Arial" w:cs="Arial" w:eastAsia="Arial" w:hAnsi="Arial"/>
          <w:sz w:val="17"/>
          <w:szCs w:val="17"/>
          <w:color w:val="auto"/>
        </w:rPr>
      </w:pPr>
      <w:r>
        <w:rPr>
          <w:rFonts w:ascii="Times New Roman" w:cs="Times New Roman" w:eastAsia="Times New Roman" w:hAnsi="Times New Roman"/>
          <w:sz w:val="17"/>
          <w:szCs w:val="17"/>
          <w:color w:val="auto"/>
        </w:rPr>
        <w:t>We may be unable to identify manufacturers on acceptable terms or at all because the number of potential manufacturers is limited and the FDA or other comparable foreign regulatory authorities may have questions regarding any replacement contractor. This may require new testing and regulatory interactions. In addition, a new manufacturer would have to be educated in, or develop substantially equivalent processes for, production of our products after receipt of FDA or other comparable foreign regulatory authorities questions, if any.</w:t>
      </w:r>
    </w:p>
    <w:p>
      <w:pPr>
        <w:spacing w:after="0" w:line="1" w:lineRule="exact"/>
        <w:rPr>
          <w:rFonts w:ascii="Arial" w:cs="Arial" w:eastAsia="Arial" w:hAnsi="Arial"/>
          <w:sz w:val="17"/>
          <w:szCs w:val="17"/>
          <w:color w:val="auto"/>
        </w:rPr>
      </w:pPr>
    </w:p>
    <w:p>
      <w:pPr>
        <w:ind w:left="640" w:right="220" w:hanging="321"/>
        <w:spacing w:after="0" w:line="256" w:lineRule="auto"/>
        <w:tabs>
          <w:tab w:leader="none" w:pos="635" w:val="left"/>
        </w:tabs>
        <w:numPr>
          <w:ilvl w:val="0"/>
          <w:numId w:val="37"/>
        </w:numPr>
        <w:rPr>
          <w:rFonts w:ascii="Arial" w:cs="Arial" w:eastAsia="Arial" w:hAnsi="Arial"/>
          <w:sz w:val="17"/>
          <w:szCs w:val="17"/>
          <w:color w:val="auto"/>
        </w:rPr>
      </w:pPr>
      <w:r>
        <w:rPr>
          <w:rFonts w:ascii="Times New Roman" w:cs="Times New Roman" w:eastAsia="Times New Roman" w:hAnsi="Times New Roman"/>
          <w:sz w:val="17"/>
          <w:szCs w:val="17"/>
          <w:color w:val="auto"/>
        </w:rPr>
        <w:t>Our third-party manufacturers might be unable to timely formulate and manufacture our product or core reagents or produce the quantity and quality required to meet our clinical and commercial needs, if any.</w:t>
      </w:r>
    </w:p>
    <w:p>
      <w:pPr>
        <w:spacing w:after="0" w:line="1" w:lineRule="exact"/>
        <w:rPr>
          <w:rFonts w:ascii="Arial" w:cs="Arial" w:eastAsia="Arial" w:hAnsi="Arial"/>
          <w:sz w:val="17"/>
          <w:szCs w:val="17"/>
          <w:color w:val="auto"/>
        </w:rPr>
      </w:pPr>
    </w:p>
    <w:p>
      <w:pPr>
        <w:ind w:left="620" w:hanging="301"/>
        <w:spacing w:after="0"/>
        <w:tabs>
          <w:tab w:leader="none" w:pos="620" w:val="left"/>
        </w:tabs>
        <w:numPr>
          <w:ilvl w:val="0"/>
          <w:numId w:val="37"/>
        </w:numPr>
        <w:rPr>
          <w:rFonts w:ascii="Arial" w:cs="Arial" w:eastAsia="Arial" w:hAnsi="Arial"/>
          <w:sz w:val="17"/>
          <w:szCs w:val="17"/>
          <w:color w:val="auto"/>
        </w:rPr>
      </w:pPr>
      <w:r>
        <w:rPr>
          <w:rFonts w:ascii="Times New Roman" w:cs="Times New Roman" w:eastAsia="Times New Roman" w:hAnsi="Times New Roman"/>
          <w:sz w:val="17"/>
          <w:szCs w:val="17"/>
          <w:color w:val="auto"/>
        </w:rPr>
        <w:t>Contract manufacturers may not be able to execute our manufacturing procedures appropriately.</w:t>
      </w:r>
    </w:p>
    <w:p>
      <w:pPr>
        <w:spacing w:after="0" w:line="15" w:lineRule="exact"/>
        <w:rPr>
          <w:rFonts w:ascii="Arial" w:cs="Arial" w:eastAsia="Arial" w:hAnsi="Arial"/>
          <w:sz w:val="17"/>
          <w:szCs w:val="17"/>
          <w:color w:val="auto"/>
        </w:rPr>
      </w:pPr>
    </w:p>
    <w:p>
      <w:pPr>
        <w:ind w:left="620" w:hanging="301"/>
        <w:spacing w:after="0"/>
        <w:tabs>
          <w:tab w:leader="none" w:pos="6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 manufacturers may be subject to adverse legislative actions.</w:t>
      </w:r>
    </w:p>
    <w:p>
      <w:pPr>
        <w:spacing w:after="0" w:line="12" w:lineRule="exact"/>
        <w:rPr>
          <w:rFonts w:ascii="Times New Roman" w:cs="Times New Roman" w:eastAsia="Times New Roman" w:hAnsi="Times New Roman"/>
          <w:sz w:val="17"/>
          <w:szCs w:val="17"/>
          <w:color w:val="auto"/>
        </w:rPr>
      </w:pPr>
    </w:p>
    <w:p>
      <w:pPr>
        <w:ind w:left="640" w:right="320" w:hanging="321"/>
        <w:spacing w:after="0" w:line="256" w:lineRule="auto"/>
        <w:tabs>
          <w:tab w:leader="none" w:pos="635" w:val="left"/>
        </w:tabs>
        <w:numPr>
          <w:ilvl w:val="0"/>
          <w:numId w:val="37"/>
        </w:numPr>
        <w:rPr>
          <w:rFonts w:ascii="Arial" w:cs="Arial" w:eastAsia="Arial" w:hAnsi="Arial"/>
          <w:sz w:val="17"/>
          <w:szCs w:val="17"/>
          <w:color w:val="auto"/>
        </w:rPr>
      </w:pPr>
      <w:r>
        <w:rPr>
          <w:rFonts w:ascii="Times New Roman" w:cs="Times New Roman" w:eastAsia="Times New Roman" w:hAnsi="Times New Roman"/>
          <w:sz w:val="17"/>
          <w:szCs w:val="17"/>
          <w:color w:val="auto"/>
        </w:rPr>
        <w:t>Manufacturers are subject to ongoing periodic unannounced inspection by the FDA, the Drug Enforcement Administration and corresponding state agencies or other comparable foreign regulatory authorities to ensure strict compliance with cGMP and other government regulations and corresponding foreign standards. We do not have control over third-party manufacturers’ compliance with these regulations and standards.</w:t>
      </w:r>
    </w:p>
    <w:p>
      <w:pPr>
        <w:spacing w:after="0" w:line="2" w:lineRule="exact"/>
        <w:rPr>
          <w:rFonts w:ascii="Arial" w:cs="Arial" w:eastAsia="Arial" w:hAnsi="Arial"/>
          <w:sz w:val="17"/>
          <w:szCs w:val="17"/>
          <w:color w:val="auto"/>
        </w:rPr>
      </w:pPr>
    </w:p>
    <w:p>
      <w:pPr>
        <w:ind w:left="640" w:right="960" w:hanging="321"/>
        <w:spacing w:after="0" w:line="256" w:lineRule="auto"/>
        <w:tabs>
          <w:tab w:leader="none" w:pos="635" w:val="left"/>
        </w:tabs>
        <w:numPr>
          <w:ilvl w:val="0"/>
          <w:numId w:val="37"/>
        </w:numPr>
        <w:rPr>
          <w:rFonts w:ascii="Arial" w:cs="Arial" w:eastAsia="Arial" w:hAnsi="Arial"/>
          <w:sz w:val="17"/>
          <w:szCs w:val="17"/>
          <w:color w:val="auto"/>
        </w:rPr>
      </w:pPr>
      <w:r>
        <w:rPr>
          <w:rFonts w:ascii="Times New Roman" w:cs="Times New Roman" w:eastAsia="Times New Roman" w:hAnsi="Times New Roman"/>
          <w:sz w:val="17"/>
          <w:szCs w:val="17"/>
          <w:color w:val="auto"/>
        </w:rPr>
        <w:t>We may not own, or may have to share, the intellectual property rights to any improvements made by our third-party manufacturers in the manufacturing process for our products.</w:t>
      </w:r>
    </w:p>
    <w:p>
      <w:pPr>
        <w:spacing w:after="0" w:line="1" w:lineRule="exact"/>
        <w:rPr>
          <w:rFonts w:ascii="Arial" w:cs="Arial" w:eastAsia="Arial" w:hAnsi="Arial"/>
          <w:sz w:val="17"/>
          <w:szCs w:val="17"/>
          <w:color w:val="auto"/>
        </w:rPr>
      </w:pPr>
    </w:p>
    <w:p>
      <w:pPr>
        <w:ind w:left="640" w:right="60" w:hanging="321"/>
        <w:spacing w:after="0" w:line="256" w:lineRule="auto"/>
        <w:tabs>
          <w:tab w:leader="none" w:pos="635" w:val="left"/>
        </w:tabs>
        <w:numPr>
          <w:ilvl w:val="0"/>
          <w:numId w:val="37"/>
        </w:numPr>
        <w:rPr>
          <w:rFonts w:ascii="Arial" w:cs="Arial" w:eastAsia="Arial" w:hAnsi="Arial"/>
          <w:sz w:val="17"/>
          <w:szCs w:val="17"/>
          <w:color w:val="auto"/>
        </w:rPr>
      </w:pPr>
      <w:r>
        <w:rPr>
          <w:rFonts w:ascii="Times New Roman" w:cs="Times New Roman" w:eastAsia="Times New Roman" w:hAnsi="Times New Roman"/>
          <w:sz w:val="17"/>
          <w:szCs w:val="17"/>
          <w:color w:val="auto"/>
        </w:rPr>
        <w:t>Our future contract manufacturers may not perform as agreed or may not remain in the contract manufacturing business for the time required to supply our clinical trials or to successfully produce, store and distribute our products or core reagents.</w:t>
      </w:r>
    </w:p>
    <w:p>
      <w:pPr>
        <w:spacing w:after="0" w:line="1" w:lineRule="exact"/>
        <w:rPr>
          <w:rFonts w:ascii="Arial" w:cs="Arial" w:eastAsia="Arial" w:hAnsi="Arial"/>
          <w:sz w:val="17"/>
          <w:szCs w:val="17"/>
          <w:color w:val="auto"/>
        </w:rPr>
      </w:pPr>
    </w:p>
    <w:p>
      <w:pPr>
        <w:ind w:left="620" w:hanging="301"/>
        <w:spacing w:after="0"/>
        <w:tabs>
          <w:tab w:leader="none" w:pos="620" w:val="left"/>
        </w:tabs>
        <w:numPr>
          <w:ilvl w:val="0"/>
          <w:numId w:val="37"/>
        </w:numPr>
        <w:rPr>
          <w:rFonts w:ascii="Arial" w:cs="Arial" w:eastAsia="Arial" w:hAnsi="Arial"/>
          <w:sz w:val="17"/>
          <w:szCs w:val="17"/>
          <w:color w:val="auto"/>
        </w:rPr>
      </w:pPr>
      <w:r>
        <w:rPr>
          <w:rFonts w:ascii="Times New Roman" w:cs="Times New Roman" w:eastAsia="Times New Roman" w:hAnsi="Times New Roman"/>
          <w:sz w:val="17"/>
          <w:szCs w:val="17"/>
          <w:color w:val="auto"/>
        </w:rPr>
        <w:t>Our third-party manufacturers could breach or terminate their agreement with us.</w:t>
      </w:r>
    </w:p>
    <w:p>
      <w:pPr>
        <w:spacing w:after="0" w:line="231" w:lineRule="exact"/>
        <w:rPr>
          <w:sz w:val="20"/>
          <w:szCs w:val="20"/>
          <w:color w:val="auto"/>
        </w:rPr>
      </w:pPr>
    </w:p>
    <w:p>
      <w:pPr>
        <w:ind w:right="40" w:firstLine="629"/>
        <w:spacing w:after="0" w:line="263" w:lineRule="auto"/>
        <w:rPr>
          <w:sz w:val="20"/>
          <w:szCs w:val="20"/>
          <w:color w:val="auto"/>
        </w:rPr>
      </w:pPr>
      <w:r>
        <w:rPr>
          <w:rFonts w:ascii="Times New Roman" w:cs="Times New Roman" w:eastAsia="Times New Roman" w:hAnsi="Times New Roman"/>
          <w:sz w:val="17"/>
          <w:szCs w:val="17"/>
          <w:color w:val="auto"/>
        </w:rPr>
        <w:t>Our contract manufacturers would also be subject to the same risks we face in developing our own manufacturing capabilities, as described above. Our current and potential future CDMOs may also be required to shut down in response to health epidemics or pandemics, or they may prioritize manufacturing for therapies or vaccines for other diseases. In addition, our CDMOs have certain responsibilities for storage of raw materials and in the past have lost or failed to adequately store our raw materials. We also rely on third parties to store our released product candidates, and any failure to adequately store our product candidates could result in significant delay to our development timelines. Any additional or future damage or loss of raw materials or product candidates could materially impact our ability to manufacture and supply our product candidates. Each of these risks could delay our clinical trials, the approval, if any, of our product candidates by the FDA or other comparable</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foreign regulatory authorities or the commercialization of our product candidates or result in higher costs or deprive us of potential product revenue.</w:t>
      </w:r>
    </w:p>
    <w:p>
      <w:pPr>
        <w:spacing w:after="0" w:line="250" w:lineRule="exact"/>
        <w:rPr>
          <w:sz w:val="20"/>
          <w:szCs w:val="20"/>
          <w:color w:val="auto"/>
        </w:rPr>
      </w:pPr>
    </w:p>
    <w:p>
      <w:pPr>
        <w:ind w:right="220" w:firstLine="629"/>
        <w:spacing w:after="0" w:line="296" w:lineRule="auto"/>
        <w:rPr>
          <w:sz w:val="20"/>
          <w:szCs w:val="20"/>
          <w:color w:val="auto"/>
        </w:rPr>
      </w:pPr>
      <w:r>
        <w:rPr>
          <w:rFonts w:ascii="Times New Roman" w:cs="Times New Roman" w:eastAsia="Times New Roman" w:hAnsi="Times New Roman"/>
          <w:sz w:val="17"/>
          <w:szCs w:val="17"/>
          <w:color w:val="auto"/>
        </w:rPr>
        <w:t>In addition, we rely on third parties to perform release tests on our product candidates prior to delivery to patients. If these tests are not appropriately done and test data are not reliable, patients could be put at risk of serious harm.</w:t>
      </w:r>
    </w:p>
    <w:p>
      <w:pPr>
        <w:spacing w:after="0" w:line="169"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rely on T cells from healthy donors to manufacture our product candidates, and if we do not obtain an adequate supply of T cells from qualified donors, development of those product candidates, or commercialization, if approved, may be adversely impacted.*</w:t>
      </w:r>
    </w:p>
    <w:p>
      <w:pPr>
        <w:spacing w:after="0" w:line="169"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Unlike autologous CAR T companies, we are reliant on receiving healthy donor material to manufacture our product candidates. Healthy donor T cells vary in type and quality, and this variation makes producing standardized product candidates more difficult and makes the development and commercialization pathway of those product candidates more uncertain. We have developed a screening process designed to enhance the quality and consistency of T cells used in the manufacture of our CAR T cell product candidates, but the manufacturing runs we have completed and tested in the clinic are limited across our product candidates. As we gain experience, we may find that our screening process fails to identify suitable donor material and we may discover unacceptable variability with the material after production. We may also have to update our specifications for new risks that may emerge, such as to screen for new viruses or chromosomal abnormalities.</w:t>
      </w:r>
    </w:p>
    <w:p>
      <w:pPr>
        <w:spacing w:after="0" w:line="203"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We have strict specifications for donor material, which include specifications required by regulatory authorities. If we are unable to identify and obtain donor material that satisfy specifications, agree with regulatory authorities on appropriate specifications, or address variability in donor T cells, there may be inconsistencies in the product candidates we produce or we may be unable to initiate or continue clinical trials on the timelines we expect, which could harm our reputation and adversely impact our business and prospects.</w:t>
      </w:r>
    </w:p>
    <w:p>
      <w:pPr>
        <w:spacing w:after="0" w:line="194" w:lineRule="exact"/>
        <w:rPr>
          <w:sz w:val="20"/>
          <w:szCs w:val="20"/>
          <w:color w:val="auto"/>
        </w:rPr>
      </w:pPr>
    </w:p>
    <w:p>
      <w:pPr>
        <w:ind w:right="380" w:firstLine="629"/>
        <w:spacing w:after="0" w:line="296" w:lineRule="auto"/>
        <w:rPr>
          <w:sz w:val="20"/>
          <w:szCs w:val="20"/>
          <w:color w:val="auto"/>
        </w:rPr>
      </w:pPr>
      <w:r>
        <w:rPr>
          <w:rFonts w:ascii="Times New Roman" w:cs="Times New Roman" w:eastAsia="Times New Roman" w:hAnsi="Times New Roman"/>
          <w:sz w:val="17"/>
          <w:szCs w:val="17"/>
          <w:color w:val="auto"/>
        </w:rPr>
        <w:t>In addition, vendors face challenges in obtaining donor material. While we have donor material on hand, if our vendors are unable to secure donor material, we may no longer have sufficient donor material to manufacture our product candidates.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Cell-based therapies rely on the availability of specialty raw materials, which may not be available to us on acceptable terms or at all.*</w:t>
      </w:r>
    </w:p>
    <w:p>
      <w:pPr>
        <w:spacing w:after="0" w:line="254" w:lineRule="exact"/>
        <w:rPr>
          <w:sz w:val="20"/>
          <w:szCs w:val="20"/>
          <w:color w:val="auto"/>
        </w:rPr>
      </w:pPr>
    </w:p>
    <w:p>
      <w:pPr>
        <w:ind w:right="40" w:firstLine="629"/>
        <w:spacing w:after="0" w:line="265" w:lineRule="auto"/>
        <w:rPr>
          <w:sz w:val="20"/>
          <w:szCs w:val="20"/>
          <w:color w:val="auto"/>
        </w:rPr>
      </w:pPr>
      <w:r>
        <w:rPr>
          <w:rFonts w:ascii="Times New Roman" w:cs="Times New Roman" w:eastAsia="Times New Roman" w:hAnsi="Times New Roman"/>
          <w:sz w:val="17"/>
          <w:szCs w:val="17"/>
          <w:color w:val="auto"/>
        </w:rPr>
        <w:t>Our product candidates require many specialty raw materials, including viral vectors that deliver the CAR sequence and electroporation technology, some of which are manufactured by small companies with limited resources and experience to support a commercial product, and the suppliers may not be able to deliver raw materials to our specifications. We do not have contracts with many of the suppliers, and we may not be able to contract with them on acceptable terms, or at all. As a result of logistical challenges and recent inflation, we may experience higher costs or delays in receiving, or fail to secure entirely, key raw materials to support clinical or commercial manufacturing. Certain raw materials also require third-party testing, and some of the testing service companies may not have capacity or be able to conduct the testing that we request.</w:t>
      </w:r>
    </w:p>
    <w:p>
      <w:pPr>
        <w:spacing w:after="0" w:line="198" w:lineRule="exact"/>
        <w:rPr>
          <w:sz w:val="20"/>
          <w:szCs w:val="20"/>
          <w:color w:val="auto"/>
        </w:rPr>
      </w:pPr>
    </w:p>
    <w:p>
      <w:pPr>
        <w:ind w:right="60" w:firstLine="629"/>
        <w:spacing w:after="0" w:line="270" w:lineRule="auto"/>
        <w:rPr>
          <w:sz w:val="20"/>
          <w:szCs w:val="20"/>
          <w:color w:val="auto"/>
        </w:rPr>
      </w:pPr>
      <w:r>
        <w:rPr>
          <w:rFonts w:ascii="Times New Roman" w:cs="Times New Roman" w:eastAsia="Times New Roman" w:hAnsi="Times New Roman"/>
          <w:sz w:val="17"/>
          <w:szCs w:val="17"/>
          <w:color w:val="auto"/>
        </w:rPr>
        <w:t>In addition, many of our suppliers normally support blood-based hospital businesses and generally do not have the capacity to support commercial products manufactured under cGMP by biopharmaceutical firms. The suppliers may be ill-equipped to support our needs, including generating data required for a BLA and in non-routine circumstances like an FDA or other comparable foreign regulatory authorities inspection or medical crisis, such as widespread contamination.</w:t>
      </w:r>
    </w:p>
    <w:p>
      <w:pPr>
        <w:spacing w:after="0" w:line="194" w:lineRule="exact"/>
        <w:rPr>
          <w:sz w:val="20"/>
          <w:szCs w:val="20"/>
          <w:color w:val="auto"/>
        </w:rPr>
      </w:pPr>
    </w:p>
    <w:p>
      <w:pPr>
        <w:ind w:right="160" w:firstLine="629"/>
        <w:spacing w:after="0" w:line="296" w:lineRule="auto"/>
        <w:rPr>
          <w:sz w:val="20"/>
          <w:szCs w:val="20"/>
          <w:color w:val="auto"/>
        </w:rPr>
      </w:pPr>
      <w:r>
        <w:rPr>
          <w:rFonts w:ascii="Times New Roman" w:cs="Times New Roman" w:eastAsia="Times New Roman" w:hAnsi="Times New Roman"/>
          <w:sz w:val="17"/>
          <w:szCs w:val="17"/>
          <w:color w:val="auto"/>
        </w:rPr>
        <w:t>We also face competition for supplies from other cell therapy companies. Such competition may make it difficult for us to secure raw materials or the testing of such materials on commercially reasonable terms or in a timely manner.</w:t>
      </w:r>
    </w:p>
    <w:p>
      <w:pPr>
        <w:spacing w:after="0" w:line="173" w:lineRule="exact"/>
        <w:rPr>
          <w:sz w:val="20"/>
          <w:szCs w:val="20"/>
          <w:color w:val="auto"/>
        </w:rPr>
      </w:pPr>
    </w:p>
    <w:p>
      <w:pPr>
        <w:ind w:right="60" w:firstLine="629"/>
        <w:spacing w:after="0" w:line="263" w:lineRule="auto"/>
        <w:rPr>
          <w:sz w:val="20"/>
          <w:szCs w:val="20"/>
          <w:color w:val="auto"/>
        </w:rPr>
      </w:pPr>
      <w:r>
        <w:rPr>
          <w:rFonts w:ascii="Times New Roman" w:cs="Times New Roman" w:eastAsia="Times New Roman" w:hAnsi="Times New Roman"/>
          <w:sz w:val="17"/>
          <w:szCs w:val="17"/>
          <w:color w:val="auto"/>
        </w:rPr>
        <w:t>Some raw materials are currently available from a single supplier, or a small number of suppliers. We cannot be sure that these suppliers will remain in business or that they will not be purchased by one of our competitors or another company that is not interested in continuing to produce these materials for our intended purpose. In addition, the lead time needed to establish a relationship with a new supplier can be lengthy, and we may experience delays in meeting demand in the event we must switch to a new supplier. For example, for certain raw materials we previously had to find an alternative supplier, which required qualifying the new supplier, which required meeting regulatory requirements for such qualification. If we need to transition to an alternative supplier in the future, it could result in additional costs, delays, diversion of resources or reduced manufacturing yields, any of which would negatively impact our operating results. Further, we may be unable to enter into agreements with a new supplier on commercially reasonable terms, which could have a material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right="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we or our third-party suppliers use hazardous, non-hazardous, biological or other materials in a manner that causes injury or violates applicable law, we may be liable for damages.*</w:t>
      </w:r>
    </w:p>
    <w:p>
      <w:pPr>
        <w:spacing w:after="0" w:line="169" w:lineRule="exact"/>
        <w:rPr>
          <w:sz w:val="20"/>
          <w:szCs w:val="20"/>
          <w:color w:val="auto"/>
        </w:rPr>
      </w:pPr>
    </w:p>
    <w:p>
      <w:pPr>
        <w:ind w:right="40" w:firstLine="629"/>
        <w:spacing w:after="0" w:line="262" w:lineRule="auto"/>
        <w:rPr>
          <w:sz w:val="20"/>
          <w:szCs w:val="20"/>
          <w:color w:val="auto"/>
        </w:rPr>
      </w:pPr>
      <w:r>
        <w:rPr>
          <w:rFonts w:ascii="Times New Roman" w:cs="Times New Roman" w:eastAsia="Times New Roman" w:hAnsi="Times New Roman"/>
          <w:sz w:val="17"/>
          <w:szCs w:val="17"/>
          <w:color w:val="auto"/>
        </w:rPr>
        <w:t>Our research and development activities involve the controlled use of potentially hazardous substances, including chemical and biological materials. We and our suppliers are subject to federal, state and local laws and regulations in the United States governing the use, manufacture, storage, handling and disposal of medical and hazardous materials, and there is a risk of contamination or injury resulting from medical or hazardous materials. For instance, we have had and may continue to have environmental notice of violations at our manufacturing facility.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In addition, we have previously shipped certain materials to Allogene Overland PRC in China and may do so in the future to its successor entity. Any violation by our joint venture in the use, manufacture, storage, handling and disposal under foreign law may subject us to additional liability.</w:t>
      </w:r>
    </w:p>
    <w:p>
      <w:pPr>
        <w:spacing w:after="0" w:line="200" w:lineRule="exact"/>
        <w:rPr>
          <w:sz w:val="20"/>
          <w:szCs w:val="20"/>
          <w:color w:val="auto"/>
        </w:rPr>
      </w:pPr>
    </w:p>
    <w:p>
      <w:pPr>
        <w:spacing w:after="0" w:line="215"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Government Regulation</w:t>
      </w:r>
    </w:p>
    <w:p>
      <w:pPr>
        <w:spacing w:after="0" w:line="248" w:lineRule="exact"/>
        <w:rPr>
          <w:sz w:val="20"/>
          <w:szCs w:val="20"/>
          <w:color w:val="auto"/>
        </w:rPr>
      </w:pPr>
    </w:p>
    <w:p>
      <w:pPr>
        <w:ind w:right="2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FDA and other comparable foreign regulatory approval processes are lengthy and time-consuming, and we may experience significant delays in the clinical development and regulatory approval of our product candidates.*</w:t>
      </w:r>
    </w:p>
    <w:p>
      <w:pPr>
        <w:spacing w:after="0" w:line="169" w:lineRule="exact"/>
        <w:rPr>
          <w:sz w:val="20"/>
          <w:szCs w:val="20"/>
          <w:color w:val="auto"/>
        </w:rPr>
      </w:pPr>
    </w:p>
    <w:p>
      <w:pPr>
        <w:ind w:right="120" w:firstLine="629"/>
        <w:spacing w:after="0" w:line="262" w:lineRule="auto"/>
        <w:rPr>
          <w:sz w:val="20"/>
          <w:szCs w:val="20"/>
          <w:color w:val="auto"/>
        </w:rPr>
      </w:pPr>
      <w:r>
        <w:rPr>
          <w:rFonts w:ascii="Times New Roman" w:cs="Times New Roman" w:eastAsia="Times New Roman" w:hAnsi="Times New Roman"/>
          <w:sz w:val="17"/>
          <w:szCs w:val="17"/>
          <w:color w:val="auto"/>
        </w:rPr>
        <w:t>The research, testing, manufacturing, labeling, approval, selling, import, export, marketing, and distribution of drug products, including biologics, are subject to extensive regulation by the FDA and other regulatory authorities in the United States and comparable foreign regulatory authorities. We are not permitted to market any biological drug product in the United States or elsewhere until we receive approval of a BLA from the FDA or equivalent approvals from other comparable foreign regulatory authorities. We have not previously submitted a BLA to the FDA, or similar approval filings to comparable foreign regulatory authorities. A BLA or equivalent foreign application must include extensive preclinical and clinical data and supporting information to establish the product candidate’s safety and effectiveness for each desired indication. The BLA or equivalent foreign application must also include significant information regarding CMC matters for the product, and any delay or failure in generating such data to meet the evolving CMC regulatory requirements would delay any BLA filing or equivalent foreign application.</w:t>
      </w:r>
    </w:p>
    <w:p>
      <w:pPr>
        <w:spacing w:after="0" w:line="205" w:lineRule="exact"/>
        <w:rPr>
          <w:sz w:val="20"/>
          <w:szCs w:val="20"/>
          <w:color w:val="auto"/>
        </w:rPr>
      </w:pPr>
    </w:p>
    <w:p>
      <w:pPr>
        <w:ind w:right="20" w:firstLine="629"/>
        <w:spacing w:after="0" w:line="262" w:lineRule="auto"/>
        <w:rPr>
          <w:sz w:val="20"/>
          <w:szCs w:val="20"/>
          <w:color w:val="auto"/>
        </w:rPr>
      </w:pPr>
      <w:r>
        <w:rPr>
          <w:rFonts w:ascii="Times New Roman" w:cs="Times New Roman" w:eastAsia="Times New Roman" w:hAnsi="Times New Roman"/>
          <w:sz w:val="17"/>
          <w:szCs w:val="17"/>
          <w:color w:val="auto"/>
        </w:rPr>
        <w:t>We expect the novel nature of our product candidates to create further challenges in obtaining regulatory approval. For example, the FDA or other comparable foreign regulatory authorities have limited experience with commercial development of allogeneic T cell therapies for cancer. We may also request clinical trial initiation or regulatory approval of future CAR-based product candidates by target, regardless of cancer type or origin, which the FDA or other comparable foreign regulatory authorities may have difficulty accepting. The FDA or other comparable foreign regulatory authorities may also 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as the FDA or comparable foreign regulatory authorities often adheres to the Advisory Committee’s recommendations. Accordingly, the regulatory approval pathway for our product candidates may be uncertain, complex, expensive and lengthy, and approval may not be obtained.</w:t>
      </w:r>
    </w:p>
    <w:p>
      <w:pPr>
        <w:spacing w:after="0" w:line="205" w:lineRule="exact"/>
        <w:rPr>
          <w:sz w:val="20"/>
          <w:szCs w:val="20"/>
          <w:color w:val="auto"/>
        </w:rPr>
      </w:pPr>
    </w:p>
    <w:p>
      <w:pPr>
        <w:ind w:right="260" w:firstLine="629"/>
        <w:spacing w:after="0" w:line="268" w:lineRule="auto"/>
        <w:rPr>
          <w:sz w:val="20"/>
          <w:szCs w:val="20"/>
          <w:color w:val="auto"/>
        </w:rPr>
      </w:pPr>
      <w:r>
        <w:rPr>
          <w:rFonts w:ascii="Times New Roman" w:cs="Times New Roman" w:eastAsia="Times New Roman" w:hAnsi="Times New Roman"/>
          <w:sz w:val="17"/>
          <w:szCs w:val="17"/>
          <w:color w:val="auto"/>
        </w:rPr>
        <w:t>We have previously experienced a delay in our clinical trials due to a clinical hold, and may experience future delays in completing planned clinical trials for a variety of reasons, including delays related to:</w:t>
      </w:r>
    </w:p>
    <w:p>
      <w:pPr>
        <w:spacing w:after="0" w:line="8" w:lineRule="exact"/>
        <w:rPr>
          <w:sz w:val="20"/>
          <w:szCs w:val="20"/>
          <w:color w:val="auto"/>
        </w:rPr>
      </w:pPr>
    </w:p>
    <w:p>
      <w:pPr>
        <w:ind w:left="620" w:hanging="301"/>
        <w:spacing w:after="0"/>
        <w:tabs>
          <w:tab w:leader="none" w:pos="620" w:val="left"/>
        </w:tabs>
        <w:numPr>
          <w:ilvl w:val="0"/>
          <w:numId w:val="38"/>
        </w:numPr>
        <w:rPr>
          <w:rFonts w:ascii="Arial" w:cs="Arial" w:eastAsia="Arial" w:hAnsi="Arial"/>
          <w:sz w:val="21"/>
          <w:szCs w:val="21"/>
          <w:color w:val="auto"/>
        </w:rPr>
      </w:pPr>
      <w:r>
        <w:rPr>
          <w:rFonts w:ascii="Times New Roman" w:cs="Times New Roman" w:eastAsia="Times New Roman" w:hAnsi="Times New Roman"/>
          <w:sz w:val="17"/>
          <w:szCs w:val="17"/>
          <w:color w:val="auto"/>
        </w:rPr>
        <w:t>obtaining regulatory authorization to begin a trial, if applicable, including regulatory approval of any companion diagnostic, if applicable;</w:t>
      </w:r>
    </w:p>
    <w:p>
      <w:pPr>
        <w:spacing w:after="0" w:line="13"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38"/>
        </w:numPr>
        <w:rPr>
          <w:rFonts w:ascii="Arial" w:cs="Arial" w:eastAsia="Arial" w:hAnsi="Arial"/>
          <w:sz w:val="21"/>
          <w:szCs w:val="21"/>
          <w:color w:val="auto"/>
        </w:rPr>
      </w:pPr>
      <w:r>
        <w:rPr>
          <w:rFonts w:ascii="Times New Roman" w:cs="Times New Roman" w:eastAsia="Times New Roman" w:hAnsi="Times New Roman"/>
          <w:sz w:val="17"/>
          <w:szCs w:val="17"/>
          <w:color w:val="auto"/>
        </w:rPr>
        <w:t>the availability of financial resources to commence and complete the planned trials;</w:t>
      </w:r>
    </w:p>
    <w:p>
      <w:pPr>
        <w:spacing w:after="0" w:line="21" w:lineRule="exact"/>
        <w:rPr>
          <w:rFonts w:ascii="Arial" w:cs="Arial" w:eastAsia="Arial" w:hAnsi="Arial"/>
          <w:sz w:val="21"/>
          <w:szCs w:val="21"/>
          <w:color w:val="auto"/>
        </w:rPr>
      </w:pPr>
    </w:p>
    <w:p>
      <w:pPr>
        <w:ind w:left="640" w:right="160" w:hanging="321"/>
        <w:spacing w:after="0" w:line="247" w:lineRule="auto"/>
        <w:tabs>
          <w:tab w:leader="none" w:pos="635" w:val="left"/>
        </w:tabs>
        <w:numPr>
          <w:ilvl w:val="0"/>
          <w:numId w:val="38"/>
        </w:numPr>
        <w:rPr>
          <w:rFonts w:ascii="Arial" w:cs="Arial" w:eastAsia="Arial" w:hAnsi="Arial"/>
          <w:sz w:val="21"/>
          <w:szCs w:val="21"/>
          <w:color w:val="auto"/>
        </w:rPr>
      </w:pPr>
      <w:r>
        <w:rPr>
          <w:rFonts w:ascii="Times New Roman" w:cs="Times New Roman" w:eastAsia="Times New Roman" w:hAnsi="Times New Roman"/>
          <w:sz w:val="17"/>
          <w:szCs w:val="17"/>
          <w:color w:val="auto"/>
        </w:rPr>
        <w:t>reaching agreement on acceptable terms with prospective CROs and clinical trial sites, the terms of which can be subject to extensive negotiation and may vary significantly among different CROs and trial sites;</w:t>
      </w:r>
    </w:p>
    <w:p>
      <w:pPr>
        <w:spacing w:after="0" w:line="21" w:lineRule="exact"/>
        <w:rPr>
          <w:rFonts w:ascii="Arial" w:cs="Arial" w:eastAsia="Arial" w:hAnsi="Arial"/>
          <w:sz w:val="21"/>
          <w:szCs w:val="21"/>
          <w:color w:val="auto"/>
        </w:rPr>
      </w:pPr>
    </w:p>
    <w:p>
      <w:pPr>
        <w:ind w:left="640" w:right="400" w:hanging="321"/>
        <w:spacing w:after="0"/>
        <w:tabs>
          <w:tab w:leader="none" w:pos="635" w:val="left"/>
        </w:tabs>
        <w:numPr>
          <w:ilvl w:val="0"/>
          <w:numId w:val="38"/>
        </w:numPr>
        <w:rPr>
          <w:rFonts w:ascii="Arial" w:cs="Arial" w:eastAsia="Arial" w:hAnsi="Arial"/>
          <w:sz w:val="21"/>
          <w:szCs w:val="21"/>
          <w:color w:val="auto"/>
        </w:rPr>
      </w:pPr>
      <w:r>
        <w:rPr>
          <w:rFonts w:ascii="Times New Roman" w:cs="Times New Roman" w:eastAsia="Times New Roman" w:hAnsi="Times New Roman"/>
          <w:sz w:val="17"/>
          <w:szCs w:val="17"/>
          <w:color w:val="auto"/>
        </w:rPr>
        <w:t>developing and implementing processes and procedures with collaborators relating to the collection and transfer of patient samples and the timely performance of a companion diagnostic on such samples;</w:t>
      </w:r>
    </w:p>
    <w:p>
      <w:pPr>
        <w:ind w:left="620" w:hanging="301"/>
        <w:spacing w:after="0"/>
        <w:tabs>
          <w:tab w:leader="none" w:pos="6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approval at each clinical trial site by an independent IRB or a positive opinion from an Ethics Committee;</w:t>
      </w: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ind w:left="620" w:hanging="301"/>
        <w:spacing w:after="0"/>
        <w:tabs>
          <w:tab w:leader="none" w:pos="620" w:val="left"/>
        </w:tabs>
        <w:numPr>
          <w:ilvl w:val="0"/>
          <w:numId w:val="39"/>
        </w:numPr>
        <w:rPr>
          <w:rFonts w:ascii="Arial" w:cs="Arial" w:eastAsia="Arial" w:hAnsi="Arial"/>
          <w:sz w:val="21"/>
          <w:szCs w:val="21"/>
          <w:color w:val="auto"/>
        </w:rPr>
      </w:pPr>
      <w:r>
        <w:rPr>
          <w:rFonts w:ascii="Times New Roman" w:cs="Times New Roman" w:eastAsia="Times New Roman" w:hAnsi="Times New Roman"/>
          <w:sz w:val="17"/>
          <w:szCs w:val="17"/>
          <w:color w:val="auto"/>
        </w:rPr>
        <w:t>obtaining regulatory and other approvals to modify the conduct of a clinical trial;</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39"/>
        </w:numPr>
        <w:rPr>
          <w:rFonts w:ascii="Arial" w:cs="Arial" w:eastAsia="Arial" w:hAnsi="Arial"/>
          <w:sz w:val="21"/>
          <w:szCs w:val="21"/>
          <w:color w:val="auto"/>
        </w:rPr>
      </w:pPr>
      <w:r>
        <w:rPr>
          <w:rFonts w:ascii="Times New Roman" w:cs="Times New Roman" w:eastAsia="Times New Roman" w:hAnsi="Times New Roman"/>
          <w:sz w:val="17"/>
          <w:szCs w:val="17"/>
          <w:color w:val="auto"/>
        </w:rPr>
        <w:t>recruiting suitable patients to participate in a trial;</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39"/>
        </w:numPr>
        <w:rPr>
          <w:rFonts w:ascii="Arial" w:cs="Arial" w:eastAsia="Arial" w:hAnsi="Arial"/>
          <w:sz w:val="21"/>
          <w:szCs w:val="21"/>
          <w:color w:val="auto"/>
        </w:rPr>
      </w:pPr>
      <w:r>
        <w:rPr>
          <w:rFonts w:ascii="Times New Roman" w:cs="Times New Roman" w:eastAsia="Times New Roman" w:hAnsi="Times New Roman"/>
          <w:sz w:val="17"/>
          <w:szCs w:val="17"/>
          <w:color w:val="auto"/>
        </w:rPr>
        <w:t>delays by a collaboration partner in running a companion diagnostic on patient samples;</w:t>
      </w:r>
    </w:p>
    <w:p>
      <w:pPr>
        <w:spacing w:after="0" w:line="34" w:lineRule="exact"/>
        <w:rPr>
          <w:rFonts w:ascii="Arial" w:cs="Arial" w:eastAsia="Arial" w:hAnsi="Arial"/>
          <w:sz w:val="21"/>
          <w:szCs w:val="21"/>
          <w:color w:val="auto"/>
        </w:rPr>
      </w:pPr>
    </w:p>
    <w:p>
      <w:pPr>
        <w:ind w:left="640" w:right="520" w:hanging="321"/>
        <w:spacing w:after="0"/>
        <w:tabs>
          <w:tab w:leader="none" w:pos="635" w:val="left"/>
        </w:tabs>
        <w:numPr>
          <w:ilvl w:val="0"/>
          <w:numId w:val="39"/>
        </w:numPr>
        <w:rPr>
          <w:rFonts w:ascii="Arial" w:cs="Arial" w:eastAsia="Arial" w:hAnsi="Arial"/>
          <w:sz w:val="21"/>
          <w:szCs w:val="21"/>
          <w:color w:val="auto"/>
        </w:rPr>
      </w:pPr>
      <w:r>
        <w:rPr>
          <w:rFonts w:ascii="Times New Roman" w:cs="Times New Roman" w:eastAsia="Times New Roman" w:hAnsi="Times New Roman"/>
          <w:sz w:val="17"/>
          <w:szCs w:val="17"/>
          <w:color w:val="auto"/>
        </w:rPr>
        <w:t>having patients complete a trial, including having patients enrolled in clinical trials dropping out of the trial prior to treatment, or return for post-treatment follow-up;</w:t>
      </w:r>
    </w:p>
    <w:p>
      <w:pPr>
        <w:spacing w:after="0" w:line="7" w:lineRule="exact"/>
        <w:rPr>
          <w:rFonts w:ascii="Arial" w:cs="Arial" w:eastAsia="Arial" w:hAnsi="Arial"/>
          <w:sz w:val="21"/>
          <w:szCs w:val="21"/>
          <w:color w:val="auto"/>
        </w:rPr>
      </w:pPr>
    </w:p>
    <w:p>
      <w:pPr>
        <w:ind w:left="620" w:hanging="301"/>
        <w:spacing w:after="0"/>
        <w:tabs>
          <w:tab w:leader="none" w:pos="620" w:val="left"/>
        </w:tabs>
        <w:numPr>
          <w:ilvl w:val="0"/>
          <w:numId w:val="39"/>
        </w:numPr>
        <w:rPr>
          <w:rFonts w:ascii="Arial" w:cs="Arial" w:eastAsia="Arial" w:hAnsi="Arial"/>
          <w:sz w:val="21"/>
          <w:szCs w:val="21"/>
          <w:color w:val="auto"/>
        </w:rPr>
      </w:pPr>
      <w:r>
        <w:rPr>
          <w:rFonts w:ascii="Times New Roman" w:cs="Times New Roman" w:eastAsia="Times New Roman" w:hAnsi="Times New Roman"/>
          <w:sz w:val="17"/>
          <w:szCs w:val="17"/>
          <w:color w:val="auto"/>
        </w:rPr>
        <w:t>clinical trial sites deviating from trial protocol or dropping out of a trial;</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39"/>
        </w:numPr>
        <w:rPr>
          <w:rFonts w:ascii="Arial" w:cs="Arial" w:eastAsia="Arial" w:hAnsi="Arial"/>
          <w:sz w:val="21"/>
          <w:szCs w:val="21"/>
          <w:color w:val="auto"/>
        </w:rPr>
      </w:pPr>
      <w:r>
        <w:rPr>
          <w:rFonts w:ascii="Times New Roman" w:cs="Times New Roman" w:eastAsia="Times New Roman" w:hAnsi="Times New Roman"/>
          <w:sz w:val="17"/>
          <w:szCs w:val="17"/>
          <w:color w:val="auto"/>
        </w:rPr>
        <w:t>addressing any patient safety concerns that arise during the course of a trial;</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39"/>
        </w:numPr>
        <w:rPr>
          <w:rFonts w:ascii="Arial" w:cs="Arial" w:eastAsia="Arial" w:hAnsi="Arial"/>
          <w:sz w:val="21"/>
          <w:szCs w:val="21"/>
          <w:color w:val="auto"/>
        </w:rPr>
      </w:pPr>
      <w:r>
        <w:rPr>
          <w:rFonts w:ascii="Times New Roman" w:cs="Times New Roman" w:eastAsia="Times New Roman" w:hAnsi="Times New Roman"/>
          <w:sz w:val="17"/>
          <w:szCs w:val="17"/>
          <w:color w:val="auto"/>
        </w:rPr>
        <w:t>adding new clinical trial sites; or</w:t>
      </w:r>
    </w:p>
    <w:p>
      <w:pPr>
        <w:spacing w:after="0" w:line="21" w:lineRule="exact"/>
        <w:rPr>
          <w:rFonts w:ascii="Arial" w:cs="Arial" w:eastAsia="Arial" w:hAnsi="Arial"/>
          <w:sz w:val="21"/>
          <w:szCs w:val="21"/>
          <w:color w:val="auto"/>
        </w:rPr>
      </w:pPr>
    </w:p>
    <w:p>
      <w:pPr>
        <w:ind w:left="640" w:right="300" w:hanging="321"/>
        <w:spacing w:after="0" w:line="256" w:lineRule="auto"/>
        <w:tabs>
          <w:tab w:leader="none" w:pos="635" w:val="left"/>
        </w:tabs>
        <w:numPr>
          <w:ilvl w:val="0"/>
          <w:numId w:val="39"/>
        </w:numPr>
        <w:rPr>
          <w:rFonts w:ascii="Arial" w:cs="Arial" w:eastAsia="Arial" w:hAnsi="Arial"/>
          <w:sz w:val="21"/>
          <w:szCs w:val="21"/>
          <w:color w:val="auto"/>
        </w:rPr>
      </w:pPr>
      <w:r>
        <w:rPr>
          <w:rFonts w:ascii="Times New Roman" w:cs="Times New Roman" w:eastAsia="Times New Roman" w:hAnsi="Times New Roman"/>
          <w:sz w:val="17"/>
          <w:szCs w:val="17"/>
          <w:color w:val="auto"/>
        </w:rPr>
        <w:t>manufacturing sufficient quantities of qualified materials under cGMPs, releasing product in accordance with specifications, and delivering product candidates for use in clinical trials.</w:t>
      </w:r>
    </w:p>
    <w:p>
      <w:pPr>
        <w:spacing w:after="0" w:line="202"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We could also encounter future delays if physicians encounter unresolved ethical issues associated with enrolling patients in clinical trials of our product candidates in lieu of prescribing existing treatments that have established safety and efficacy profiles, or with respect to the ALPHA3 trial, in lieu of observation alone. Further, a clinical trial may be suspended or terminated by us, the Institutional Review Boards (IRBs) or Ethics Committees for the institutions in which such trials are being conducted or by the FDA or other comparable foreign regulatory authorities due to a number of factors, including failure to conduct the clinical trial in accordance with regulatory requirements or our clinical protocols, inspection of the clinical trial operations or trial site by the FDA or other comparable foreign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any Data Safety Monitoring Committee. The FDA or other comparable foreign regulatory authorities’ review of our data of our clinical trials may, depending on the data, also result in the delay, suspension or termination of one or more of our clinical trials, which would also delay or prevent the initiation of our other planned clinical trials.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200" w:lineRule="exact"/>
        <w:rPr>
          <w:sz w:val="20"/>
          <w:szCs w:val="20"/>
          <w:color w:val="auto"/>
        </w:rPr>
      </w:pPr>
    </w:p>
    <w:p>
      <w:pPr>
        <w:spacing w:after="0" w:line="219" w:lineRule="exact"/>
        <w:rPr>
          <w:sz w:val="20"/>
          <w:szCs w:val="20"/>
          <w:color w:val="auto"/>
        </w:rPr>
      </w:pPr>
    </w:p>
    <w:p>
      <w:pPr>
        <w:ind w:right="140" w:firstLine="629"/>
        <w:spacing w:after="0" w:line="296" w:lineRule="auto"/>
        <w:rPr>
          <w:sz w:val="20"/>
          <w:szCs w:val="20"/>
          <w:color w:val="auto"/>
        </w:rPr>
      </w:pPr>
      <w:r>
        <w:rPr>
          <w:rFonts w:ascii="Times New Roman" w:cs="Times New Roman" w:eastAsia="Times New Roman" w:hAnsi="Times New Roman"/>
          <w:sz w:val="17"/>
          <w:szCs w:val="17"/>
          <w:color w:val="auto"/>
        </w:rPr>
        <w:t>Many of the factors that cause, or lead to, a delay in the commencement or completion of clinical trials may ultimately lead to the denial of regulatory approval of our product candidates.</w:t>
      </w:r>
    </w:p>
    <w:p>
      <w:pPr>
        <w:spacing w:after="0" w:line="169"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regulatory landscape that will govern our product candidates is uncertain; regulations relating to more established gene therapy and cell therapy products are still developing, and changes in regulatory requirements could result in delays or discontinuation of development of our product candidates or unexpected costs in obtaining or maintaining any regulatory approval.*</w:t>
      </w:r>
    </w:p>
    <w:p>
      <w:pPr>
        <w:spacing w:after="0" w:line="187" w:lineRule="exact"/>
        <w:rPr>
          <w:sz w:val="20"/>
          <w:szCs w:val="20"/>
          <w:color w:val="auto"/>
        </w:rPr>
      </w:pPr>
    </w:p>
    <w:p>
      <w:pPr>
        <w:ind w:right="220" w:firstLine="629"/>
        <w:spacing w:after="0" w:line="276" w:lineRule="auto"/>
        <w:rPr>
          <w:sz w:val="20"/>
          <w:szCs w:val="20"/>
          <w:color w:val="auto"/>
        </w:rPr>
      </w:pPr>
      <w:r>
        <w:rPr>
          <w:rFonts w:ascii="Times New Roman" w:cs="Times New Roman" w:eastAsia="Times New Roman" w:hAnsi="Times New Roman"/>
          <w:sz w:val="17"/>
          <w:szCs w:val="17"/>
          <w:color w:val="auto"/>
        </w:rPr>
        <w:t>Because we are developing novel CAR T cell immunotherapy product candidates that are unique biological entities, the regulatory requirements that we will be subject to are not entirely clear. Even with respect to more established products that fit into the categories of gene therapies or cell therapies, the regulatory landscape is still developing and guidance from regulatory authorities may continue to change in the future.</w:t>
      </w:r>
    </w:p>
    <w:p>
      <w:pPr>
        <w:spacing w:after="0" w:line="190" w:lineRule="exact"/>
        <w:rPr>
          <w:sz w:val="20"/>
          <w:szCs w:val="20"/>
          <w:color w:val="auto"/>
        </w:rPr>
      </w:pPr>
    </w:p>
    <w:p>
      <w:pPr>
        <w:ind w:right="20" w:firstLine="629"/>
        <w:spacing w:after="0" w:line="261" w:lineRule="auto"/>
        <w:rPr>
          <w:sz w:val="20"/>
          <w:szCs w:val="20"/>
          <w:color w:val="auto"/>
        </w:rPr>
      </w:pPr>
      <w:r>
        <w:rPr>
          <w:rFonts w:ascii="Times New Roman" w:cs="Times New Roman" w:eastAsia="Times New Roman" w:hAnsi="Times New Roman"/>
          <w:sz w:val="17"/>
          <w:szCs w:val="17"/>
          <w:color w:val="auto"/>
        </w:rPr>
        <w:t>Moreover, there is substantial, and sometimes uncoordinated, overlap in those responsible for regulation of existing gene therapy products and cell therapy products. For example, in the United States, the FDA has established the Office of Tissues and Advanced Therapies (OTAT), formerly known as the Office of Cellular, Tissue and Gene Therapies (OCTGT), within its Center for Biologics Evaluation and Research (CBER) to consolidate the review of gene therapy and related products, and the Cellular, Tissue and Gene Therapies Advisory Committee to advise CBER on its review. Gene therapy clinical trials are also subject to review and oversight by an institutional biosafety committee (IBC), a local institutional committee that reviews and oversees basic and clinical research conducted at the institution participating in the clinical trial. Although the FDA decides whether individual gene therapy protocols may proceed, review process and determinations of other reviewing bodies can impede or delay the initiation of a clinical study, even if the FDA has reviewed the study and approved its initiation. Conversely, the FDA can place an IND application on clinical hold even if such other entities have provided a favorable review. Furthermore, each clinical trial must be reviewed and approved by an independent IRB at or servicing each institution at which a clinical trial will be conducted. In addition, adverse developments in clinical trials of gene therapy products conducted by others may cause the FDA or other regulatory bodies to change the requirements for approval of any of our product candidates.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Complex regulatory environments exist in other jurisdictions in which we might consider seeking regulatory approvals for our product candidates, further complicating the regulatory landscape. For example, in the European Union a special committee called the Committee for Advanced Therapies (CAT) was established within the EMA in accordance with Regulation (EC) No 1394/2007 on advanced-therapy medicinal products (ATMPs) to assess the quality, safety and efficacy of ATMPs, and to follow scientific developments in the field. ATMPs include gene therapy products as well as somatic cell therapy products and tissue engineered products. In this regard, on May 28, 2014, the EMA issued a recommendation that UCART19 be considered a gene therapy product under Regulation (EC) No 1394/2007 on ATMPs. We cannot conclude that our product candidates will receive a similar recommendation.</w:t>
      </w:r>
    </w:p>
    <w:p>
      <w:pPr>
        <w:spacing w:after="0" w:line="198"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These various regulatory review committees and advisory groups and new or revised guidelines that they promulgate from time to time may lengthen the regulatory review process, require us to perform additional studies, increase our development costs, lead to changes in regulatory positions and interpretations, delay or prevent approval and commercialization of our product candidates or lead to significant post-approval limitations or restrictions. Because the regulatory landscape for our CAR T cell immunotherapy product candidates is new, we may face even more cumbersome and complex regulations than those emerging for gene therapy products and cell therapy products. Furthermore, even if our product candidates obtain required regulatory approvals, such approvals may later be withdrawn as a result of changes in regulations or the interpretation of regulations by applicable regulatory agencies.</w:t>
      </w:r>
    </w:p>
    <w:p>
      <w:pPr>
        <w:spacing w:after="0" w:line="198" w:lineRule="exact"/>
        <w:rPr>
          <w:sz w:val="20"/>
          <w:szCs w:val="20"/>
          <w:color w:val="auto"/>
        </w:rPr>
      </w:pPr>
    </w:p>
    <w:p>
      <w:pPr>
        <w:ind w:right="20" w:firstLine="629"/>
        <w:spacing w:after="0" w:line="296" w:lineRule="auto"/>
        <w:rPr>
          <w:sz w:val="20"/>
          <w:szCs w:val="20"/>
          <w:color w:val="auto"/>
        </w:rPr>
      </w:pPr>
      <w:r>
        <w:rPr>
          <w:rFonts w:ascii="Times New Roman" w:cs="Times New Roman" w:eastAsia="Times New Roman" w:hAnsi="Times New Roman"/>
          <w:sz w:val="17"/>
          <w:szCs w:val="17"/>
          <w:color w:val="auto"/>
        </w:rPr>
        <w:t>Delay or failure to obtain, or unexpected costs in obtaining, the regulatory approval necessary to bring a potential product to market could decrease our ability to generate sufficient product revenue to maintain our business.</w:t>
      </w:r>
    </w:p>
    <w:p>
      <w:pPr>
        <w:spacing w:after="0" w:line="169"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FDA or comparable foreign regulatory authorities may disagree with our regulatory plan and we may fail to obtain regulatory approval of our CAR T cell product candidates.*</w:t>
      </w:r>
    </w:p>
    <w:p>
      <w:pPr>
        <w:spacing w:after="0" w:line="169" w:lineRule="exact"/>
        <w:rPr>
          <w:sz w:val="20"/>
          <w:szCs w:val="20"/>
          <w:color w:val="auto"/>
        </w:rPr>
      </w:pPr>
    </w:p>
    <w:p>
      <w:pPr>
        <w:ind w:firstLine="629"/>
        <w:spacing w:after="0" w:line="269" w:lineRule="auto"/>
        <w:rPr>
          <w:sz w:val="20"/>
          <w:szCs w:val="20"/>
          <w:color w:val="auto"/>
        </w:rPr>
      </w:pPr>
      <w:r>
        <w:rPr>
          <w:rFonts w:ascii="Times New Roman" w:cs="Times New Roman" w:eastAsia="Times New Roman" w:hAnsi="Times New Roman"/>
          <w:sz w:val="17"/>
          <w:szCs w:val="17"/>
          <w:color w:val="auto"/>
        </w:rPr>
        <w:t>The general approach for FDA or comparable foreign regulatory authorities approval of a new biologic or drug is for the sponsor to provide dispositive data from two well-controlled, Phase 3 clinical studies of the relevant biologic or drug in the relevant patient population. Phase 3 clinical studies typically involve hundreds of patients, have significant costs and take years to complete. We expect ongoing FDA, EMA, or comparable foreign regulatory authorities feedback on our trials, some of which may lead to changes in the trials, which could cause future delays to our trials. In addition, even if we believe the results</w:t>
      </w:r>
    </w:p>
    <w:p>
      <w:pPr>
        <w:spacing w:after="0" w:line="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are sufficiently compelling, such as for the ALPHA2 (CLL) and ALPHA3 trials, the FDA, EMA, or comparable foreign regulatory authorities could ultimately require longer-term follow-up results, additional data from our clinical trials or additional trials that could delay or prevent our first BLA submission. The FDA, EMA, or comparable foreign regulatory authorities may require that we conduct a comparative trial against an approved therapy including potentially an approved autologous T cell therapy, which would significantly delay our development timelines and require substantially more resources. In addition, the FDA, EMA, or comparable foreign regulatory authorities may only allow us to evaluate patients that have failed or who are ineligible for autologous therapy, which are extremely difficult patients to treat and patients with advanced and aggressive cancer, and our product candidates may fail to improve outcomes for such patients.</w:t>
      </w:r>
    </w:p>
    <w:p>
      <w:pPr>
        <w:spacing w:after="0" w:line="200" w:lineRule="exact"/>
        <w:rPr>
          <w:sz w:val="20"/>
          <w:szCs w:val="20"/>
          <w:color w:val="auto"/>
        </w:rPr>
      </w:pPr>
    </w:p>
    <w:p>
      <w:pPr>
        <w:spacing w:after="0" w:line="213"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If the FDA or European Commission grant accelerated approval for our product candidates, as a condition for accelerated approval, the FDA or the European Commission may require us to perform post-marketing studies to verify and describe the predicted effect on irreversible morbidity or mortality or other clinical endpoint, and the drug or biologic may be subject to withdrawal procedures by the FDA that are more accelerated than those available for regular approvals. The FDA or European Commission may ultimately refuse to grant accelerated approval for our product candidates and require a Phase 3 clinical trial prior to approval, particularly since our product candidates represent a novel treatment. In addition, the standard of care may change with the approval of new products in the same indications that we are studying. This may result in the FDA, the European Commission, or other regulatory agencies requesting additional studies to show that our product candidate is superior to the new products.</w:t>
      </w:r>
    </w:p>
    <w:p>
      <w:pPr>
        <w:spacing w:after="0" w:line="203" w:lineRule="exact"/>
        <w:rPr>
          <w:sz w:val="20"/>
          <w:szCs w:val="20"/>
          <w:color w:val="auto"/>
        </w:rPr>
      </w:pPr>
    </w:p>
    <w:p>
      <w:pPr>
        <w:ind w:right="280" w:firstLine="629"/>
        <w:spacing w:after="0" w:line="268" w:lineRule="auto"/>
        <w:rPr>
          <w:sz w:val="20"/>
          <w:szCs w:val="20"/>
          <w:color w:val="auto"/>
        </w:rPr>
      </w:pPr>
      <w:r>
        <w:rPr>
          <w:rFonts w:ascii="Times New Roman" w:cs="Times New Roman" w:eastAsia="Times New Roman" w:hAnsi="Times New Roman"/>
          <w:sz w:val="17"/>
          <w:szCs w:val="17"/>
          <w:color w:val="auto"/>
        </w:rPr>
        <w:t>Our clinical trial results may also not support approval. In addition, our product candidates could be delayed in receiving approval or fail to receive regulatory approval for many reasons, including the following:</w:t>
      </w:r>
    </w:p>
    <w:p>
      <w:pPr>
        <w:spacing w:after="0" w:line="8" w:lineRule="exact"/>
        <w:rPr>
          <w:sz w:val="20"/>
          <w:szCs w:val="20"/>
          <w:color w:val="auto"/>
        </w:rPr>
      </w:pPr>
    </w:p>
    <w:p>
      <w:pPr>
        <w:ind w:left="620" w:hanging="301"/>
        <w:spacing w:after="0"/>
        <w:tabs>
          <w:tab w:leader="none" w:pos="620" w:val="left"/>
        </w:tabs>
        <w:numPr>
          <w:ilvl w:val="0"/>
          <w:numId w:val="40"/>
        </w:numPr>
        <w:rPr>
          <w:rFonts w:ascii="Arial" w:cs="Arial" w:eastAsia="Arial" w:hAnsi="Arial"/>
          <w:sz w:val="21"/>
          <w:szCs w:val="21"/>
          <w:color w:val="auto"/>
        </w:rPr>
      </w:pPr>
      <w:r>
        <w:rPr>
          <w:rFonts w:ascii="Times New Roman" w:cs="Times New Roman" w:eastAsia="Times New Roman" w:hAnsi="Times New Roman"/>
          <w:sz w:val="17"/>
          <w:szCs w:val="17"/>
          <w:color w:val="auto"/>
        </w:rPr>
        <w:t>the inability to resolve any future clinical hold;</w:t>
      </w:r>
    </w:p>
    <w:p>
      <w:pPr>
        <w:spacing w:after="0" w:line="13"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0"/>
        </w:numPr>
        <w:rPr>
          <w:rFonts w:ascii="Arial" w:cs="Arial" w:eastAsia="Arial" w:hAnsi="Arial"/>
          <w:sz w:val="21"/>
          <w:szCs w:val="21"/>
          <w:color w:val="auto"/>
        </w:rPr>
      </w:pPr>
      <w:r>
        <w:rPr>
          <w:rFonts w:ascii="Times New Roman" w:cs="Times New Roman" w:eastAsia="Times New Roman" w:hAnsi="Times New Roman"/>
          <w:sz w:val="17"/>
          <w:szCs w:val="17"/>
          <w:color w:val="auto"/>
        </w:rPr>
        <w:t>the FDA, EMA, or comparable foreign regulatory authorities may disagree with the design or implementation of our clinical trials;</w:t>
      </w:r>
    </w:p>
    <w:p>
      <w:pPr>
        <w:spacing w:after="0" w:line="34" w:lineRule="exact"/>
        <w:rPr>
          <w:rFonts w:ascii="Arial" w:cs="Arial" w:eastAsia="Arial" w:hAnsi="Arial"/>
          <w:sz w:val="21"/>
          <w:szCs w:val="21"/>
          <w:color w:val="auto"/>
        </w:rPr>
      </w:pPr>
    </w:p>
    <w:p>
      <w:pPr>
        <w:ind w:left="640" w:right="260" w:hanging="321"/>
        <w:spacing w:after="0"/>
        <w:tabs>
          <w:tab w:leader="none" w:pos="635" w:val="left"/>
        </w:tabs>
        <w:numPr>
          <w:ilvl w:val="0"/>
          <w:numId w:val="40"/>
        </w:numPr>
        <w:rPr>
          <w:rFonts w:ascii="Arial" w:cs="Arial" w:eastAsia="Arial" w:hAnsi="Arial"/>
          <w:sz w:val="21"/>
          <w:szCs w:val="21"/>
          <w:color w:val="auto"/>
        </w:rPr>
      </w:pPr>
      <w:r>
        <w:rPr>
          <w:rFonts w:ascii="Times New Roman" w:cs="Times New Roman" w:eastAsia="Times New Roman" w:hAnsi="Times New Roman"/>
          <w:sz w:val="17"/>
          <w:szCs w:val="17"/>
          <w:color w:val="auto"/>
        </w:rPr>
        <w:t>we may be unable to demonstrate to the satisfaction of the FDA, EMA, or comparable foreign regulatory authorities that our product candidates are safe and effective for any of their proposed indications;</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left="640" w:right="200" w:hanging="321"/>
        <w:spacing w:after="0"/>
        <w:tabs>
          <w:tab w:leader="none" w:pos="635"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7"/>
          <w:szCs w:val="17"/>
          <w:color w:val="auto"/>
        </w:rPr>
        <w:t>the results of clinical trials may not meet the level of statistical significance required by the FDA, EMA, or comparable foreign regulatory authorities for approval, including due to the heterogeneity of patient populations;</w:t>
      </w:r>
    </w:p>
    <w:p>
      <w:pPr>
        <w:spacing w:after="0" w:line="7" w:lineRule="exact"/>
        <w:rPr>
          <w:rFonts w:ascii="Arial" w:cs="Arial" w:eastAsia="Arial" w:hAnsi="Arial"/>
          <w:sz w:val="21"/>
          <w:szCs w:val="21"/>
          <w:color w:val="auto"/>
        </w:rPr>
      </w:pPr>
    </w:p>
    <w:p>
      <w:pPr>
        <w:ind w:left="620" w:hanging="301"/>
        <w:spacing w:after="0"/>
        <w:tabs>
          <w:tab w:leader="none" w:pos="620"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7"/>
          <w:szCs w:val="17"/>
          <w:color w:val="auto"/>
        </w:rPr>
        <w:t>we may be unable to demonstrate that our product candidates’ clinical and other benefits outweigh their safety risks;</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7"/>
          <w:szCs w:val="17"/>
          <w:color w:val="auto"/>
        </w:rPr>
        <w:t>the FDA, EMA, or comparable foreign regulatory authorities may disagree with our interpretation of data from preclinical studies or clinical trials;</w:t>
      </w:r>
    </w:p>
    <w:p>
      <w:pPr>
        <w:spacing w:after="0" w:line="34" w:lineRule="exact"/>
        <w:rPr>
          <w:rFonts w:ascii="Arial" w:cs="Arial" w:eastAsia="Arial" w:hAnsi="Arial"/>
          <w:sz w:val="21"/>
          <w:szCs w:val="21"/>
          <w:color w:val="auto"/>
        </w:rPr>
      </w:pPr>
    </w:p>
    <w:p>
      <w:pPr>
        <w:ind w:left="640" w:right="220" w:hanging="321"/>
        <w:spacing w:after="0" w:line="245" w:lineRule="auto"/>
        <w:tabs>
          <w:tab w:leader="none" w:pos="635"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7"/>
          <w:szCs w:val="17"/>
          <w:color w:val="auto"/>
        </w:rPr>
        <w:t>the data collected from clinical trials of our product candidates may not be sufficient to the satisfaction of the FDA, EMA, or comparable foreign regulatory authorities to support the submission of a BLA or other comparable submission in foreign jurisdictions or to obtain regulatory approval in the United States or elsewhere;</w:t>
      </w:r>
    </w:p>
    <w:p>
      <w:pPr>
        <w:spacing w:after="0" w:line="22" w:lineRule="exact"/>
        <w:rPr>
          <w:rFonts w:ascii="Arial" w:cs="Arial" w:eastAsia="Arial" w:hAnsi="Arial"/>
          <w:sz w:val="21"/>
          <w:szCs w:val="21"/>
          <w:color w:val="auto"/>
        </w:rPr>
      </w:pPr>
    </w:p>
    <w:p>
      <w:pPr>
        <w:ind w:left="640" w:right="400" w:hanging="321"/>
        <w:spacing w:after="0"/>
        <w:tabs>
          <w:tab w:leader="none" w:pos="635"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7"/>
          <w:szCs w:val="17"/>
          <w:color w:val="auto"/>
        </w:rPr>
        <w:t>the FDA, EMA, or comparable foreign regulatory authorities will review extensive CMC data, our manufacturing process and inspect the relevant commercial manufacturing facility and may not approve our manufacturing process or facility;</w:t>
      </w:r>
    </w:p>
    <w:p>
      <w:pPr>
        <w:spacing w:after="0" w:line="21" w:lineRule="exact"/>
        <w:rPr>
          <w:rFonts w:ascii="Arial" w:cs="Arial" w:eastAsia="Arial" w:hAnsi="Arial"/>
          <w:sz w:val="21"/>
          <w:szCs w:val="21"/>
          <w:color w:val="auto"/>
        </w:rPr>
      </w:pPr>
    </w:p>
    <w:p>
      <w:pPr>
        <w:ind w:left="640" w:right="160" w:hanging="321"/>
        <w:spacing w:after="0"/>
        <w:tabs>
          <w:tab w:leader="none" w:pos="635"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7"/>
          <w:szCs w:val="17"/>
          <w:color w:val="auto"/>
        </w:rPr>
        <w:t>the approval policies or regulations of the FDA, EU, or comparable foreign regulatory authorities may significantly change in a manner rendering our clinical data insufficient for approval; and</w:t>
      </w:r>
    </w:p>
    <w:p>
      <w:pPr>
        <w:ind w:left="620" w:hanging="301"/>
        <w:spacing w:after="0"/>
        <w:tabs>
          <w:tab w:leader="none" w:pos="6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agree on any required pediatric investigation plan with regulatory authorities prior to any BLA filing.</w:t>
      </w:r>
    </w:p>
    <w:p>
      <w:pPr>
        <w:spacing w:after="0" w:line="228" w:lineRule="exact"/>
        <w:rPr>
          <w:sz w:val="20"/>
          <w:szCs w:val="20"/>
          <w:color w:val="auto"/>
        </w:rPr>
      </w:pPr>
    </w:p>
    <w:p>
      <w:pPr>
        <w:ind w:right="2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obtain regulatory approval for ALLO-647 in a timely manner or at all, which could delay any approval or commercialization of our allogeneic T cell product candidates.*</w:t>
      </w:r>
    </w:p>
    <w:p>
      <w:pPr>
        <w:spacing w:after="0" w:line="169" w:lineRule="exact"/>
        <w:rPr>
          <w:sz w:val="20"/>
          <w:szCs w:val="20"/>
          <w:color w:val="auto"/>
        </w:rPr>
      </w:pPr>
    </w:p>
    <w:p>
      <w:pPr>
        <w:ind w:right="100" w:firstLine="629"/>
        <w:spacing w:after="0" w:line="267" w:lineRule="auto"/>
        <w:rPr>
          <w:sz w:val="20"/>
          <w:szCs w:val="20"/>
          <w:color w:val="auto"/>
        </w:rPr>
      </w:pPr>
      <w:r>
        <w:rPr>
          <w:rFonts w:ascii="Times New Roman" w:cs="Times New Roman" w:eastAsia="Times New Roman" w:hAnsi="Times New Roman"/>
          <w:sz w:val="17"/>
          <w:szCs w:val="17"/>
          <w:color w:val="auto"/>
        </w:rPr>
        <w:t>As we are concurrently developing ALLO-647 to be used as part of the lymphodepletion regimen for certain of our allogeneic CAR T cell product candidates, mapping a co-development path for dual approval of ALLO-647 and any of our CAR T cell product candidates and coordinating concurrent review with different divisions of competent regulatory authorities. As an example, the divisions of the FDA create additional regulatory uncertainty for us and may delay the development of our product candidates. We expect the Center for Drug Evaluation and Research division of the FDA to exercise authority over the regulatory approval of ALLO-647 while the CBER division will oversee the regulatory approval of our allogeneic CAR T cell product candidates.</w:t>
      </w:r>
    </w:p>
    <w:p>
      <w:pPr>
        <w:spacing w:after="0" w:line="196" w:lineRule="exact"/>
        <w:rPr>
          <w:sz w:val="20"/>
          <w:szCs w:val="20"/>
          <w:color w:val="auto"/>
        </w:rPr>
      </w:pPr>
    </w:p>
    <w:p>
      <w:pPr>
        <w:ind w:firstLine="629"/>
        <w:spacing w:after="0" w:line="266" w:lineRule="auto"/>
        <w:rPr>
          <w:sz w:val="20"/>
          <w:szCs w:val="20"/>
          <w:color w:val="auto"/>
        </w:rPr>
      </w:pPr>
      <w:r>
        <w:rPr>
          <w:rFonts w:ascii="Times New Roman" w:cs="Times New Roman" w:eastAsia="Times New Roman" w:hAnsi="Times New Roman"/>
          <w:sz w:val="17"/>
          <w:szCs w:val="17"/>
          <w:color w:val="auto"/>
        </w:rPr>
        <w:t>In addition, the FDA is requiring us to demonstrate the overall contribution of ALLO-647 to the benefit to risk ratio of the lymphodepletion regimen for cema-cel. We plan to assess ALLO-647 through part one of the ALPHA3 trial. Some clinical trial sites may elect not to participate, and we cannot be certain when or whether we will be able to successfully enroll the ALPHA3 trial in a timely manner or that the outcome of this study will support FDA approval of both cema-cel and ALLO-647. Any delays to ALLO-647 approval could delay any approval or commercialization of our allogeneic CAR T cell product candidates. We anticipate that the EMA, or comparable foreign regulatory authorities will impose equivalent obligations as part of the marketing authorization process in their territory.</w:t>
      </w:r>
    </w:p>
    <w:p>
      <w:pPr>
        <w:spacing w:after="0" w:line="200" w:lineRule="exact"/>
        <w:rPr>
          <w:sz w:val="20"/>
          <w:szCs w:val="20"/>
          <w:color w:val="auto"/>
        </w:rPr>
      </w:pPr>
    </w:p>
    <w:p>
      <w:pPr>
        <w:spacing w:after="0" w:line="206" w:lineRule="exact"/>
        <w:rPr>
          <w:sz w:val="20"/>
          <w:szCs w:val="20"/>
          <w:color w:val="auto"/>
        </w:rPr>
      </w:pPr>
    </w:p>
    <w:p>
      <w:pPr>
        <w:jc w:val="both"/>
        <w:ind w:right="240"/>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If we, or our collaborators, are required by the FDA, or comparable foreign regulatory authorities, to obtain approval (or clearance, or certification) of a companion diagnostic device in connection with approval of one of our product candidates, and we, or our collaborators, do not obtain, or face delays in obtaining, approval (or clearance, or certification) of a companion diagnostic device, we will not be able to commercialize the product candidate, and our ability to generate revenue will be materially impaired.*</w:t>
      </w:r>
    </w:p>
    <w:p>
      <w:pPr>
        <w:spacing w:after="0" w:line="192" w:lineRule="exact"/>
        <w:rPr>
          <w:sz w:val="20"/>
          <w:szCs w:val="20"/>
          <w:color w:val="auto"/>
        </w:rPr>
      </w:pPr>
    </w:p>
    <w:p>
      <w:pPr>
        <w:ind w:right="80" w:firstLine="629"/>
        <w:spacing w:after="0" w:line="265" w:lineRule="auto"/>
        <w:rPr>
          <w:sz w:val="20"/>
          <w:szCs w:val="20"/>
          <w:color w:val="auto"/>
        </w:rPr>
      </w:pPr>
      <w:r>
        <w:rPr>
          <w:rFonts w:ascii="Times New Roman" w:cs="Times New Roman" w:eastAsia="Times New Roman" w:hAnsi="Times New Roman"/>
          <w:sz w:val="17"/>
          <w:szCs w:val="17"/>
          <w:color w:val="auto"/>
        </w:rPr>
        <w:t>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are collaborating with Foresight Diagnostics as part of our clinical trial enrollment process for ALPHA3 to identify patients with MRD that we believe may be most likely to benefit from treatment with cema-cel. The process of validating such diagnostic can be time consuming and costly.</w:t>
      </w:r>
    </w:p>
    <w:p>
      <w:pPr>
        <w:spacing w:after="0" w:line="198"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Companion diagnostics are developed in conjunction with clinical programs for the associated product and are subject to regulation as medical devices by the FDA and comparable foreign regulatory authorities, and, to date, the FDA has generally required premarket approval of companion diagnostics for cancer therapies. Generally, when a companion diagnostic is essential to the safe and effective use of a therapeutic product, the FDA requires that the companion diagnostic be approved concurrent with approval of the therapeutic product and before a product can be commercialized. In the EEA, companion diagnostics are deemed to be in vitro diagnostic medical devices (IVDs) and are governed by Regulation 2017/746 (IVDR).</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IVDs, including companion diagnostics, must conform with the general safety and performance requirements (GSPR) of the IVDR by December 2028.</w:t>
      </w:r>
    </w:p>
    <w:p>
      <w:pPr>
        <w:spacing w:after="0" w:line="250" w:lineRule="exact"/>
        <w:rPr>
          <w:sz w:val="20"/>
          <w:szCs w:val="20"/>
          <w:color w:val="auto"/>
        </w:rPr>
      </w:pPr>
    </w:p>
    <w:p>
      <w:pPr>
        <w:ind w:right="140" w:firstLine="629"/>
        <w:spacing w:after="0" w:line="263" w:lineRule="auto"/>
        <w:rPr>
          <w:sz w:val="20"/>
          <w:szCs w:val="20"/>
          <w:color w:val="auto"/>
        </w:rPr>
      </w:pPr>
      <w:r>
        <w:rPr>
          <w:rFonts w:ascii="Times New Roman" w:cs="Times New Roman" w:eastAsia="Times New Roman" w:hAnsi="Times New Roman"/>
          <w:sz w:val="17"/>
          <w:szCs w:val="17"/>
          <w:color w:val="auto"/>
        </w:rPr>
        <w:t>If the FDA, or a comparable foreign regulatory authority, requires approval (or certification or clearance) of a companion diagnostic for any of our product candidates, whether before or after the product candidate obtains marketing approval, we and/or third-party collaborators may encounter difficulties in developing and obtaining approval (or clearance, or certification) for these companion diagnostics. Any delay or failure by us or third-party collaborators to develop or obtain regulatory approval (or clearance, or certification) of a companion diagnostic could delay or prevent approval or continued marketing of our related product candidates. We, or our collaborators, may also experience delays in developing a sustainable, reproducible, and scalable manufacturing process for the companion diagnostic or in transferring that process to commercial partners or negotiating insurance reimbursement plans, all of which may prevent us from completing our clinical trials or commercializing our product candidates, if approved, on a timely or profitable basis, if at all.</w:t>
      </w:r>
    </w:p>
    <w:p>
      <w:pPr>
        <w:spacing w:after="0" w:line="200" w:lineRule="exact"/>
        <w:rPr>
          <w:sz w:val="20"/>
          <w:szCs w:val="20"/>
          <w:color w:val="auto"/>
        </w:rPr>
      </w:pPr>
    </w:p>
    <w:p>
      <w:pPr>
        <w:ind w:right="60" w:firstLine="629"/>
        <w:spacing w:after="0" w:line="234" w:lineRule="auto"/>
        <w:rPr>
          <w:sz w:val="20"/>
          <w:szCs w:val="20"/>
          <w:color w:val="auto"/>
        </w:rPr>
      </w:pPr>
      <w:r>
        <w:rPr>
          <w:rFonts w:ascii="Times New Roman" w:cs="Times New Roman" w:eastAsia="Times New Roman" w:hAnsi="Times New Roman"/>
          <w:sz w:val="17"/>
          <w:szCs w:val="17"/>
          <w:color w:val="auto"/>
        </w:rPr>
        <w:t>Our ALPHA3 trial design requires the use of Foresight Diagnostics’ PhasED-Seq</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Circulating Tumor DNA Platform as a companion diagnostic for cema-cel. Although the Foresight CLARITY</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Investigational Use Only (IUO) MRD test, powered by PhasED-Seq, has received IDE approval from the FDA allowing PhasEd-Seq to be used as part of the ALPHA3 trial, there can be no assurance that Foresight Diagnostic will be able to obtain the necessary regulatory approvals to support ALPHA3 clinical trial sites outside the US, or that we would be able to manage logistical challenges associated with timely international shipment of patient samples to Foresight’s US facility for testing, all of which could delay the expansion of our ALPHA3 trial to trial sites outside the US.</w:t>
      </w:r>
    </w:p>
    <w:p>
      <w:pPr>
        <w:spacing w:after="0" w:line="222" w:lineRule="exact"/>
        <w:rPr>
          <w:sz w:val="20"/>
          <w:szCs w:val="20"/>
          <w:color w:val="auto"/>
        </w:rPr>
      </w:pPr>
    </w:p>
    <w:p>
      <w:pPr>
        <w:ind w:right="40" w:firstLine="629"/>
        <w:spacing w:after="0" w:line="276" w:lineRule="auto"/>
        <w:rPr>
          <w:sz w:val="20"/>
          <w:szCs w:val="20"/>
          <w:color w:val="auto"/>
        </w:rPr>
      </w:pPr>
      <w:r>
        <w:rPr>
          <w:rFonts w:ascii="Times New Roman" w:cs="Times New Roman" w:eastAsia="Times New Roman" w:hAnsi="Times New Roman"/>
          <w:sz w:val="17"/>
          <w:szCs w:val="17"/>
          <w:color w:val="auto"/>
        </w:rPr>
        <w:t>Furthermore, in order to commercialize cema-cel based on the outcome of our ALPHA3 trial, the Foresight Diagnostics’ MRD assay must be approved by regulatory agencies, and in some jurisdictions approved as a companion diagnostic test. A delay or failure by Foresight Diagnostics to obtain regulatory approval may delay the commercialization of cema-cel, if approved based on the outcome of our ALPHA3 trial.</w:t>
      </w:r>
    </w:p>
    <w:p>
      <w:pPr>
        <w:spacing w:after="0" w:line="186" w:lineRule="exact"/>
        <w:rPr>
          <w:sz w:val="20"/>
          <w:szCs w:val="20"/>
          <w:color w:val="auto"/>
        </w:rPr>
      </w:pPr>
    </w:p>
    <w:p>
      <w:pPr>
        <w:ind w:right="3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Regenerative Medicine Advanced Therapy designation and fast track designation may not lead to a faster development or regulatory review or approval process and it does not increase the likelihood that our product candidates will receive marketing approval.*</w:t>
      </w:r>
    </w:p>
    <w:p>
      <w:pPr>
        <w:spacing w:after="0" w:line="169" w:lineRule="exact"/>
        <w:rPr>
          <w:sz w:val="20"/>
          <w:szCs w:val="20"/>
          <w:color w:val="auto"/>
        </w:rPr>
      </w:pPr>
    </w:p>
    <w:p>
      <w:pPr>
        <w:ind w:right="80" w:firstLine="629"/>
        <w:spacing w:after="0" w:line="267" w:lineRule="auto"/>
        <w:rPr>
          <w:sz w:val="20"/>
          <w:szCs w:val="20"/>
          <w:color w:val="auto"/>
        </w:rPr>
      </w:pPr>
      <w:r>
        <w:rPr>
          <w:rFonts w:ascii="Times New Roman" w:cs="Times New Roman" w:eastAsia="Times New Roman" w:hAnsi="Times New Roman"/>
          <w:sz w:val="17"/>
          <w:szCs w:val="17"/>
          <w:color w:val="auto"/>
        </w:rPr>
        <w:t>We have received Regenerative Medicine Advanced Therapy (RMAT) designation for ALLO-316, ALLO-715 and cema-cel and fast track designation for ALLO-605 and ALLO-316. There is no assurance that we will be able to obtain RMAT designation or fast track designation for any of our additional product candidates. RMAT designation and fast track designation do not change the FDA’s standards for product approval, and there is no assurance that such designation will result in expedited review or approval or that the approved indication will not be narrower than the indication covered by the designation. Additionally, RMAT designation and fast track designation can be revoked if the criteria for eligibility cease to be met as clinical data emerges.</w:t>
      </w:r>
    </w:p>
    <w:p>
      <w:pPr>
        <w:spacing w:after="0" w:line="192"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We plan to seek orphan drug designation for some or all of our product candidates across various indications, but we may be unable to obtain such designations or to maintain the benefits associated with orphan drug designation, including market exclusivity, which may cause our revenue, if any, to be reduced.</w:t>
      </w:r>
    </w:p>
    <w:p>
      <w:pPr>
        <w:spacing w:after="0" w:line="187" w:lineRule="exact"/>
        <w:rPr>
          <w:sz w:val="20"/>
          <w:szCs w:val="20"/>
          <w:color w:val="auto"/>
        </w:rPr>
      </w:pPr>
    </w:p>
    <w:p>
      <w:pPr>
        <w:ind w:right="60" w:firstLine="629"/>
        <w:spacing w:after="0" w:line="263" w:lineRule="auto"/>
        <w:rPr>
          <w:sz w:val="20"/>
          <w:szCs w:val="20"/>
          <w:color w:val="auto"/>
        </w:rPr>
      </w:pPr>
      <w:r>
        <w:rPr>
          <w:rFonts w:ascii="Times New Roman" w:cs="Times New Roman" w:eastAsia="Times New Roman" w:hAnsi="Times New Roman"/>
          <w:sz w:val="17"/>
          <w:szCs w:val="17"/>
          <w:color w:val="auto"/>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In order to obtain orphan drug designation, the request must be made before submitting a BLA.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p>
    <w:p>
      <w:pPr>
        <w:spacing w:after="0" w:line="203"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If a product that has orphan drug designation subsequently receives the first FDA approval of that particular product for the disease for which it has such designation, the product is entitled to orphan product exclusivity, which means that the FDA may not approve any other applications, including a BLA, to market the same biologic (meaning, a product with the same principal molecular structural features) for the same indication for seven years, except in limited circumstances such as a showing of clinical superiority to the product with orphan drug exclusivity or if FDA finds that the holder of the orphan drug exclusivity has not shown that it can assure the availability of sufficient quantities of the orphan drug to meet the needs of</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patients with the disease or condition for which the drug was designated. As a result, even if one of our product candidates receives orphan exclusivity, the FDA can still approve other biologics that do not have the same principal molecular structural features for use in treating the same indication or disease or the same biologic for a different indication or disease during the exclusivity period. Furthermore, the FDA can waive orphan exclusivity if we are unable to manufacture sufficient supply of our product or if a subsequent applicant demonstrates clinical superiority over our product.</w:t>
      </w:r>
    </w:p>
    <w:p>
      <w:pPr>
        <w:spacing w:after="0" w:line="194" w:lineRule="exact"/>
        <w:rPr>
          <w:sz w:val="20"/>
          <w:szCs w:val="20"/>
          <w:color w:val="auto"/>
        </w:rPr>
      </w:pPr>
    </w:p>
    <w:p>
      <w:pPr>
        <w:ind w:right="140" w:firstLine="629"/>
        <w:spacing w:after="0" w:line="264" w:lineRule="auto"/>
        <w:rPr>
          <w:sz w:val="20"/>
          <w:szCs w:val="20"/>
          <w:color w:val="auto"/>
        </w:rPr>
      </w:pPr>
      <w:r>
        <w:rPr>
          <w:rFonts w:ascii="Times New Roman" w:cs="Times New Roman" w:eastAsia="Times New Roman" w:hAnsi="Times New Roman"/>
          <w:sz w:val="17"/>
          <w:szCs w:val="17"/>
          <w:color w:val="auto"/>
        </w:rPr>
        <w:t>The FDA granted orphan drug designation to ALLO-605 and ALLO-715 for the treatment of multiple myeloma. We plan to seek orphan drug designation for additional product candidates in specific orphan indications in which there is a medically plausible basis for the use of these products, but may never receive such designations. Some of our product candidates target indications that are not orphan indications. In addition, even with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are unable to assure sufficient quantities of the product to meet the needs of patients with the rare disease or condition, or if a subsequent applicant demonstrates clinical superiority over our products, if approved.</w:t>
      </w:r>
    </w:p>
    <w:p>
      <w:pPr>
        <w:spacing w:after="0" w:line="200" w:lineRule="exact"/>
        <w:rPr>
          <w:sz w:val="20"/>
          <w:szCs w:val="20"/>
          <w:color w:val="auto"/>
        </w:rPr>
      </w:pPr>
    </w:p>
    <w:p>
      <w:pPr>
        <w:spacing w:after="0" w:line="209" w:lineRule="exact"/>
        <w:rPr>
          <w:sz w:val="20"/>
          <w:szCs w:val="20"/>
          <w:color w:val="auto"/>
        </w:rPr>
      </w:pPr>
    </w:p>
    <w:p>
      <w:pPr>
        <w:ind w:right="2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Negative public opinion and increased regulatory scrutiny of genetic research and therapies involving gene editing may damage public perception of our product candidates or adversely affect our ability to conduct our business or obtain regulatory approvals for our product candidates.*</w:t>
      </w:r>
    </w:p>
    <w:p>
      <w:pPr>
        <w:spacing w:after="0" w:line="169"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The gene-editing technologies that we use are novel. Public perception may be influenced by claims that gene editing is unsafe, and products incorporating gene editing may not gain the acceptance of the public or the medical community. Given the previous clinical hold involved a chromosomal abnormality, our manufacturing or gene editing may be further scrutinized or may be viewed as unsafe, even though our investigation found that the abnormality was not related to our manufacturing or gene editing. In particular, our success will depend upon physicians specializing in our targeted diseases prescribing our product candidates as treatments in lieu of, or in addition to, existing, more familiar, treatments for which greater clinical data may be available. Any increase in negative perceptions of gene editing may result in fewer physicians prescribing our treatments or may reduce the willingness of patients to utilize our treatments or participate in clinical trials for our product candidates.</w:t>
      </w:r>
    </w:p>
    <w:p>
      <w:pPr>
        <w:spacing w:after="0" w:line="203" w:lineRule="exact"/>
        <w:rPr>
          <w:sz w:val="20"/>
          <w:szCs w:val="20"/>
          <w:color w:val="auto"/>
        </w:rPr>
      </w:pPr>
    </w:p>
    <w:p>
      <w:pPr>
        <w:ind w:right="40" w:firstLine="629"/>
        <w:spacing w:after="0" w:line="267" w:lineRule="auto"/>
        <w:rPr>
          <w:sz w:val="20"/>
          <w:szCs w:val="20"/>
          <w:color w:val="auto"/>
        </w:rPr>
      </w:pPr>
      <w:r>
        <w:rPr>
          <w:rFonts w:ascii="Times New Roman" w:cs="Times New Roman" w:eastAsia="Times New Roman" w:hAnsi="Times New Roman"/>
          <w:sz w:val="17"/>
          <w:szCs w:val="17"/>
          <w:color w:val="auto"/>
        </w:rPr>
        <w:t>In addition, given the novel nature of gene-editing and cell therapy technologies, governments may place import, export or other restrictions in order to retain control or limit the use of the technologies. For instance, any limits on exporting certain of our technology to China may adversely affect Overland Therapeutics, a joint venture between us and HBP. Increased negative public opinion or more restrictive government regulations either in the United States or internationally, would have a negative effect on our business or financial condition and may delay or impair the development and commercialization of our product candidates or demand for such product candidates.</w:t>
      </w:r>
    </w:p>
    <w:p>
      <w:pPr>
        <w:spacing w:after="0" w:line="192"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expect the product candidates we develop will be regulated as biological products, or biologics, and therefore they may be subject to competition sooner than anticipated.*</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Biologics Price Competition and Innovation Act of 2009 (BPCIA) was enacted as part of the Patient Protection and Affordable Care Act, as</w:t>
      </w:r>
    </w:p>
    <w:p>
      <w:pPr>
        <w:spacing w:after="0" w:line="5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amended by the Health Care and Education Reconciliation Act of 2010 (collectively,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The law is complex and is still being interpreted and implemented by the FDA. As a result, its ultimate impact, implementation, and meaning are subject to uncertainty and could have a material adverse effect on the future commercial prospects for our biological products.</w:t>
      </w:r>
    </w:p>
    <w:p>
      <w:pPr>
        <w:spacing w:after="0" w:line="198" w:lineRule="exact"/>
        <w:rPr>
          <w:sz w:val="20"/>
          <w:szCs w:val="20"/>
          <w:color w:val="auto"/>
        </w:rPr>
      </w:pPr>
    </w:p>
    <w:p>
      <w:pPr>
        <w:ind w:right="80" w:firstLine="629"/>
        <w:spacing w:after="0" w:line="265" w:lineRule="auto"/>
        <w:rPr>
          <w:sz w:val="20"/>
          <w:szCs w:val="20"/>
          <w:color w:val="auto"/>
        </w:rPr>
      </w:pPr>
      <w:r>
        <w:rPr>
          <w:rFonts w:ascii="Times New Roman" w:cs="Times New Roman" w:eastAsia="Times New Roman" w:hAnsi="Times New Roman"/>
          <w:sz w:val="17"/>
          <w:szCs w:val="17"/>
          <w:color w:val="auto"/>
        </w:rPr>
        <w:t>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80" w:firstLine="629"/>
        <w:spacing w:after="0" w:line="269" w:lineRule="auto"/>
        <w:rPr>
          <w:sz w:val="20"/>
          <w:szCs w:val="20"/>
          <w:color w:val="auto"/>
        </w:rPr>
      </w:pPr>
      <w:r>
        <w:rPr>
          <w:rFonts w:ascii="Times New Roman" w:cs="Times New Roman" w:eastAsia="Times New Roman" w:hAnsi="Times New Roman"/>
          <w:sz w:val="17"/>
          <w:szCs w:val="17"/>
          <w:color w:val="auto"/>
        </w:rPr>
        <w:t>The European Union provides opportunities for data and market exclusivity for innovative medicinal products in relation to which marketing authorization is granted. Upon grant of marketing authorization, innovative medicinal products are generally entitled to benefit from eight years of data exclusivity and 10 years of market exclusivity. Data exclusivity, if granted, prevents regulatory authorities in the European Union from referencing the innovator’s data to assess an application for marketing authorization for a generic or a biosimilar for eight years from the date of authorization of the innovative</w:t>
      </w:r>
    </w:p>
    <w:p>
      <w:pPr>
        <w:spacing w:after="0" w:line="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product, after which an application may be made for authorization of a generic or biosimilar, and the innovator’s data may be referenced. The market exclusivity period prevents a successful generic or biosimilar applicant from commercializing its product in the European Union until 10 years have elapsed from the initial marketing authorization of the reference product in the EU. The overall ten-year period may, occasionally, be extended for a further year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spacing w:after="0" w:line="199" w:lineRule="exact"/>
        <w:rPr>
          <w:sz w:val="20"/>
          <w:szCs w:val="20"/>
          <w:color w:val="auto"/>
        </w:rPr>
      </w:pPr>
    </w:p>
    <w:p>
      <w:pPr>
        <w:ind w:right="52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use of engineered T cells as a potential cancer treatment is a recent development and may not become broadly accepted by physicians, patients,</w:t>
      </w:r>
    </w:p>
    <w:p>
      <w:pPr>
        <w:spacing w:after="0" w:line="5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7"/>
          <w:szCs w:val="17"/>
          <w:color w:val="auto"/>
        </w:rPr>
        <w:t>hospitals, cancer treatment centers and others in the medical community. We expect physicians in the large bone marrow transplant centers to be particularly important to the market acceptance of our products and we may not be able to educate them on the benefits of using our product candidates for many reasons. For example, certain of the product candidates that we will be developing target a cell surface marker that may be present on cancer cells as well as non-cancerous cells. It is possible that our product candidates may kill these non-cancerous cells, which may result in unacceptable side effects, including death. Additional factors will influence whether our product candidates are accepted in the market, including:</w:t>
      </w:r>
    </w:p>
    <w:p>
      <w:pPr>
        <w:spacing w:after="0" w:line="10" w:lineRule="exact"/>
        <w:rPr>
          <w:sz w:val="20"/>
          <w:szCs w:val="20"/>
          <w:color w:val="auto"/>
        </w:rPr>
      </w:pPr>
    </w:p>
    <w:p>
      <w:pPr>
        <w:ind w:left="620" w:hanging="301"/>
        <w:spacing w:after="0"/>
        <w:tabs>
          <w:tab w:leader="none" w:pos="620"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7"/>
          <w:szCs w:val="17"/>
          <w:color w:val="auto"/>
        </w:rPr>
        <w:t>the clinical indications for which our product candidates are approved;</w:t>
      </w:r>
    </w:p>
    <w:p>
      <w:pPr>
        <w:spacing w:after="0" w:line="20" w:lineRule="exact"/>
        <w:rPr>
          <w:rFonts w:ascii="Arial" w:cs="Arial" w:eastAsia="Arial" w:hAnsi="Arial"/>
          <w:sz w:val="21"/>
          <w:szCs w:val="21"/>
          <w:color w:val="auto"/>
        </w:rPr>
      </w:pPr>
    </w:p>
    <w:p>
      <w:pPr>
        <w:ind w:left="620" w:hanging="301"/>
        <w:spacing w:after="0"/>
        <w:tabs>
          <w:tab w:leader="none" w:pos="620"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7"/>
          <w:szCs w:val="17"/>
          <w:color w:val="auto"/>
        </w:rPr>
        <w:t>physicians, hospitals, cancer treatment centers and patients considering our product candidates as a safe and effective treatment;</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7"/>
          <w:szCs w:val="17"/>
          <w:color w:val="auto"/>
        </w:rPr>
        <w:t>the potential and perceived advantages of our product candidates over alternative treatments;</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7"/>
          <w:szCs w:val="17"/>
          <w:color w:val="auto"/>
        </w:rPr>
        <w:t>the prevalence and severity of any side effects;</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7"/>
          <w:szCs w:val="17"/>
          <w:color w:val="auto"/>
        </w:rPr>
        <w:t>product labeling or product insert requirements of the FDA or other comparable foreign regulatory authorities;</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7"/>
          <w:szCs w:val="17"/>
          <w:color w:val="auto"/>
        </w:rPr>
        <w:t>limitations or warnings contained in the labeling approved by the FDA or other comparable foreign regulatory authorities;</w:t>
      </w:r>
    </w:p>
    <w:p>
      <w:pPr>
        <w:spacing w:after="0" w:line="20" w:lineRule="exact"/>
        <w:rPr>
          <w:rFonts w:ascii="Arial" w:cs="Arial" w:eastAsia="Arial" w:hAnsi="Arial"/>
          <w:sz w:val="21"/>
          <w:szCs w:val="21"/>
          <w:color w:val="auto"/>
        </w:rPr>
      </w:pPr>
    </w:p>
    <w:p>
      <w:pPr>
        <w:ind w:left="620" w:hanging="301"/>
        <w:spacing w:after="0"/>
        <w:tabs>
          <w:tab w:leader="none" w:pos="620"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7"/>
          <w:szCs w:val="17"/>
          <w:color w:val="auto"/>
        </w:rPr>
        <w:t>the timing of market introduction of our product candidates as well as competitive products;</w:t>
      </w:r>
    </w:p>
    <w:p>
      <w:pPr>
        <w:spacing w:after="0" w:line="13"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7"/>
          <w:szCs w:val="17"/>
          <w:color w:val="auto"/>
        </w:rPr>
        <w:t>the cost of treatment in relation to alternative treatments;</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7"/>
          <w:szCs w:val="17"/>
          <w:color w:val="auto"/>
        </w:rPr>
        <w:t>the availability of coverage and adequate reimbursement by third-party payors and government authorities;</w:t>
      </w:r>
    </w:p>
    <w:p>
      <w:pPr>
        <w:spacing w:after="0" w:line="21" w:lineRule="exact"/>
        <w:rPr>
          <w:rFonts w:ascii="Arial" w:cs="Arial" w:eastAsia="Arial" w:hAnsi="Arial"/>
          <w:sz w:val="21"/>
          <w:szCs w:val="21"/>
          <w:color w:val="auto"/>
        </w:rPr>
      </w:pPr>
    </w:p>
    <w:p>
      <w:pPr>
        <w:ind w:left="640" w:right="680" w:hanging="321"/>
        <w:spacing w:after="0"/>
        <w:tabs>
          <w:tab w:leader="none" w:pos="635"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7"/>
          <w:szCs w:val="17"/>
          <w:color w:val="auto"/>
        </w:rPr>
        <w:t>the willingness of patients to pay out-of-pocket in the absence of coverage and adequate reimbursement by third-party payors and government authorities;</w:t>
      </w:r>
    </w:p>
    <w:p>
      <w:pPr>
        <w:spacing w:after="0" w:line="7" w:lineRule="exact"/>
        <w:rPr>
          <w:rFonts w:ascii="Arial" w:cs="Arial" w:eastAsia="Arial" w:hAnsi="Arial"/>
          <w:sz w:val="21"/>
          <w:szCs w:val="21"/>
          <w:color w:val="auto"/>
        </w:rPr>
      </w:pPr>
    </w:p>
    <w:p>
      <w:pPr>
        <w:ind w:left="620" w:hanging="301"/>
        <w:spacing w:after="0"/>
        <w:tabs>
          <w:tab w:leader="none" w:pos="620"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7"/>
          <w:szCs w:val="17"/>
          <w:color w:val="auto"/>
        </w:rPr>
        <w:t>relative convenience and ease of administration, including as compared to alternative treatments and competitive therapies; and</w:t>
      </w:r>
    </w:p>
    <w:p>
      <w:pPr>
        <w:spacing w:after="0" w:line="13"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7"/>
          <w:szCs w:val="17"/>
          <w:color w:val="auto"/>
        </w:rPr>
        <w:t>the effectiveness of our sales and marketing efforts.</w:t>
      </w:r>
    </w:p>
    <w:p>
      <w:pPr>
        <w:spacing w:after="0" w:line="231"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If our product candidates are approved but fail to achieve market acceptance among physicians, patients, hospitals, cancer treatment centers or others in the medical community, we will not be able to generate significant revenue. 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190" w:lineRule="exact"/>
        <w:rPr>
          <w:sz w:val="20"/>
          <w:szCs w:val="20"/>
          <w:color w:val="auto"/>
        </w:rPr>
      </w:pPr>
    </w:p>
    <w:p>
      <w:pPr>
        <w:ind w:right="20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Coverage and reimbursement may be limited or unavailable in certain market segments for our product candidates, which could make it difficult for us to sell our product candidates, if approved, profitably.</w:t>
      </w:r>
    </w:p>
    <w:p>
      <w:pPr>
        <w:spacing w:after="0" w:line="169" w:lineRule="exact"/>
        <w:rPr>
          <w:sz w:val="20"/>
          <w:szCs w:val="20"/>
          <w:color w:val="auto"/>
        </w:rPr>
      </w:pPr>
    </w:p>
    <w:p>
      <w:pPr>
        <w:jc w:val="both"/>
        <w:ind w:right="220" w:firstLine="629"/>
        <w:spacing w:after="0" w:line="276" w:lineRule="auto"/>
        <w:rPr>
          <w:sz w:val="20"/>
          <w:szCs w:val="20"/>
          <w:color w:val="auto"/>
        </w:rPr>
      </w:pPr>
      <w:r>
        <w:rPr>
          <w:rFonts w:ascii="Times New Roman" w:cs="Times New Roman" w:eastAsia="Times New Roman" w:hAnsi="Times New Roman"/>
          <w:sz w:val="17"/>
          <w:szCs w:val="17"/>
          <w:color w:val="auto"/>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status of any product candidates for which we obtain regulatory approval. In addition, because our product candidates represent new approaches to the treatment of cancer, we cannot accurately estimate the potential revenue from our product candidates.</w:t>
      </w:r>
    </w:p>
    <w:p>
      <w:pPr>
        <w:spacing w:after="0" w:line="173" w:lineRule="exact"/>
        <w:rPr>
          <w:sz w:val="20"/>
          <w:szCs w:val="20"/>
          <w:color w:val="auto"/>
        </w:rPr>
      </w:pPr>
    </w:p>
    <w:p>
      <w:pPr>
        <w:ind w:right="320" w:firstLine="629"/>
        <w:spacing w:after="0" w:line="296" w:lineRule="auto"/>
        <w:rPr>
          <w:sz w:val="20"/>
          <w:szCs w:val="20"/>
          <w:color w:val="auto"/>
        </w:rPr>
      </w:pPr>
      <w:r>
        <w:rPr>
          <w:rFonts w:ascii="Times New Roman" w:cs="Times New Roman" w:eastAsia="Times New Roman" w:hAnsi="Times New Roman"/>
          <w:sz w:val="17"/>
          <w:szCs w:val="17"/>
          <w:color w:val="auto"/>
        </w:rPr>
        <w:t>Patients who are provided medical treatment for their conditions generally rely on third-party payors to reimburse all or part of the costs associated with their treatment. Obtaining coverage and adequate reimbursement from third-party payors is critical to new product acceptance.</w:t>
      </w:r>
    </w:p>
    <w:p>
      <w:pPr>
        <w:spacing w:after="0" w:line="173"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The marketability of any product candidates for which we receive regulatory approval for commercial sale may suffer if government and other third-party payors fail to provide coverage and adequate reimbursement. We expect downward pressure on pharmaceutical pricing to continue. Further,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advancement of healthcare reform may negatively impact our ability to sell our product candidates, if approved, profitably.</w:t>
      </w:r>
    </w:p>
    <w:p>
      <w:pPr>
        <w:spacing w:after="0" w:line="254" w:lineRule="exact"/>
        <w:rPr>
          <w:sz w:val="20"/>
          <w:szCs w:val="20"/>
          <w:color w:val="auto"/>
        </w:rPr>
      </w:pPr>
    </w:p>
    <w:p>
      <w:pPr>
        <w:ind w:right="120" w:firstLine="629"/>
        <w:spacing w:after="0" w:line="265" w:lineRule="auto"/>
        <w:rPr>
          <w:sz w:val="20"/>
          <w:szCs w:val="20"/>
          <w:color w:val="auto"/>
        </w:rPr>
      </w:pPr>
      <w:r>
        <w:rPr>
          <w:rFonts w:ascii="Times New Roman" w:cs="Times New Roman" w:eastAsia="Times New Roman" w:hAnsi="Times New Roman"/>
          <w:sz w:val="17"/>
          <w:szCs w:val="17"/>
          <w:color w:val="auto"/>
        </w:rPr>
        <w:t>There have been, and likely will continue to be, legislative and regulatory proposals at the foreign, federal and state levels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approval and may affect our overall financial condition and ability to develop product candidates. Any reduction in reimbursement from Medicare or other government programs may result in a similar reduction in payments from private payors, which may adversely affect our future profitability.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negatively impacted by environmental, social and corporate governance (ESG) matters or our reporting of such matters.*</w:t>
      </w:r>
    </w:p>
    <w:p>
      <w:pPr>
        <w:spacing w:after="0" w:line="241" w:lineRule="exact"/>
        <w:rPr>
          <w:sz w:val="20"/>
          <w:szCs w:val="20"/>
          <w:color w:val="auto"/>
        </w:rPr>
      </w:pPr>
    </w:p>
    <w:p>
      <w:pPr>
        <w:ind w:right="80" w:firstLine="629"/>
        <w:spacing w:after="0" w:line="247" w:lineRule="auto"/>
        <w:rPr>
          <w:sz w:val="20"/>
          <w:szCs w:val="20"/>
          <w:color w:val="auto"/>
        </w:rPr>
      </w:pPr>
      <w:r>
        <w:rPr>
          <w:rFonts w:ascii="Times New Roman" w:cs="Times New Roman" w:eastAsia="Times New Roman" w:hAnsi="Times New Roman"/>
          <w:sz w:val="17"/>
          <w:szCs w:val="17"/>
          <w:color w:val="auto"/>
        </w:rPr>
        <w:t>There is an increasing focus from certain investors, employees, partners, and other stakeholders concerning ESG matters. While we have internal efforts directed at ESG matters and preparations for any increased required future disclosures, we may be perceived to be not acting responsibly in connection with these matters, which could negatively impact us. Moreover, the SEC recently finalized rules designed to enhance and standardize climate-related disclosures. These climate disclosure rules have been challenged in court and the SEC has issued an order staying their implementation pending the outcome of judicial review. These new climate-related disclosures, if required, may significantly increase our compliance and reporting costs and may also result in disclosures that certain investors or other stakeholders deem to negatively impact our reputation or that harm our stock price. In addition, we currently do not report our environmental emissions, and lack of reporting could result in certain investors declining to invest in our common stock.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248" w:lineRule="exact"/>
        <w:rPr>
          <w:sz w:val="20"/>
          <w:szCs w:val="20"/>
          <w:color w:val="auto"/>
        </w:rPr>
      </w:pPr>
    </w:p>
    <w:p>
      <w:pPr>
        <w:ind w:right="22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depend on intellectual property licensed from third parties and termination of any of these licenses could result in the loss of significant rights, which would harm our business.*</w:t>
      </w:r>
    </w:p>
    <w:p>
      <w:pPr>
        <w:spacing w:after="0" w:line="169"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We are dependent on patents, know-how and proprietary technology, both our own and licensed from others. We depend substantially on our license agreements with Pfizer, Servier and Cellectis. These licenses may be terminated upon certain conditions. Any termination of these licenses could result in the loss of significant rights and could harm our ability to commercialize our product candidates. For example, we are dependent on our license with Cellectis for gene-editing technology that is necessary to produce certain of our engineered T cells. In addition, we are reliant on Servier in-licensing from Cellectis some of the intellectual property rights they are licensing to us, including certain intellectual property rights relating to ALLO-501 and cema-cel. To the extent these licensors fail to meet their obligations under their license agreements, which we are not in control of, we may lose the benefits of our license agreements with these licensors. For instance, Cellectis has challenged and may in the future challenge certain performance by Servier, such as its development of products licensed under the Cellectis-Servier Agreement in ALL, and any failure by those parties to resolve such matters may have an adverse impact on us. In the future, we may also enter into additional license agreements that are material to the development of our product candidates.</w:t>
      </w:r>
    </w:p>
    <w:p>
      <w:pPr>
        <w:spacing w:after="0" w:line="2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Disputes may also arise between us and our licensors regarding intellectual property subject to a license agreement, including those related to:</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20" w:hanging="301"/>
        <w:spacing w:after="0"/>
        <w:tabs>
          <w:tab w:leader="none" w:pos="620" w:val="left"/>
        </w:tabs>
        <w:numPr>
          <w:ilvl w:val="0"/>
          <w:numId w:val="43"/>
        </w:numPr>
        <w:rPr>
          <w:rFonts w:ascii="Arial" w:cs="Arial" w:eastAsia="Arial" w:hAnsi="Arial"/>
          <w:sz w:val="21"/>
          <w:szCs w:val="21"/>
          <w:color w:val="auto"/>
        </w:rPr>
      </w:pPr>
      <w:r>
        <w:rPr>
          <w:rFonts w:ascii="Times New Roman" w:cs="Times New Roman" w:eastAsia="Times New Roman" w:hAnsi="Times New Roman"/>
          <w:sz w:val="17"/>
          <w:szCs w:val="17"/>
          <w:color w:val="auto"/>
        </w:rPr>
        <w:t>the scope of rights granted under the license agreement and other interpretation-related issues;</w:t>
      </w:r>
    </w:p>
    <w:p>
      <w:pPr>
        <w:spacing w:after="0" w:line="21" w:lineRule="exact"/>
        <w:rPr>
          <w:rFonts w:ascii="Arial" w:cs="Arial" w:eastAsia="Arial" w:hAnsi="Arial"/>
          <w:sz w:val="21"/>
          <w:szCs w:val="21"/>
          <w:color w:val="auto"/>
        </w:rPr>
      </w:pPr>
    </w:p>
    <w:p>
      <w:pPr>
        <w:ind w:left="640" w:right="240" w:hanging="321"/>
        <w:spacing w:after="0"/>
        <w:tabs>
          <w:tab w:leader="none" w:pos="635" w:val="left"/>
        </w:tabs>
        <w:numPr>
          <w:ilvl w:val="0"/>
          <w:numId w:val="43"/>
        </w:numPr>
        <w:rPr>
          <w:rFonts w:ascii="Arial" w:cs="Arial" w:eastAsia="Arial" w:hAnsi="Arial"/>
          <w:sz w:val="21"/>
          <w:szCs w:val="21"/>
          <w:color w:val="auto"/>
        </w:rPr>
      </w:pPr>
      <w:r>
        <w:rPr>
          <w:rFonts w:ascii="Times New Roman" w:cs="Times New Roman" w:eastAsia="Times New Roman" w:hAnsi="Times New Roman"/>
          <w:sz w:val="17"/>
          <w:szCs w:val="17"/>
          <w:color w:val="auto"/>
        </w:rPr>
        <w:t>whether and the extent to which our technology and processes may infringe on intellectual property of the licensor that is not subject to the licensing agreement;</w:t>
      </w:r>
    </w:p>
    <w:p>
      <w:pPr>
        <w:spacing w:after="0" w:line="7" w:lineRule="exact"/>
        <w:rPr>
          <w:rFonts w:ascii="Arial" w:cs="Arial" w:eastAsia="Arial" w:hAnsi="Arial"/>
          <w:sz w:val="21"/>
          <w:szCs w:val="21"/>
          <w:color w:val="auto"/>
        </w:rPr>
      </w:pPr>
    </w:p>
    <w:p>
      <w:pPr>
        <w:ind w:left="620" w:hanging="301"/>
        <w:spacing w:after="0"/>
        <w:tabs>
          <w:tab w:leader="none" w:pos="620" w:val="left"/>
        </w:tabs>
        <w:numPr>
          <w:ilvl w:val="0"/>
          <w:numId w:val="43"/>
        </w:numPr>
        <w:rPr>
          <w:rFonts w:ascii="Arial" w:cs="Arial" w:eastAsia="Arial" w:hAnsi="Arial"/>
          <w:sz w:val="21"/>
          <w:szCs w:val="21"/>
          <w:color w:val="auto"/>
        </w:rPr>
      </w:pPr>
      <w:r>
        <w:rPr>
          <w:rFonts w:ascii="Times New Roman" w:cs="Times New Roman" w:eastAsia="Times New Roman" w:hAnsi="Times New Roman"/>
          <w:sz w:val="17"/>
          <w:szCs w:val="17"/>
          <w:color w:val="auto"/>
        </w:rPr>
        <w:t>our right to sublicense patent and other rights to third parties under collaborative development relationships;</w:t>
      </w:r>
    </w:p>
    <w:p>
      <w:pPr>
        <w:spacing w:after="0" w:line="34" w:lineRule="exact"/>
        <w:rPr>
          <w:rFonts w:ascii="Arial" w:cs="Arial" w:eastAsia="Arial" w:hAnsi="Arial"/>
          <w:sz w:val="21"/>
          <w:szCs w:val="21"/>
          <w:color w:val="auto"/>
        </w:rPr>
      </w:pPr>
    </w:p>
    <w:p>
      <w:pPr>
        <w:ind w:left="640" w:right="560" w:hanging="321"/>
        <w:spacing w:after="0"/>
        <w:tabs>
          <w:tab w:leader="none" w:pos="635" w:val="left"/>
        </w:tabs>
        <w:numPr>
          <w:ilvl w:val="0"/>
          <w:numId w:val="43"/>
        </w:numPr>
        <w:rPr>
          <w:rFonts w:ascii="Arial" w:cs="Arial" w:eastAsia="Arial" w:hAnsi="Arial"/>
          <w:sz w:val="21"/>
          <w:szCs w:val="21"/>
          <w:color w:val="auto"/>
        </w:rPr>
      </w:pPr>
      <w:r>
        <w:rPr>
          <w:rFonts w:ascii="Times New Roman" w:cs="Times New Roman" w:eastAsia="Times New Roman" w:hAnsi="Times New Roman"/>
          <w:sz w:val="17"/>
          <w:szCs w:val="17"/>
          <w:color w:val="auto"/>
        </w:rPr>
        <w:t>our diligence obligations with respect to the use of the licensed technology in relation to our development and commercialization of our product candidates, and what activities satisfy those diligence obligations; and</w:t>
      </w:r>
    </w:p>
    <w:p>
      <w:pPr>
        <w:spacing w:after="0" w:line="7" w:lineRule="exact"/>
        <w:rPr>
          <w:rFonts w:ascii="Arial" w:cs="Arial" w:eastAsia="Arial" w:hAnsi="Arial"/>
          <w:sz w:val="21"/>
          <w:szCs w:val="21"/>
          <w:color w:val="auto"/>
        </w:rPr>
      </w:pPr>
    </w:p>
    <w:p>
      <w:pPr>
        <w:ind w:left="620" w:hanging="301"/>
        <w:spacing w:after="0"/>
        <w:tabs>
          <w:tab w:leader="none" w:pos="620" w:val="left"/>
        </w:tabs>
        <w:numPr>
          <w:ilvl w:val="0"/>
          <w:numId w:val="43"/>
        </w:numPr>
        <w:rPr>
          <w:rFonts w:ascii="Arial" w:cs="Arial" w:eastAsia="Arial" w:hAnsi="Arial"/>
          <w:sz w:val="21"/>
          <w:szCs w:val="21"/>
          <w:color w:val="auto"/>
        </w:rPr>
      </w:pPr>
      <w:r>
        <w:rPr>
          <w:rFonts w:ascii="Times New Roman" w:cs="Times New Roman" w:eastAsia="Times New Roman" w:hAnsi="Times New Roman"/>
          <w:sz w:val="17"/>
          <w:szCs w:val="17"/>
          <w:color w:val="auto"/>
        </w:rPr>
        <w:t>the ownership of inventions and know-how resulting from the joint creation or use of intellectual property by our licensors and us and our partners.</w:t>
      </w:r>
    </w:p>
    <w:p>
      <w:pPr>
        <w:spacing w:after="0" w:line="218"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For example, previously we and Servier had different interpretations regarding the respective parties’ respective rights and obligations under the Original Servier Agreement. In May 2024, we entered into the Servier Amendment which clarified each parties rights and obligations. There can be no assurance that further contract interpretation issues will not arise or that we would be able to amicably resolve such issues. If other issues arise over intellectual property that we have licensed, or license in the future, it could prevent or impair our ability to maintain our current licensing arrangements on acceptable terms, and we may be unable to successfully develop and commercialize the affected product candidates.</w:t>
      </w:r>
    </w:p>
    <w:p>
      <w:pPr>
        <w:spacing w:after="0" w:line="196"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products could suffer.</w:t>
      </w:r>
    </w:p>
    <w:p>
      <w:pPr>
        <w:spacing w:after="0" w:line="186" w:lineRule="exact"/>
        <w:rPr>
          <w:sz w:val="20"/>
          <w:szCs w:val="20"/>
          <w:color w:val="auto"/>
        </w:rPr>
      </w:pPr>
    </w:p>
    <w:p>
      <w:pPr>
        <w:ind w:right="5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our efforts to protect the proprietary nature of the intellectual property related to our technologies are not adequate, we may not be able to compete effectively in our market.*</w:t>
      </w:r>
    </w:p>
    <w:p>
      <w:pPr>
        <w:spacing w:after="0" w:line="169" w:lineRule="exact"/>
        <w:rPr>
          <w:sz w:val="20"/>
          <w:szCs w:val="20"/>
          <w:color w:val="auto"/>
        </w:rPr>
      </w:pPr>
    </w:p>
    <w:p>
      <w:pPr>
        <w:jc w:val="both"/>
        <w:ind w:right="200" w:firstLine="629"/>
        <w:spacing w:after="0" w:line="276" w:lineRule="auto"/>
        <w:rPr>
          <w:sz w:val="20"/>
          <w:szCs w:val="20"/>
          <w:color w:val="auto"/>
        </w:rPr>
      </w:pPr>
      <w:r>
        <w:rPr>
          <w:rFonts w:ascii="Times New Roman" w:cs="Times New Roman" w:eastAsia="Times New Roman" w:hAnsi="Times New Roman"/>
          <w:sz w:val="17"/>
          <w:szCs w:val="17"/>
          <w:color w:val="auto"/>
        </w:rPr>
        <w:t>We rely upon a combination of patents, trade secret protection and license agreements to protect the intellectual property related to our technologies. Any disclosure to or misappropriation by third parties of our confidential proprietary information could enable competitors to quickly duplicate or surpass our technological achievements, thus eroding our competitive position in our market.</w:t>
      </w:r>
    </w:p>
    <w:p>
      <w:pPr>
        <w:spacing w:after="0" w:line="190" w:lineRule="exact"/>
        <w:rPr>
          <w:sz w:val="20"/>
          <w:szCs w:val="20"/>
          <w:color w:val="auto"/>
        </w:rPr>
      </w:pPr>
    </w:p>
    <w:p>
      <w:pPr>
        <w:ind w:right="80" w:firstLine="629"/>
        <w:spacing w:after="0" w:line="265" w:lineRule="auto"/>
        <w:rPr>
          <w:sz w:val="20"/>
          <w:szCs w:val="20"/>
          <w:color w:val="auto"/>
        </w:rPr>
      </w:pPr>
      <w:r>
        <w:rPr>
          <w:rFonts w:ascii="Times New Roman" w:cs="Times New Roman" w:eastAsia="Times New Roman" w:hAnsi="Times New Roman"/>
          <w:sz w:val="17"/>
          <w:szCs w:val="17"/>
          <w:color w:val="auto"/>
        </w:rPr>
        <w:t>Under the Servier Agreement, we have an exclusive license to develop and commercialize certain anti-CD19 allogeneic T cell product candidates, including cema-cel, and we hold the commercial rights to these product candidates in the United States, the European Union and the United Kingdom. We also have an exclusive worldwide license from Cellectis to its TALEN gene-editing technology for the development of allogeneic T cell product candidates directed against 15 different cancer antigens. The Servier Agreement gives us access to TALEN gene-editing technology for all product candidates under the agreement. Certain intellectual property which is covered by these agreements may have been developed with funding from the U.S. government. If so, our rights in this intellectual property may be subject to certain research and other rights of the government.</w:t>
      </w:r>
    </w:p>
    <w:p>
      <w:pPr>
        <w:spacing w:after="0" w:line="198" w:lineRule="exact"/>
        <w:rPr>
          <w:sz w:val="20"/>
          <w:szCs w:val="20"/>
          <w:color w:val="auto"/>
        </w:rPr>
      </w:pPr>
    </w:p>
    <w:p>
      <w:pPr>
        <w:ind w:right="400" w:firstLine="629"/>
        <w:spacing w:after="0" w:line="268" w:lineRule="auto"/>
        <w:rPr>
          <w:sz w:val="20"/>
          <w:szCs w:val="20"/>
          <w:color w:val="auto"/>
        </w:rPr>
      </w:pPr>
      <w:r>
        <w:rPr>
          <w:rFonts w:ascii="Times New Roman" w:cs="Times New Roman" w:eastAsia="Times New Roman" w:hAnsi="Times New Roman"/>
          <w:sz w:val="17"/>
          <w:szCs w:val="17"/>
          <w:color w:val="auto"/>
        </w:rPr>
        <w:t>Additional patent applications have been filed, and we anticipate additional patent applications will be filed, both in the United States and in other countries, as appropriate. However, we cannot predict:</w:t>
      </w:r>
    </w:p>
    <w:p>
      <w:pPr>
        <w:spacing w:after="0" w:line="8" w:lineRule="exact"/>
        <w:rPr>
          <w:sz w:val="20"/>
          <w:szCs w:val="20"/>
          <w:color w:val="auto"/>
        </w:rPr>
      </w:pPr>
    </w:p>
    <w:p>
      <w:pPr>
        <w:ind w:left="620" w:hanging="301"/>
        <w:spacing w:after="0"/>
        <w:tabs>
          <w:tab w:leader="none" w:pos="620" w:val="left"/>
        </w:tabs>
        <w:numPr>
          <w:ilvl w:val="0"/>
          <w:numId w:val="44"/>
        </w:numPr>
        <w:rPr>
          <w:rFonts w:ascii="Arial" w:cs="Arial" w:eastAsia="Arial" w:hAnsi="Arial"/>
          <w:sz w:val="21"/>
          <w:szCs w:val="21"/>
          <w:color w:val="auto"/>
        </w:rPr>
      </w:pPr>
      <w:r>
        <w:rPr>
          <w:rFonts w:ascii="Times New Roman" w:cs="Times New Roman" w:eastAsia="Times New Roman" w:hAnsi="Times New Roman"/>
          <w:sz w:val="17"/>
          <w:szCs w:val="17"/>
          <w:color w:val="auto"/>
        </w:rPr>
        <w:t>if and when patents will issue;</w:t>
      </w:r>
    </w:p>
    <w:p>
      <w:pPr>
        <w:spacing w:after="0" w:line="21" w:lineRule="exact"/>
        <w:rPr>
          <w:rFonts w:ascii="Arial" w:cs="Arial" w:eastAsia="Arial" w:hAnsi="Arial"/>
          <w:sz w:val="21"/>
          <w:szCs w:val="21"/>
          <w:color w:val="auto"/>
        </w:rPr>
      </w:pPr>
    </w:p>
    <w:p>
      <w:pPr>
        <w:ind w:left="640" w:right="180" w:hanging="321"/>
        <w:spacing w:after="0"/>
        <w:tabs>
          <w:tab w:leader="none" w:pos="635" w:val="left"/>
        </w:tabs>
        <w:numPr>
          <w:ilvl w:val="0"/>
          <w:numId w:val="44"/>
        </w:numPr>
        <w:rPr>
          <w:rFonts w:ascii="Arial" w:cs="Arial" w:eastAsia="Arial" w:hAnsi="Arial"/>
          <w:sz w:val="21"/>
          <w:szCs w:val="21"/>
          <w:color w:val="auto"/>
        </w:rPr>
      </w:pPr>
      <w:r>
        <w:rPr>
          <w:rFonts w:ascii="Times New Roman" w:cs="Times New Roman" w:eastAsia="Times New Roman" w:hAnsi="Times New Roman"/>
          <w:sz w:val="17"/>
          <w:szCs w:val="17"/>
          <w:color w:val="auto"/>
        </w:rPr>
        <w:t>the degree and range of protection any issued patents will afford us against competitors including whether third parties will find ways to invalidate or otherwise circumvent our patents;</w:t>
      </w:r>
    </w:p>
    <w:p>
      <w:pPr>
        <w:spacing w:after="0" w:line="7" w:lineRule="exact"/>
        <w:rPr>
          <w:rFonts w:ascii="Arial" w:cs="Arial" w:eastAsia="Arial" w:hAnsi="Arial"/>
          <w:sz w:val="21"/>
          <w:szCs w:val="21"/>
          <w:color w:val="auto"/>
        </w:rPr>
      </w:pPr>
    </w:p>
    <w:p>
      <w:pPr>
        <w:ind w:left="620" w:hanging="301"/>
        <w:spacing w:after="0"/>
        <w:tabs>
          <w:tab w:leader="none" w:pos="620" w:val="left"/>
        </w:tabs>
        <w:numPr>
          <w:ilvl w:val="0"/>
          <w:numId w:val="44"/>
        </w:numPr>
        <w:rPr>
          <w:rFonts w:ascii="Arial" w:cs="Arial" w:eastAsia="Arial" w:hAnsi="Arial"/>
          <w:sz w:val="21"/>
          <w:szCs w:val="21"/>
          <w:color w:val="auto"/>
        </w:rPr>
      </w:pPr>
      <w:r>
        <w:rPr>
          <w:rFonts w:ascii="Times New Roman" w:cs="Times New Roman" w:eastAsia="Times New Roman" w:hAnsi="Times New Roman"/>
          <w:sz w:val="17"/>
          <w:szCs w:val="17"/>
          <w:color w:val="auto"/>
        </w:rPr>
        <w:t>whether or not others will obtain patents claiming aspects similar to those covered by our patents and patent applications; or</w:t>
      </w:r>
    </w:p>
    <w:p>
      <w:pPr>
        <w:spacing w:after="0" w:line="20" w:lineRule="exact"/>
        <w:rPr>
          <w:rFonts w:ascii="Arial" w:cs="Arial" w:eastAsia="Arial" w:hAnsi="Arial"/>
          <w:sz w:val="21"/>
          <w:szCs w:val="21"/>
          <w:color w:val="auto"/>
        </w:rPr>
      </w:pPr>
    </w:p>
    <w:p>
      <w:pPr>
        <w:ind w:left="620" w:hanging="301"/>
        <w:spacing w:after="0"/>
        <w:tabs>
          <w:tab w:leader="none" w:pos="620" w:val="left"/>
        </w:tabs>
        <w:numPr>
          <w:ilvl w:val="0"/>
          <w:numId w:val="44"/>
        </w:numPr>
        <w:rPr>
          <w:rFonts w:ascii="Arial" w:cs="Arial" w:eastAsia="Arial" w:hAnsi="Arial"/>
          <w:sz w:val="21"/>
          <w:szCs w:val="21"/>
          <w:color w:val="auto"/>
        </w:rPr>
      </w:pPr>
      <w:r>
        <w:rPr>
          <w:rFonts w:ascii="Times New Roman" w:cs="Times New Roman" w:eastAsia="Times New Roman" w:hAnsi="Times New Roman"/>
          <w:sz w:val="17"/>
          <w:szCs w:val="17"/>
          <w:color w:val="auto"/>
        </w:rPr>
        <w:t>whether we will need to initiate litigation or administrative proceedings which may be costly whether we win or lose.</w:t>
      </w:r>
    </w:p>
    <w:p>
      <w:pPr>
        <w:spacing w:after="0" w:line="218"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Composition of matter patents for biological and pharmaceutical products such as CAR-based product candidates often provide a strong form of intellectual property protection for those types of products, as such patents provide protection without regard to any method of use. We cannot be certain that the claims in our pending patent applications covering compositions of matter of our product candidates will be considered patentable by the United States Patent and Trademark Office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Moreover, even if competitors do not actively promote their product</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500"/>
        <w:spacing w:after="0" w:line="296" w:lineRule="auto"/>
        <w:rPr>
          <w:sz w:val="20"/>
          <w:szCs w:val="20"/>
          <w:color w:val="auto"/>
        </w:rPr>
      </w:pPr>
      <w:r>
        <w:rPr>
          <w:rFonts w:ascii="Times New Roman" w:cs="Times New Roman" w:eastAsia="Times New Roman" w:hAnsi="Times New Roman"/>
          <w:sz w:val="17"/>
          <w:szCs w:val="17"/>
          <w:color w:val="auto"/>
        </w:rPr>
        <w:t>for our targeted indications, physicians may prescribe these products “off-label.” Although off-label prescriptions may infringe method of use patents, the practice is common and such infringement is difficult to prevent or prosecute.</w:t>
      </w:r>
    </w:p>
    <w:p>
      <w:pPr>
        <w:spacing w:after="0" w:line="173"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The strength of patents in the biotechnology and pharmaceutical fields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patentability, validity, enforceability or scope thereof, for example through inter partes review (IPR), post-grant review or ex parte reexamination before the USPTO, or oppositions and other comparable proceedings in foreign jurisdictions, which may result in such patents being cancelled, narrowed, invalidated or held unenforceable. Furthermore, even if they are unchallenged, our patents and patent applications may not adequately protect our intellectual property or prevent others from designing their products to avoid being covered by our claims. If the breadth or strength of protection provided by the patents and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United States patent applications containing at any time a claim not entitled to a priority date before March 16, 2013 are subject to the “first to file” system implemented by the America Invents Act (2011).</w:t>
      </w:r>
    </w:p>
    <w:p>
      <w:pPr>
        <w:spacing w:after="0" w:line="203" w:lineRule="exact"/>
        <w:rPr>
          <w:sz w:val="20"/>
          <w:szCs w:val="20"/>
          <w:color w:val="auto"/>
        </w:rPr>
      </w:pPr>
    </w:p>
    <w:p>
      <w:pPr>
        <w:ind w:right="80" w:firstLine="629"/>
        <w:spacing w:after="0" w:line="263" w:lineRule="auto"/>
        <w:rPr>
          <w:sz w:val="20"/>
          <w:szCs w:val="20"/>
          <w:color w:val="auto"/>
        </w:rPr>
      </w:pPr>
      <w:r>
        <w:rPr>
          <w:rFonts w:ascii="Times New Roman" w:cs="Times New Roman" w:eastAsia="Times New Roman" w:hAnsi="Times New Roman"/>
          <w:sz w:val="17"/>
          <w:szCs w:val="17"/>
          <w:color w:val="auto"/>
        </w:rPr>
        <w:t>This first to file system will require us to be cognizant of the time from invention to filing of a patent application. Since patent applications in the United States and most other countries are confidential for a period of time after filing, we cannot be certain that we were the first to file any patent application related to our product candidates. Furthermore, for United States applications in which all claims are entitled to a priority date before March 16, 2013, an interference proceeding can be provoked by a third-party or instituted by the USPTO, to determine who was the first to invent any of the subject matter covered by the patent claims of our applications. For United States applications containing a claim not entitled to priority before March 16, 2013, there is a greater level of uncertainty in the patent law in view of the passage of the America Invents Act, which brought into effect significant changes to the United States patent laws, including new procedures for challenging patent applications and issued patents.</w:t>
      </w:r>
    </w:p>
    <w:p>
      <w:pPr>
        <w:spacing w:after="0" w:line="199" w:lineRule="exact"/>
        <w:rPr>
          <w:sz w:val="20"/>
          <w:szCs w:val="20"/>
          <w:color w:val="auto"/>
        </w:rPr>
      </w:pPr>
    </w:p>
    <w:p>
      <w:pPr>
        <w:ind w:right="4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Confidentiality agreements with employees and third parties, including any strategic partners, may not prevent unauthorized disclosure or use of trade secrets and other proprietary information.*</w:t>
      </w:r>
    </w:p>
    <w:p>
      <w:pPr>
        <w:spacing w:after="0" w:line="169" w:lineRule="exact"/>
        <w:rPr>
          <w:sz w:val="20"/>
          <w:szCs w:val="20"/>
          <w:color w:val="auto"/>
        </w:rPr>
      </w:pPr>
    </w:p>
    <w:p>
      <w:pPr>
        <w:ind w:right="20" w:firstLine="629"/>
        <w:spacing w:after="0" w:line="260" w:lineRule="auto"/>
        <w:rPr>
          <w:sz w:val="20"/>
          <w:szCs w:val="20"/>
          <w:color w:val="auto"/>
        </w:rPr>
      </w:pPr>
      <w:r>
        <w:rPr>
          <w:rFonts w:ascii="Times New Roman" w:cs="Times New Roman" w:eastAsia="Times New Roman" w:hAnsi="Times New Roman"/>
          <w:sz w:val="17"/>
          <w:szCs w:val="17"/>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product discovery and development processes that involve proprietary know-how, information or technology that is not covered by patents. Trade secrets, however, may be difficult to protect. Although we require all of our employees to assign their inventions to us, and require all of our employees and key consultants who have access to our proprietary know-how, information, or technology to enter into confidentiality agreements, we cannot be certain that our trade secrets and other confidential proprietary information will not be disclosed or inappropriately used,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For example, we have and may continue to transfer technology to Overland Therapeutics or its affiliates in certain developing countries, and we cannot be certain that we or Overland Therapeutics or any of its affiliates will be able to protect or enforce any proprietary rights in these countries.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205" w:lineRule="exact"/>
        <w:rPr>
          <w:sz w:val="20"/>
          <w:szCs w:val="20"/>
          <w:color w:val="auto"/>
        </w:rPr>
      </w:pPr>
    </w:p>
    <w:p>
      <w:pPr>
        <w:ind w:right="10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Third-party claims of intellectual property infringement may prevent or delay our product discovery and development efforts and our ability to commercialize our product candidates.*</w:t>
      </w:r>
    </w:p>
    <w:p>
      <w:pPr>
        <w:spacing w:after="0" w:line="169" w:lineRule="exact"/>
        <w:rPr>
          <w:sz w:val="20"/>
          <w:szCs w:val="20"/>
          <w:color w:val="auto"/>
        </w:rPr>
      </w:pPr>
    </w:p>
    <w:p>
      <w:pPr>
        <w:ind w:right="200" w:firstLine="629"/>
        <w:spacing w:after="0" w:line="267" w:lineRule="auto"/>
        <w:rPr>
          <w:sz w:val="20"/>
          <w:szCs w:val="20"/>
          <w:color w:val="auto"/>
        </w:rPr>
      </w:pPr>
      <w:r>
        <w:rPr>
          <w:rFonts w:ascii="Times New Roman" w:cs="Times New Roman" w:eastAsia="Times New Roman" w:hAnsi="Times New Roman"/>
          <w:sz w:val="17"/>
          <w:szCs w:val="17"/>
          <w:color w:val="auto"/>
        </w:rPr>
        <w:t>Our commercial success depends in part on our avoiding infringement of the patents and proprietary rights of third parties. There is a substantial amount of litigation involving patents and other intellectual property rights in the biotechnology and pharmaceutical industries. Numerous U.S. and foreign issued patents and pending patent applications, which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Third parties may assert that we or our collaboration partners infringe their patents or are otherwise employing their proprietary technology without authorization and may sue us and/or our collaboration partners. For example, in July 2024 Roche Molecular Systems, Inc. and Roche Sequencing Solutions, Inc. (collectively, Roche) filed lawsuits in Federal District Courts in California and Delaware against Foresight Diagnostics Inc. (Foresight Diagnostics), who is our collaboration partner, as well as Stanford University and three of Foresight’s founders, alleging misappropriation of trade secrets, unfair competition and breach of contract relating to Foresight Diagnostics’ PhasED-Seq Circulating Tumor DNA Platform which is being used as part of our ALPHA3 clinical trial to identify MRD+ patients. As part of the lawsuit, Roche seeks to obtain ownership of certain Stanford patents covering the PhasED-Seq technology that are licensed to Foresight Diagnostics. Foresight Diagnostics has stated that it believes that Roche’s allegations are meritless and that it intends to vigorously defend against the case, and in October 2024 Foresight Diagnostics and Stanford filed motions seeking to have the lawsuits dismissed. If Roche obtains an injunction or otherwise prevails in its lawsuits, we may be required to seek alternative means for gaining access to the PhasED-Seq MRD assay or find an alternative MRD assay to use in the ALPHA3 trial, either of which may not be available to us on commercially reasonable terms or at all, and/or could significantly delay or prevent the completion of the trial or our plans to commercialize cema-cel as part of a 1L consolidation strategy, if approved, which could materially adversely affect our business, operating results and financial condition.</w:t>
      </w:r>
    </w:p>
    <w:p>
      <w:pPr>
        <w:spacing w:after="0" w:line="209" w:lineRule="exact"/>
        <w:rPr>
          <w:sz w:val="20"/>
          <w:szCs w:val="20"/>
          <w:color w:val="auto"/>
        </w:rPr>
      </w:pPr>
    </w:p>
    <w:p>
      <w:pPr>
        <w:ind w:right="80" w:firstLine="629"/>
        <w:spacing w:after="0" w:line="266" w:lineRule="auto"/>
        <w:rPr>
          <w:sz w:val="20"/>
          <w:szCs w:val="20"/>
          <w:color w:val="auto"/>
        </w:rPr>
      </w:pPr>
      <w:r>
        <w:rPr>
          <w:rFonts w:ascii="Times New Roman" w:cs="Times New Roman" w:eastAsia="Times New Roman" w:hAnsi="Times New Roman"/>
          <w:sz w:val="17"/>
          <w:szCs w:val="17"/>
          <w:color w:val="auto"/>
        </w:rPr>
        <w:t>In addition, we are aware of several U.S. patents held by third parties that may be considered by those third parties to be relevant to cell-based therapies. Generally, conducting clinical trials and other development activities in the United States is not considered an act of infringement. If and when any of our product candidates is approved by the FDA, third parties may then seek to enforce their patents by filing a patent infringement lawsuit against us or our collaboration partners. Patents issued in the United States by law enjoy a presumption of validity that can be rebutted only with evidence that is “clear and convincing,” a heightened standard of proof. We may not be able to prove in litigation that any patent enforced against us or one of our collaboration partners is invalid.</w:t>
      </w:r>
    </w:p>
    <w:p>
      <w:pPr>
        <w:spacing w:after="0" w:line="200" w:lineRule="exact"/>
        <w:rPr>
          <w:sz w:val="20"/>
          <w:szCs w:val="20"/>
          <w:color w:val="auto"/>
        </w:rPr>
      </w:pPr>
    </w:p>
    <w:p>
      <w:pPr>
        <w:spacing w:after="0" w:line="210" w:lineRule="exact"/>
        <w:rPr>
          <w:sz w:val="20"/>
          <w:szCs w:val="20"/>
          <w:color w:val="auto"/>
        </w:rPr>
      </w:pPr>
    </w:p>
    <w:p>
      <w:pPr>
        <w:ind w:right="60" w:firstLine="629"/>
        <w:spacing w:after="0" w:line="260" w:lineRule="auto"/>
        <w:rPr>
          <w:sz w:val="20"/>
          <w:szCs w:val="20"/>
          <w:color w:val="auto"/>
        </w:rPr>
      </w:pPr>
      <w:r>
        <w:rPr>
          <w:rFonts w:ascii="Times New Roman" w:cs="Times New Roman" w:eastAsia="Times New Roman" w:hAnsi="Times New Roman"/>
          <w:sz w:val="17"/>
          <w:szCs w:val="17"/>
          <w:color w:val="auto"/>
        </w:rPr>
        <w:t>Additionally, there may be third-party patents of which we are currently unaware with claims to materials, formulations, methods of manufacture or methods for treatment related to the use or manufacture of our product candidates. Because patent applications can take many years to issue, there may be currently pending patent applications which may later result in issued patents that our product candidates may be alleged to infringe. In addition, third parties may obtain patents in the future and claim that use of our technologies infringes upon these patents. If any third-party patents were held by a court of competent jurisdiction to cover the manufacturing process of our product candidates, constructs or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not infringed, unpatentable,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not infringed, unpatentable,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w:t>
      </w:r>
    </w:p>
    <w:p>
      <w:pPr>
        <w:spacing w:after="0" w:line="200" w:lineRule="exact"/>
        <w:rPr>
          <w:sz w:val="20"/>
          <w:szCs w:val="20"/>
          <w:color w:val="auto"/>
        </w:rPr>
      </w:pPr>
    </w:p>
    <w:p>
      <w:pPr>
        <w:spacing w:after="0" w:line="219" w:lineRule="exact"/>
        <w:rPr>
          <w:sz w:val="20"/>
          <w:szCs w:val="20"/>
          <w:color w:val="auto"/>
        </w:rPr>
      </w:pPr>
    </w:p>
    <w:p>
      <w:pPr>
        <w:ind w:right="20" w:firstLine="629"/>
        <w:spacing w:after="0" w:line="262" w:lineRule="auto"/>
        <w:rPr>
          <w:sz w:val="20"/>
          <w:szCs w:val="20"/>
          <w:color w:val="auto"/>
        </w:rPr>
      </w:pPr>
      <w:r>
        <w:rPr>
          <w:rFonts w:ascii="Times New Roman" w:cs="Times New Roman" w:eastAsia="Times New Roman" w:hAnsi="Times New Roman"/>
          <w:sz w:val="17"/>
          <w:szCs w:val="17"/>
          <w:color w:val="auto"/>
        </w:rPr>
        <w:t>Parties who may make claims against us or our collaboration partners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and may impact our reputation. In the event of a successful claim of infringement against us, we may have to pay substantial damages, including treble damages and attorneys’ fees for willful infringement, obtain one or more licenses from third parties, pay royalties or redesign any of our alleged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197" w:lineRule="exact"/>
        <w:rPr>
          <w:sz w:val="20"/>
          <w:szCs w:val="20"/>
          <w:color w:val="auto"/>
        </w:rPr>
      </w:pPr>
    </w:p>
    <w:p>
      <w:pPr>
        <w:ind w:right="70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may not be successful in obtaining or maintaining necessary rights to product components and processes for our development pipeline through acquisitions and in-licenses.*</w:t>
      </w:r>
    </w:p>
    <w:p>
      <w:pPr>
        <w:spacing w:after="0" w:line="169" w:lineRule="exact"/>
        <w:rPr>
          <w:sz w:val="20"/>
          <w:szCs w:val="20"/>
          <w:color w:val="auto"/>
        </w:rPr>
      </w:pPr>
    </w:p>
    <w:p>
      <w:pPr>
        <w:ind w:right="80" w:firstLine="629"/>
        <w:spacing w:after="0" w:line="296" w:lineRule="auto"/>
        <w:rPr>
          <w:sz w:val="20"/>
          <w:szCs w:val="20"/>
          <w:color w:val="auto"/>
        </w:rPr>
      </w:pPr>
      <w:r>
        <w:rPr>
          <w:rFonts w:ascii="Times New Roman" w:cs="Times New Roman" w:eastAsia="Times New Roman" w:hAnsi="Times New Roman"/>
          <w:sz w:val="17"/>
          <w:szCs w:val="17"/>
          <w:color w:val="auto"/>
        </w:rPr>
        <w:t>Presently we have rights to the intellectual property, through licenses from third parties and under patent applications that we own or will own, that we believe will facilitate the development of our product candidates. Because our programs may</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involve additional product technology that may require the use of proprietary rights held by third parties, the growth of our business will likely depend in part on our ability to acquire, in-license or use these proprietary rights.</w:t>
      </w:r>
    </w:p>
    <w:p>
      <w:pPr>
        <w:spacing w:after="0" w:line="173"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We may be unable to acquire or in-license any compositions, methods of use, processes or other third-party intellectual property rights from third parties that we identify. We may fail to acquire such rights or obtain any of these licenses at a reasonable cost or on reasonable terms, which would harm our business. Even if we are able to obtain a license, it may be non-exclusive, thereby giving our competitors access to the same technologies licensed to us. In that event, we may be required to expend significant time and resources to develop or license replacement technology. We may need to cease use of the compositions or methods covered by such third-party intellectual property rights.</w:t>
      </w:r>
    </w:p>
    <w:p>
      <w:pPr>
        <w:spacing w:after="0" w:line="196" w:lineRule="exact"/>
        <w:rPr>
          <w:sz w:val="20"/>
          <w:szCs w:val="20"/>
          <w:color w:val="auto"/>
        </w:rPr>
      </w:pPr>
    </w:p>
    <w:p>
      <w:pPr>
        <w:ind w:right="180" w:firstLine="629"/>
        <w:spacing w:after="0" w:line="270" w:lineRule="auto"/>
        <w:rPr>
          <w:sz w:val="20"/>
          <w:szCs w:val="20"/>
          <w:color w:val="auto"/>
        </w:rPr>
      </w:pPr>
      <w:r>
        <w:rPr>
          <w:rFonts w:ascii="Times New Roman" w:cs="Times New Roman" w:eastAsia="Times New Roman" w:hAnsi="Times New Roman"/>
          <w:sz w:val="17"/>
          <w:szCs w:val="17"/>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w:t>
      </w:r>
    </w:p>
    <w:p>
      <w:pPr>
        <w:spacing w:after="0" w:line="190" w:lineRule="exact"/>
        <w:rPr>
          <w:sz w:val="20"/>
          <w:szCs w:val="20"/>
          <w:color w:val="auto"/>
        </w:rPr>
      </w:pPr>
    </w:p>
    <w:p>
      <w:pPr>
        <w:ind w:right="9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may be involved in lawsuits to protect or enforce our patents or the patents of our licensors, which could be expensive, time-consuming and unsuccessful.</w:t>
      </w:r>
    </w:p>
    <w:p>
      <w:pPr>
        <w:spacing w:after="0" w:line="169" w:lineRule="exact"/>
        <w:rPr>
          <w:sz w:val="20"/>
          <w:szCs w:val="20"/>
          <w:color w:val="auto"/>
        </w:rPr>
      </w:pPr>
    </w:p>
    <w:p>
      <w:pPr>
        <w:ind w:right="80" w:firstLine="629"/>
        <w:spacing w:after="0" w:line="262" w:lineRule="auto"/>
        <w:rPr>
          <w:sz w:val="20"/>
          <w:szCs w:val="20"/>
          <w:color w:val="auto"/>
        </w:rPr>
      </w:pPr>
      <w:r>
        <w:rPr>
          <w:rFonts w:ascii="Times New Roman" w:cs="Times New Roman" w:eastAsia="Times New Roman" w:hAnsi="Times New Roman"/>
          <w:sz w:val="17"/>
          <w:szCs w:val="17"/>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one or more of our pending patent applications at risk of not issuing.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w:t>
      </w:r>
    </w:p>
    <w:p>
      <w:pPr>
        <w:spacing w:after="0" w:line="200" w:lineRule="exact"/>
        <w:rPr>
          <w:sz w:val="20"/>
          <w:szCs w:val="20"/>
          <w:color w:val="auto"/>
        </w:rPr>
      </w:pPr>
    </w:p>
    <w:p>
      <w:pPr>
        <w:spacing w:after="0" w:line="215" w:lineRule="exact"/>
        <w:rPr>
          <w:sz w:val="20"/>
          <w:szCs w:val="20"/>
          <w:color w:val="auto"/>
        </w:rPr>
      </w:pPr>
    </w:p>
    <w:p>
      <w:pPr>
        <w:ind w:right="160" w:firstLine="629"/>
        <w:spacing w:after="0" w:line="264" w:lineRule="auto"/>
        <w:rPr>
          <w:sz w:val="20"/>
          <w:szCs w:val="20"/>
          <w:color w:val="auto"/>
        </w:rPr>
      </w:pPr>
      <w:r>
        <w:rPr>
          <w:rFonts w:ascii="Times New Roman" w:cs="Times New Roman" w:eastAsia="Times New Roman" w:hAnsi="Times New Roman"/>
          <w:sz w:val="17"/>
          <w:szCs w:val="17"/>
          <w:color w:val="auto"/>
        </w:rPr>
        <w:t>Interference proceedings provoked by third parties or brought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200" w:lineRule="exact"/>
        <w:rPr>
          <w:sz w:val="20"/>
          <w:szCs w:val="20"/>
          <w:color w:val="auto"/>
        </w:rPr>
      </w:pPr>
    </w:p>
    <w:p>
      <w:pPr>
        <w:spacing w:after="0" w:line="213"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94" w:lineRule="exact"/>
        <w:rPr>
          <w:sz w:val="20"/>
          <w:szCs w:val="20"/>
          <w:color w:val="auto"/>
        </w:rPr>
      </w:pPr>
    </w:p>
    <w:p>
      <w:pPr>
        <w:ind w:right="140" w:firstLine="629"/>
        <w:spacing w:after="0" w:line="296" w:lineRule="auto"/>
        <w:rPr>
          <w:sz w:val="20"/>
          <w:szCs w:val="20"/>
          <w:color w:val="auto"/>
        </w:rPr>
      </w:pPr>
      <w:r>
        <w:rPr>
          <w:rFonts w:ascii="Times New Roman" w:cs="Times New Roman" w:eastAsia="Times New Roman" w:hAnsi="Times New Roman"/>
          <w:sz w:val="17"/>
          <w:szCs w:val="17"/>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3" w:lineRule="exact"/>
        <w:rPr>
          <w:sz w:val="20"/>
          <w:szCs w:val="20"/>
          <w:color w:val="auto"/>
        </w:rPr>
      </w:pPr>
    </w:p>
    <w:p>
      <w:pPr>
        <w:ind w:right="200" w:firstLine="629"/>
        <w:spacing w:after="0" w:line="265" w:lineRule="auto"/>
        <w:rPr>
          <w:sz w:val="20"/>
          <w:szCs w:val="20"/>
          <w:color w:val="auto"/>
        </w:rPr>
      </w:pPr>
      <w:r>
        <w:rPr>
          <w:rFonts w:ascii="Times New Roman" w:cs="Times New Roman" w:eastAsia="Times New Roman" w:hAnsi="Times New Roman"/>
          <w:sz w:val="17"/>
          <w:szCs w:val="17"/>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60"/>
        <w:spacing w:after="0" w:line="296" w:lineRule="auto"/>
        <w:rPr>
          <w:sz w:val="20"/>
          <w:szCs w:val="20"/>
          <w:color w:val="auto"/>
        </w:rPr>
      </w:pPr>
      <w:r>
        <w:rPr>
          <w:rFonts w:ascii="Times New Roman" w:cs="Times New Roman" w:eastAsia="Times New Roman" w:hAnsi="Times New Roman"/>
          <w:sz w:val="17"/>
          <w:szCs w:val="17"/>
          <w:color w:val="auto"/>
        </w:rPr>
        <w:t>within prescribed time limits, non-payment of fees and failure to properly legalize and submit formal documents. In such an event, our competitors might be able to enter the market, which would have a material adverse effect on our business.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lives of our patents may not be sufficient to effectively protect our products and business.</w:t>
      </w:r>
    </w:p>
    <w:p>
      <w:pPr>
        <w:spacing w:after="0" w:line="254"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Patents have a limited lifespan. In the United States, the natural expiration of a patent is generally 20 years after its first effective filing date. Although various extensions may be available, the life of a patent, and the protection it affords, is limited. Even if patents covering our product candidates are obtained, once the patent life has expired for a product, we may be open to competition from biosimilar or generic medications. In addition, although upon issuance in the United States a patent’s life can be increased based on certain delays caused by the USPTO, this increase can be reduced or eliminated based on certain delays caused by the patent applicant during patent prosecution. If we do not have sufficient patent life to protect our products, our business and results of operations will be adversely affected.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or our licensors may be subject to claims challenging the inventorship of our patents and other intellectual property.</w:t>
      </w:r>
    </w:p>
    <w:p>
      <w:pPr>
        <w:spacing w:after="0" w:line="254"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We or our licensors may in the future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or our licensors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or our licensors are successful in defending against such claims, litigation could result in substantial costs and be a distraction to management and other employees.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Issued patents covering our product candidates could be found unpatentable, invalid or unenforceable if challenged in court or the USPTO.</w:t>
      </w:r>
    </w:p>
    <w:p>
      <w:pPr>
        <w:spacing w:after="0" w:line="254" w:lineRule="exact"/>
        <w:rPr>
          <w:sz w:val="20"/>
          <w:szCs w:val="20"/>
          <w:color w:val="auto"/>
        </w:rPr>
      </w:pPr>
    </w:p>
    <w:p>
      <w:pPr>
        <w:ind w:right="80" w:firstLine="629"/>
        <w:spacing w:after="0" w:line="261" w:lineRule="auto"/>
        <w:rPr>
          <w:sz w:val="20"/>
          <w:szCs w:val="20"/>
          <w:color w:val="auto"/>
        </w:rPr>
      </w:pPr>
      <w:r>
        <w:rPr>
          <w:rFonts w:ascii="Times New Roman" w:cs="Times New Roman" w:eastAsia="Times New Roman" w:hAnsi="Times New Roman"/>
          <w:sz w:val="17"/>
          <w:szCs w:val="17"/>
          <w:color w:val="auto"/>
        </w:rPr>
        <w:t>If we or one of our licensing partners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IPR, ex parte re-examination and post grant review in the United States, and equivalent proceedings in foreign jurisdictions (e.g., opposition proceedings). Such proceedings could result in revocation or amendment to our patents in such a way that they no longer cover and protect our product candidates. The outcome following legal assertions of unpatentability,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unpatentability, invalidity and/or unenforceability, we would lose at least part, and perhaps all, of the patent protection on our product candidates. Such a loss of patent protection could have a material adverse impact on our business.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U.S. patent law could diminish the value of patents in general, thereby impairing our ability to protect our products.</w:t>
      </w:r>
    </w:p>
    <w:p>
      <w:pPr>
        <w:spacing w:after="0" w:line="254"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For example, in the 2013 case, </w:t>
      </w:r>
      <w:r>
        <w:rPr>
          <w:rFonts w:ascii="Times New Roman" w:cs="Times New Roman" w:eastAsia="Times New Roman" w:hAnsi="Times New Roman"/>
          <w:sz w:val="17"/>
          <w:szCs w:val="17"/>
          <w:i w:val="1"/>
          <w:iCs w:val="1"/>
          <w:color w:val="auto"/>
        </w:rPr>
        <w:t>Assoc. for Molecular Pathology v. Myriad Genetics, Inc.</w:t>
      </w:r>
      <w:r>
        <w:rPr>
          <w:rFonts w:ascii="Times New Roman" w:cs="Times New Roman" w:eastAsia="Times New Roman" w:hAnsi="Times New Roman"/>
          <w:sz w:val="17"/>
          <w:szCs w:val="17"/>
          <w:color w:val="auto"/>
        </w:rPr>
        <w:t>, the U.S. Supreme Court held that certain claims to DNA molecules are not patentable. While we do not believe that any of the patents owned or licensed by us will be found invalid based on this decision, we cannot predict how future decisions by the courts, the U.S. Congress or the USPTO may impact the value of our patents.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protect our intellectual property rights throughout the world.*</w:t>
      </w: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We may not be able to protect our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205" w:lineRule="exact"/>
        <w:rPr>
          <w:sz w:val="20"/>
          <w:szCs w:val="20"/>
          <w:color w:val="auto"/>
        </w:rPr>
      </w:pPr>
    </w:p>
    <w:p>
      <w:pPr>
        <w:ind w:right="20" w:firstLine="629"/>
        <w:spacing w:after="0" w:line="262" w:lineRule="auto"/>
        <w:rPr>
          <w:sz w:val="20"/>
          <w:szCs w:val="20"/>
          <w:color w:val="auto"/>
        </w:rPr>
      </w:pPr>
      <w:r>
        <w:rPr>
          <w:rFonts w:ascii="Times New Roman" w:cs="Times New Roman" w:eastAsia="Times New Roman" w:hAnsi="Times New Roman"/>
          <w:sz w:val="17"/>
          <w:szCs w:val="17"/>
          <w:color w:val="auto"/>
        </w:rPr>
        <w:t>Many companies have encountered significant problems in protecting and defending intellectual property rights in foreign jurisdictions. The legal systems of certain countries, particularly certain developing countries where Overland Therapeutics or its affiliates may do business, do not favor the enforcement of patents, trade secrets and other intellectual property protection, particularly those relating to biopharmaceutical products, which could make it difficult for us or Overland Therapeutics or any of its affiliates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7" w:lineRule="exact"/>
        <w:rPr>
          <w:sz w:val="20"/>
          <w:szCs w:val="20"/>
          <w:color w:val="auto"/>
        </w:rPr>
      </w:pPr>
    </w:p>
    <w:p>
      <w:pPr>
        <w:ind w:right="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our employees, consultants or independent contractors have wrongfully used or disclosed confidential information of third parties.</w:t>
      </w:r>
    </w:p>
    <w:p>
      <w:pPr>
        <w:spacing w:after="0" w:line="169" w:lineRule="exact"/>
        <w:rPr>
          <w:sz w:val="20"/>
          <w:szCs w:val="20"/>
          <w:color w:val="auto"/>
        </w:rPr>
      </w:pPr>
    </w:p>
    <w:p>
      <w:pPr>
        <w:ind w:right="100" w:firstLine="629"/>
        <w:spacing w:after="0" w:line="267" w:lineRule="auto"/>
        <w:rPr>
          <w:sz w:val="20"/>
          <w:szCs w:val="20"/>
          <w:color w:val="auto"/>
        </w:rPr>
      </w:pPr>
      <w:r>
        <w:rPr>
          <w:rFonts w:ascii="Times New Roman" w:cs="Times New Roman" w:eastAsia="Times New Roman" w:hAnsi="Times New Roman"/>
          <w:sz w:val="17"/>
          <w:szCs w:val="17"/>
          <w:color w:val="auto"/>
        </w:rPr>
        <w:t>We have received confidential and proprietary information from third parties. In addition, we employ individuals who were previously employed at other biotechnology or pharmaceutical companies. We may be subject to claims that we or our employees, consultants or independent contractors have inadvertently or otherwise used or disclosed confidential information of these third parties or our employees’ former employers. Litigation may be necessary to defend against these claims. Even if we are successful in defending against these claims, litigation could result in substantial cost and be a distraction to our management and employees.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Common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price of our stock has been and may continue to be volatile, and you could lose all or part of your investment.</w:t>
      </w:r>
    </w:p>
    <w:p>
      <w:pPr>
        <w:spacing w:after="0" w:line="254" w:lineRule="exact"/>
        <w:rPr>
          <w:sz w:val="20"/>
          <w:szCs w:val="20"/>
          <w:color w:val="auto"/>
        </w:rPr>
      </w:pPr>
    </w:p>
    <w:p>
      <w:pPr>
        <w:jc w:val="both"/>
        <w:ind w:right="80" w:firstLine="629"/>
        <w:spacing w:after="0" w:line="276" w:lineRule="auto"/>
        <w:rPr>
          <w:sz w:val="20"/>
          <w:szCs w:val="20"/>
          <w:color w:val="auto"/>
        </w:rPr>
      </w:pPr>
      <w:r>
        <w:rPr>
          <w:rFonts w:ascii="Times New Roman" w:cs="Times New Roman" w:eastAsia="Times New Roman" w:hAnsi="Times New Roman"/>
          <w:sz w:val="17"/>
          <w:szCs w:val="17"/>
          <w:color w:val="auto"/>
        </w:rPr>
        <w:t>The trading price of our common stock following our IPO in October 2018 has been and is likely to continue to be highly volatile and could be subject to wide fluctuations in response to various factors, some of which are beyond our control, including limited trading volume. In addition to the factors discussed in this “Risk Factors” section, these factors include:</w:t>
      </w:r>
    </w:p>
    <w:p>
      <w:pPr>
        <w:spacing w:after="0" w:line="229" w:lineRule="exact"/>
        <w:rPr>
          <w:sz w:val="20"/>
          <w:szCs w:val="20"/>
          <w:color w:val="auto"/>
        </w:rPr>
      </w:pPr>
    </w:p>
    <w:p>
      <w:pPr>
        <w:ind w:left="640" w:right="120" w:hanging="321"/>
        <w:spacing w:after="0"/>
        <w:tabs>
          <w:tab w:leader="none" w:pos="635" w:val="left"/>
        </w:tabs>
        <w:numPr>
          <w:ilvl w:val="0"/>
          <w:numId w:val="45"/>
        </w:numPr>
        <w:rPr>
          <w:rFonts w:ascii="Arial" w:cs="Arial" w:eastAsia="Arial" w:hAnsi="Arial"/>
          <w:sz w:val="21"/>
          <w:szCs w:val="21"/>
          <w:color w:val="auto"/>
        </w:rPr>
      </w:pPr>
      <w:r>
        <w:rPr>
          <w:rFonts w:ascii="Times New Roman" w:cs="Times New Roman" w:eastAsia="Times New Roman" w:hAnsi="Times New Roman"/>
          <w:sz w:val="17"/>
          <w:szCs w:val="17"/>
          <w:color w:val="auto"/>
        </w:rPr>
        <w:t>the commencement, enrollment or results of our clinical trials of our product candidates or any future clinical trials we may conduct, or changes in the development status of our product candidates;</w:t>
      </w:r>
    </w:p>
    <w:p>
      <w:pPr>
        <w:spacing w:after="0" w:line="7" w:lineRule="exact"/>
        <w:rPr>
          <w:rFonts w:ascii="Arial" w:cs="Arial" w:eastAsia="Arial" w:hAnsi="Arial"/>
          <w:sz w:val="21"/>
          <w:szCs w:val="21"/>
          <w:color w:val="auto"/>
        </w:rPr>
      </w:pPr>
    </w:p>
    <w:p>
      <w:pPr>
        <w:ind w:left="620" w:hanging="301"/>
        <w:spacing w:after="0"/>
        <w:tabs>
          <w:tab w:leader="none" w:pos="620" w:val="left"/>
        </w:tabs>
        <w:numPr>
          <w:ilvl w:val="0"/>
          <w:numId w:val="45"/>
        </w:numPr>
        <w:rPr>
          <w:rFonts w:ascii="Arial" w:cs="Arial" w:eastAsia="Arial" w:hAnsi="Arial"/>
          <w:sz w:val="21"/>
          <w:szCs w:val="21"/>
          <w:color w:val="auto"/>
        </w:rPr>
      </w:pPr>
      <w:r>
        <w:rPr>
          <w:rFonts w:ascii="Times New Roman" w:cs="Times New Roman" w:eastAsia="Times New Roman" w:hAnsi="Times New Roman"/>
          <w:sz w:val="17"/>
          <w:szCs w:val="17"/>
          <w:color w:val="auto"/>
        </w:rPr>
        <w:t>our decision to initiate a clinical trial, not to initiate a clinical trial or to terminate an existing clinical trial;</w:t>
      </w:r>
    </w:p>
    <w:p>
      <w:pPr>
        <w:spacing w:after="0" w:line="13"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5"/>
        </w:numPr>
        <w:rPr>
          <w:rFonts w:ascii="Arial" w:cs="Arial" w:eastAsia="Arial" w:hAnsi="Arial"/>
          <w:sz w:val="21"/>
          <w:szCs w:val="21"/>
          <w:color w:val="auto"/>
        </w:rPr>
      </w:pPr>
      <w:r>
        <w:rPr>
          <w:rFonts w:ascii="Times New Roman" w:cs="Times New Roman" w:eastAsia="Times New Roman" w:hAnsi="Times New Roman"/>
          <w:sz w:val="17"/>
          <w:szCs w:val="17"/>
          <w:color w:val="auto"/>
        </w:rPr>
        <w:t>adverse results or delays in clinical trials;</w:t>
      </w:r>
    </w:p>
    <w:p>
      <w:pPr>
        <w:spacing w:after="0" w:line="34" w:lineRule="exact"/>
        <w:rPr>
          <w:rFonts w:ascii="Arial" w:cs="Arial" w:eastAsia="Arial" w:hAnsi="Arial"/>
          <w:sz w:val="21"/>
          <w:szCs w:val="21"/>
          <w:color w:val="auto"/>
        </w:rPr>
      </w:pPr>
    </w:p>
    <w:p>
      <w:pPr>
        <w:ind w:left="640" w:right="400" w:hanging="321"/>
        <w:spacing w:after="0" w:line="245" w:lineRule="auto"/>
        <w:tabs>
          <w:tab w:leader="none" w:pos="635" w:val="left"/>
        </w:tabs>
        <w:numPr>
          <w:ilvl w:val="0"/>
          <w:numId w:val="45"/>
        </w:numPr>
        <w:rPr>
          <w:rFonts w:ascii="Arial" w:cs="Arial" w:eastAsia="Arial" w:hAnsi="Arial"/>
          <w:sz w:val="21"/>
          <w:szCs w:val="21"/>
          <w:color w:val="auto"/>
        </w:rPr>
      </w:pPr>
      <w:r>
        <w:rPr>
          <w:rFonts w:ascii="Times New Roman" w:cs="Times New Roman" w:eastAsia="Times New Roman" w:hAnsi="Times New Roman"/>
          <w:sz w:val="17"/>
          <w:szCs w:val="17"/>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8" w:lineRule="exact"/>
        <w:rPr>
          <w:rFonts w:ascii="Arial" w:cs="Arial" w:eastAsia="Arial" w:hAnsi="Arial"/>
          <w:sz w:val="21"/>
          <w:szCs w:val="21"/>
          <w:color w:val="auto"/>
        </w:rPr>
      </w:pPr>
    </w:p>
    <w:p>
      <w:pPr>
        <w:ind w:left="620" w:hanging="301"/>
        <w:spacing w:after="0"/>
        <w:tabs>
          <w:tab w:leader="none" w:pos="620" w:val="left"/>
        </w:tabs>
        <w:numPr>
          <w:ilvl w:val="0"/>
          <w:numId w:val="45"/>
        </w:numPr>
        <w:rPr>
          <w:rFonts w:ascii="Arial" w:cs="Arial" w:eastAsia="Arial" w:hAnsi="Arial"/>
          <w:sz w:val="21"/>
          <w:szCs w:val="21"/>
          <w:color w:val="auto"/>
        </w:rPr>
      </w:pPr>
      <w:r>
        <w:rPr>
          <w:rFonts w:ascii="Times New Roman" w:cs="Times New Roman" w:eastAsia="Times New Roman" w:hAnsi="Times New Roman"/>
          <w:sz w:val="17"/>
          <w:szCs w:val="17"/>
          <w:color w:val="auto"/>
        </w:rPr>
        <w:t>our failure to commercialize our product candidates;</w:t>
      </w:r>
    </w:p>
    <w:p>
      <w:pPr>
        <w:spacing w:after="0" w:line="13"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5"/>
        </w:numPr>
        <w:rPr>
          <w:rFonts w:ascii="Arial" w:cs="Arial" w:eastAsia="Arial" w:hAnsi="Arial"/>
          <w:sz w:val="21"/>
          <w:szCs w:val="21"/>
          <w:color w:val="auto"/>
        </w:rPr>
      </w:pPr>
      <w:r>
        <w:rPr>
          <w:rFonts w:ascii="Times New Roman" w:cs="Times New Roman" w:eastAsia="Times New Roman" w:hAnsi="Times New Roman"/>
          <w:sz w:val="17"/>
          <w:szCs w:val="17"/>
          <w:color w:val="auto"/>
        </w:rPr>
        <w:t>adverse regulatory decisions;</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5"/>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laws or regulations applicable to our products, including but not limited to clinical trial requirements for approvals;</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5"/>
        </w:numPr>
        <w:rPr>
          <w:rFonts w:ascii="Arial" w:cs="Arial" w:eastAsia="Arial" w:hAnsi="Arial"/>
          <w:sz w:val="21"/>
          <w:szCs w:val="21"/>
          <w:color w:val="auto"/>
        </w:rPr>
      </w:pPr>
      <w:r>
        <w:rPr>
          <w:rFonts w:ascii="Times New Roman" w:cs="Times New Roman" w:eastAsia="Times New Roman" w:hAnsi="Times New Roman"/>
          <w:sz w:val="17"/>
          <w:szCs w:val="17"/>
          <w:color w:val="auto"/>
        </w:rPr>
        <w:t>adverse developments concerning the manufacture or supply of our product candidates;</w:t>
      </w:r>
    </w:p>
    <w:p>
      <w:pPr>
        <w:spacing w:after="0" w:line="20" w:lineRule="exact"/>
        <w:rPr>
          <w:rFonts w:ascii="Arial" w:cs="Arial" w:eastAsia="Arial" w:hAnsi="Arial"/>
          <w:sz w:val="21"/>
          <w:szCs w:val="21"/>
          <w:color w:val="auto"/>
        </w:rPr>
      </w:pPr>
    </w:p>
    <w:p>
      <w:pPr>
        <w:ind w:left="620" w:hanging="301"/>
        <w:spacing w:after="0"/>
        <w:tabs>
          <w:tab w:leader="none" w:pos="620" w:val="left"/>
        </w:tabs>
        <w:numPr>
          <w:ilvl w:val="0"/>
          <w:numId w:val="45"/>
        </w:numPr>
        <w:rPr>
          <w:rFonts w:ascii="Arial" w:cs="Arial" w:eastAsia="Arial" w:hAnsi="Arial"/>
          <w:sz w:val="21"/>
          <w:szCs w:val="21"/>
          <w:color w:val="auto"/>
        </w:rPr>
      </w:pPr>
      <w:r>
        <w:rPr>
          <w:rFonts w:ascii="Times New Roman" w:cs="Times New Roman" w:eastAsia="Times New Roman" w:hAnsi="Times New Roman"/>
          <w:sz w:val="17"/>
          <w:szCs w:val="17"/>
          <w:color w:val="auto"/>
        </w:rPr>
        <w:t>our inability to obtain adequate product supply for any approved product or inability to do so at acceptable prices;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ind w:left="620" w:hanging="301"/>
        <w:spacing w:after="0"/>
        <w:tabs>
          <w:tab w:leader="none" w:pos="62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7"/>
          <w:szCs w:val="17"/>
          <w:color w:val="auto"/>
        </w:rPr>
        <w:t>our inability to establish collaborations if needed;</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7"/>
          <w:szCs w:val="17"/>
          <w:color w:val="auto"/>
        </w:rPr>
        <w:t>additions or departures of key scientific or management personnel;</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7"/>
          <w:szCs w:val="17"/>
          <w:color w:val="auto"/>
        </w:rPr>
        <w:t>unanticipated serious safety concerns related to immuno-oncology or related to the use of our product candidates or pre-conditioning regimen;</w:t>
      </w:r>
    </w:p>
    <w:p>
      <w:pPr>
        <w:spacing w:after="0" w:line="20" w:lineRule="exact"/>
        <w:rPr>
          <w:rFonts w:ascii="Arial" w:cs="Arial" w:eastAsia="Arial" w:hAnsi="Arial"/>
          <w:sz w:val="21"/>
          <w:szCs w:val="21"/>
          <w:color w:val="auto"/>
        </w:rPr>
      </w:pPr>
    </w:p>
    <w:p>
      <w:pPr>
        <w:ind w:left="620" w:hanging="301"/>
        <w:spacing w:after="0"/>
        <w:tabs>
          <w:tab w:leader="none" w:pos="62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7"/>
          <w:szCs w:val="17"/>
          <w:color w:val="auto"/>
        </w:rPr>
        <w:t>introduction of new products or services offered by us or our competitors;</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the status of one or more of our license or collaboration agreements, including any material disputes, amendments or terminations;</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7"/>
          <w:szCs w:val="17"/>
          <w:color w:val="auto"/>
        </w:rPr>
        <w:t>announcements of significant acquisitions, strategic partnerships, joint ventures or capital commitments by us or our competitors;</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effectively manage our growth;</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7"/>
          <w:szCs w:val="17"/>
          <w:color w:val="auto"/>
        </w:rPr>
        <w:t>the size and growth of our initial cancer target markets;</w:t>
      </w:r>
    </w:p>
    <w:p>
      <w:pPr>
        <w:spacing w:after="0" w:line="20" w:lineRule="exact"/>
        <w:rPr>
          <w:rFonts w:ascii="Arial" w:cs="Arial" w:eastAsia="Arial" w:hAnsi="Arial"/>
          <w:sz w:val="21"/>
          <w:szCs w:val="21"/>
          <w:color w:val="auto"/>
        </w:rPr>
      </w:pPr>
    </w:p>
    <w:p>
      <w:pPr>
        <w:ind w:left="620" w:hanging="301"/>
        <w:spacing w:after="0"/>
        <w:tabs>
          <w:tab w:leader="none" w:pos="62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successfully treat additional types of cancers or at different stages;</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7"/>
          <w:szCs w:val="17"/>
          <w:color w:val="auto"/>
        </w:rPr>
        <w:t>actual or anticipated variations in quarterly operating results;</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7"/>
          <w:szCs w:val="17"/>
          <w:color w:val="auto"/>
        </w:rPr>
        <w:t>our cash position;</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7"/>
          <w:szCs w:val="17"/>
          <w:color w:val="auto"/>
        </w:rPr>
        <w:t>our failure to meet the estimates and projections of the investment community or that we may otherwise provide to the public;</w:t>
      </w:r>
    </w:p>
    <w:p>
      <w:pPr>
        <w:spacing w:after="0" w:line="21" w:lineRule="exact"/>
        <w:rPr>
          <w:rFonts w:ascii="Arial" w:cs="Arial" w:eastAsia="Arial" w:hAnsi="Arial"/>
          <w:sz w:val="21"/>
          <w:szCs w:val="21"/>
          <w:color w:val="auto"/>
        </w:rPr>
      </w:pPr>
    </w:p>
    <w:p>
      <w:pPr>
        <w:ind w:left="640" w:right="380" w:hanging="321"/>
        <w:spacing w:after="0"/>
        <w:tabs>
          <w:tab w:leader="none" w:pos="635"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7"/>
          <w:szCs w:val="17"/>
          <w:color w:val="auto"/>
        </w:rPr>
        <w:t>publication of research reports about us or our industry, or immunotherapy in particular, or positive or negative recommendations or withdrawal of research coverage by securities analysts;</w:t>
      </w:r>
    </w:p>
    <w:p>
      <w:pPr>
        <w:spacing w:after="0" w:line="7" w:lineRule="exact"/>
        <w:rPr>
          <w:rFonts w:ascii="Arial" w:cs="Arial" w:eastAsia="Arial" w:hAnsi="Arial"/>
          <w:sz w:val="21"/>
          <w:szCs w:val="21"/>
          <w:color w:val="auto"/>
        </w:rPr>
      </w:pPr>
    </w:p>
    <w:p>
      <w:pPr>
        <w:ind w:left="620" w:hanging="301"/>
        <w:spacing w:after="0"/>
        <w:tabs>
          <w:tab w:leader="none" w:pos="62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the market valuations of similar companies;</w:t>
      </w:r>
    </w:p>
    <w:p>
      <w:pPr>
        <w:spacing w:after="0" w:line="20" w:lineRule="exact"/>
        <w:rPr>
          <w:rFonts w:ascii="Arial" w:cs="Arial" w:eastAsia="Arial" w:hAnsi="Arial"/>
          <w:sz w:val="21"/>
          <w:szCs w:val="21"/>
          <w:color w:val="auto"/>
        </w:rPr>
      </w:pPr>
    </w:p>
    <w:p>
      <w:pPr>
        <w:ind w:left="620" w:hanging="301"/>
        <w:spacing w:after="0"/>
        <w:tabs>
          <w:tab w:leader="none" w:pos="62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7"/>
          <w:szCs w:val="17"/>
          <w:color w:val="auto"/>
        </w:rPr>
        <w:t>overall performance of the equity markets;</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7"/>
          <w:szCs w:val="17"/>
          <w:color w:val="auto"/>
        </w:rPr>
        <w:t>sales of our common stock by us or our stockholders in the future;</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7"/>
          <w:szCs w:val="17"/>
          <w:color w:val="auto"/>
        </w:rPr>
        <w:t>trading volume of our common stock;</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accounting practices;</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7"/>
          <w:szCs w:val="17"/>
          <w:color w:val="auto"/>
        </w:rPr>
        <w:t>ineffectiveness of our disclosure controls or internal controls;</w:t>
      </w:r>
    </w:p>
    <w:p>
      <w:pPr>
        <w:spacing w:after="0" w:line="20" w:lineRule="exact"/>
        <w:rPr>
          <w:rFonts w:ascii="Arial" w:cs="Arial" w:eastAsia="Arial" w:hAnsi="Arial"/>
          <w:sz w:val="21"/>
          <w:szCs w:val="21"/>
          <w:color w:val="auto"/>
        </w:rPr>
      </w:pPr>
    </w:p>
    <w:p>
      <w:pPr>
        <w:ind w:left="620" w:hanging="301"/>
        <w:spacing w:after="0"/>
        <w:tabs>
          <w:tab w:leader="none" w:pos="62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7"/>
          <w:szCs w:val="17"/>
          <w:color w:val="auto"/>
        </w:rPr>
        <w:t>disagreements with our auditor or termination of an auditor engagement;</w:t>
      </w:r>
    </w:p>
    <w:p>
      <w:pPr>
        <w:spacing w:after="0" w:line="21" w:lineRule="exact"/>
        <w:rPr>
          <w:rFonts w:ascii="Arial" w:cs="Arial" w:eastAsia="Arial" w:hAnsi="Arial"/>
          <w:sz w:val="21"/>
          <w:szCs w:val="21"/>
          <w:color w:val="auto"/>
        </w:rPr>
      </w:pPr>
    </w:p>
    <w:p>
      <w:pPr>
        <w:ind w:left="640" w:right="400" w:hanging="321"/>
        <w:spacing w:after="0"/>
        <w:tabs>
          <w:tab w:leader="none" w:pos="635"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7"/>
          <w:szCs w:val="17"/>
          <w:color w:val="auto"/>
        </w:rPr>
        <w:t>disputes or other developments relating to proprietary rights, including patents, litigation matters and our ability to obtain patent protection for our technologies;</w:t>
      </w:r>
    </w:p>
    <w:p>
      <w:pPr>
        <w:spacing w:after="0" w:line="7" w:lineRule="exact"/>
        <w:rPr>
          <w:rFonts w:ascii="Arial" w:cs="Arial" w:eastAsia="Arial" w:hAnsi="Arial"/>
          <w:sz w:val="21"/>
          <w:szCs w:val="21"/>
          <w:color w:val="auto"/>
        </w:rPr>
      </w:pPr>
    </w:p>
    <w:p>
      <w:pPr>
        <w:ind w:left="620" w:hanging="301"/>
        <w:spacing w:after="0"/>
        <w:tabs>
          <w:tab w:leader="none" w:pos="62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7"/>
          <w:szCs w:val="17"/>
          <w:color w:val="auto"/>
        </w:rPr>
        <w:t>changes in the structure of healthcare payment systems;</w:t>
      </w:r>
    </w:p>
    <w:p>
      <w:pPr>
        <w:spacing w:after="0" w:line="13"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7"/>
          <w:szCs w:val="17"/>
          <w:color w:val="auto"/>
        </w:rPr>
        <w:t>significant lawsuits, including patent or stockholder litigation;</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7"/>
          <w:szCs w:val="17"/>
          <w:color w:val="auto"/>
        </w:rPr>
        <w:t>significant business disruptions caused by health epidemics or pandemics, or natural or man-made disasters;</w:t>
      </w:r>
    </w:p>
    <w:p>
      <w:pPr>
        <w:spacing w:after="0" w:line="20" w:lineRule="exact"/>
        <w:rPr>
          <w:rFonts w:ascii="Arial" w:cs="Arial" w:eastAsia="Arial" w:hAnsi="Arial"/>
          <w:sz w:val="21"/>
          <w:szCs w:val="21"/>
          <w:color w:val="auto"/>
        </w:rPr>
      </w:pPr>
    </w:p>
    <w:p>
      <w:pPr>
        <w:ind w:left="620" w:hanging="301"/>
        <w:spacing w:after="0"/>
        <w:tabs>
          <w:tab w:leader="none" w:pos="62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7"/>
          <w:szCs w:val="17"/>
          <w:color w:val="auto"/>
        </w:rPr>
        <w:t>general political and economic conditions; and</w:t>
      </w:r>
    </w:p>
    <w:p>
      <w:pPr>
        <w:spacing w:after="0" w:line="13"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6"/>
        </w:numPr>
        <w:rPr>
          <w:rFonts w:ascii="Arial" w:cs="Arial" w:eastAsia="Arial" w:hAnsi="Arial"/>
          <w:sz w:val="21"/>
          <w:szCs w:val="21"/>
          <w:color w:val="auto"/>
        </w:rPr>
      </w:pPr>
      <w:r>
        <w:rPr>
          <w:rFonts w:ascii="Times New Roman" w:cs="Times New Roman" w:eastAsia="Times New Roman" w:hAnsi="Times New Roman"/>
          <w:sz w:val="17"/>
          <w:szCs w:val="17"/>
          <w:color w:val="auto"/>
        </w:rPr>
        <w:t>other events or factors, many of which are beyond our control.</w:t>
      </w:r>
    </w:p>
    <w:p>
      <w:pPr>
        <w:spacing w:after="0" w:line="218" w:lineRule="exact"/>
        <w:rPr>
          <w:sz w:val="20"/>
          <w:szCs w:val="20"/>
          <w:color w:val="auto"/>
        </w:rPr>
      </w:pPr>
    </w:p>
    <w:p>
      <w:pPr>
        <w:ind w:right="120" w:firstLine="629"/>
        <w:spacing w:after="0" w:line="266" w:lineRule="auto"/>
        <w:rPr>
          <w:sz w:val="20"/>
          <w:szCs w:val="20"/>
          <w:color w:val="auto"/>
        </w:rPr>
      </w:pPr>
      <w:r>
        <w:rPr>
          <w:rFonts w:ascii="Times New Roman" w:cs="Times New Roman" w:eastAsia="Times New Roman" w:hAnsi="Times New Roman"/>
          <w:sz w:val="17"/>
          <w:szCs w:val="17"/>
          <w:color w:val="auto"/>
        </w:rPr>
        <w:t>In addition, the stock market in general, and the Nasdaq Global Select Market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operating results or financial condition.</w:t>
      </w:r>
    </w:p>
    <w:p>
      <w:pPr>
        <w:spacing w:after="0" w:line="200" w:lineRule="exact"/>
        <w:rPr>
          <w:sz w:val="20"/>
          <w:szCs w:val="20"/>
          <w:color w:val="auto"/>
        </w:rPr>
      </w:pPr>
    </w:p>
    <w:p>
      <w:pPr>
        <w:spacing w:after="0" w:line="206"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failure to establish and maintain effective internal control over financial reporting could result in material misstatements in our financial statements, our failure to meet our reporting obligations and cause investors to lose confidence in our reported financial information, which in turn could cause the trading price of our common stock to decline</w:t>
      </w:r>
      <w:r>
        <w:rPr>
          <w:rFonts w:ascii="Times New Roman" w:cs="Times New Roman" w:eastAsia="Times New Roman" w:hAnsi="Times New Roman"/>
          <w:sz w:val="17"/>
          <w:szCs w:val="17"/>
          <w:color w:val="auto"/>
        </w:rPr>
        <w:t>.</w:t>
      </w:r>
    </w:p>
    <w:p>
      <w:pPr>
        <w:spacing w:after="0" w:line="187"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Maintaining effective disclosure controls and procedures and internal control over financial reporting are necessary for us to produce reliable financial statements. We are required, pursuant to Section 404 (Section 404) of the Sarbanes-Oxley Act of 2002 (Sarbanes-Oxley Act), to furnish a report by management on, among other things, the effectiveness of our internal control over financial reporting. Complying with Section 404 requires a rigorous compliance program as well as adequate time and resources. We may not be able to complete our internal control evaluation, testing and any required remediation in a timely fashion. Additionally, if we or our auditors identify one or more material weaknesses in our internal control over financial</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right="200"/>
        <w:spacing w:after="0" w:line="276" w:lineRule="auto"/>
        <w:rPr>
          <w:sz w:val="20"/>
          <w:szCs w:val="20"/>
          <w:color w:val="auto"/>
        </w:rPr>
      </w:pPr>
      <w:r>
        <w:rPr>
          <w:rFonts w:ascii="Times New Roman" w:cs="Times New Roman" w:eastAsia="Times New Roman" w:hAnsi="Times New Roman"/>
          <w:sz w:val="17"/>
          <w:szCs w:val="17"/>
          <w:color w:val="auto"/>
        </w:rPr>
        <w:t>reporting, we will not be able to assert that our internal controls are effective. 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90" w:lineRule="exact"/>
        <w:rPr>
          <w:sz w:val="20"/>
          <w:szCs w:val="20"/>
          <w:color w:val="auto"/>
        </w:rPr>
      </w:pPr>
    </w:p>
    <w:p>
      <w:pPr>
        <w:ind w:right="140" w:firstLine="629"/>
        <w:spacing w:after="0" w:line="267" w:lineRule="auto"/>
        <w:rPr>
          <w:sz w:val="20"/>
          <w:szCs w:val="20"/>
          <w:color w:val="auto"/>
        </w:rPr>
      </w:pPr>
      <w:r>
        <w:rPr>
          <w:rFonts w:ascii="Times New Roman" w:cs="Times New Roman" w:eastAsia="Times New Roman" w:hAnsi="Times New Roman"/>
          <w:sz w:val="17"/>
          <w:szCs w:val="17"/>
          <w:color w:val="auto"/>
        </w:rPr>
        <w:t>In 2021, we implemented a new enterprise resource planning (ERP) system, which required the investment of significant financial and human resources. We plan to continue to implement new ERP modules, which we also expect will require significant resources. Any failure to maintain or implement new or improved internal controls related to our ERP system or otherwise could result in material weaknesses, result in material misstatements in our consolidated financial statements and cause us to fail to meet our reporting obligations. This could cause us to lose public confidence and could cause the trading price of our common stock to decline.</w:t>
      </w:r>
    </w:p>
    <w:p>
      <w:pPr>
        <w:spacing w:after="0" w:line="196" w:lineRule="exact"/>
        <w:rPr>
          <w:sz w:val="20"/>
          <w:szCs w:val="20"/>
          <w:color w:val="auto"/>
        </w:rPr>
      </w:pPr>
    </w:p>
    <w:p>
      <w:pPr>
        <w:ind w:right="60" w:firstLine="629"/>
        <w:spacing w:after="0" w:line="270" w:lineRule="auto"/>
        <w:rPr>
          <w:sz w:val="20"/>
          <w:szCs w:val="20"/>
          <w:color w:val="auto"/>
        </w:rPr>
      </w:pPr>
      <w:r>
        <w:rPr>
          <w:rFonts w:ascii="Times New Roman" w:cs="Times New Roman" w:eastAsia="Times New Roman" w:hAnsi="Times New Roman"/>
          <w:sz w:val="17"/>
          <w:szCs w:val="17"/>
          <w:color w:val="auto"/>
        </w:rPr>
        <w:t>For so long as we remain a non-accelerated filer, our independent registered public accounting firm will not be required to attest to the effectiveness of our internal control over financial reporting pursuant to Section 404(b) of the Sarbanes-Oxley Act. An independent assessment of the effectiveness of our internal control over financial reporting could detect problems that our management’s assessment might not. Undetected material weaknesses in our internal control over financial reporting could lead to financial statement restatements and require us to incur the expense of remediation.</w:t>
      </w:r>
    </w:p>
    <w:p>
      <w:pPr>
        <w:spacing w:after="0" w:line="190" w:lineRule="exact"/>
        <w:rPr>
          <w:sz w:val="20"/>
          <w:szCs w:val="20"/>
          <w:color w:val="auto"/>
        </w:rPr>
      </w:pPr>
    </w:p>
    <w:p>
      <w:pPr>
        <w:ind w:right="4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have identified a material weakness in our internal control over financial reporting. This material weakness could continue to adversely affect our ability to report our results of operations and financial condition accurately and in a timely manner.*</w:t>
      </w:r>
    </w:p>
    <w:p>
      <w:pPr>
        <w:spacing w:after="0" w:line="169" w:lineRule="exact"/>
        <w:rPr>
          <w:sz w:val="20"/>
          <w:szCs w:val="20"/>
          <w:color w:val="auto"/>
        </w:rPr>
      </w:pPr>
    </w:p>
    <w:p>
      <w:pPr>
        <w:ind w:firstLine="712"/>
        <w:spacing w:after="0" w:line="265"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98" w:lineRule="exact"/>
        <w:rPr>
          <w:sz w:val="20"/>
          <w:szCs w:val="20"/>
          <w:color w:val="auto"/>
        </w:rPr>
      </w:pPr>
    </w:p>
    <w:p>
      <w:pPr>
        <w:ind w:right="40" w:firstLine="712"/>
        <w:spacing w:after="0" w:line="276" w:lineRule="auto"/>
        <w:rPr>
          <w:sz w:val="20"/>
          <w:szCs w:val="20"/>
          <w:color w:val="auto"/>
        </w:rPr>
      </w:pPr>
      <w:r>
        <w:rPr>
          <w:rFonts w:ascii="Times New Roman" w:cs="Times New Roman" w:eastAsia="Times New Roman" w:hAnsi="Times New Roman"/>
          <w:sz w:val="17"/>
          <w:szCs w:val="17"/>
          <w:color w:val="auto"/>
        </w:rPr>
        <w:t>As described elsewhere in this Quarterly Report, we have identified a material weakness in our internal control over financial reporting. As a result of this material weakness, our management has concluded that our internal control over financial reporting was not effective as of September 30, 2024. For a discussion of management’s consideration of the material weakness identified, see Part I Item 4: Controls and Procedures included in this Quarterly Report.</w:t>
      </w:r>
    </w:p>
    <w:p>
      <w:pPr>
        <w:spacing w:after="0" w:line="190" w:lineRule="exact"/>
        <w:rPr>
          <w:sz w:val="20"/>
          <w:szCs w:val="20"/>
          <w:color w:val="auto"/>
        </w:rPr>
      </w:pPr>
    </w:p>
    <w:p>
      <w:pPr>
        <w:ind w:firstLine="712"/>
        <w:spacing w:after="0" w:line="266" w:lineRule="auto"/>
        <w:rPr>
          <w:sz w:val="20"/>
          <w:szCs w:val="20"/>
          <w:color w:val="auto"/>
        </w:rPr>
      </w:pPr>
      <w:r>
        <w:rPr>
          <w:rFonts w:ascii="Times New Roman" w:cs="Times New Roman" w:eastAsia="Times New Roman" w:hAnsi="Times New Roman"/>
          <w:sz w:val="17"/>
          <w:szCs w:val="17"/>
          <w:color w:val="auto"/>
        </w:rPr>
        <w:t>To respond to this material weakness, we are devoting significant effort and resources to the remediation and improvement of our internal control over financial reporting. While we have processes to identify and appropriately apply applicable accounting requirements, we continue to enhance these processes to better evaluate our research and understanding of the nuances of the complex accounting standards that apply to our financial statements, which include retaining third-party subject matter experts with significant relevant experience to help with accounting treatment of significant non-routine transactions. The elements of our remediation plan can only be accomplished over time, and we can offer no assurance that these initiatives will ultimately have the intended effects.</w:t>
      </w:r>
    </w:p>
    <w:p>
      <w:pPr>
        <w:spacing w:after="0" w:line="200" w:lineRule="exact"/>
        <w:rPr>
          <w:sz w:val="20"/>
          <w:szCs w:val="20"/>
          <w:color w:val="auto"/>
        </w:rPr>
      </w:pPr>
    </w:p>
    <w:p>
      <w:pPr>
        <w:spacing w:after="0" w:line="210" w:lineRule="exact"/>
        <w:rPr>
          <w:sz w:val="20"/>
          <w:szCs w:val="20"/>
          <w:color w:val="auto"/>
        </w:rPr>
      </w:pPr>
    </w:p>
    <w:p>
      <w:pPr>
        <w:ind w:firstLine="712"/>
        <w:spacing w:after="0" w:line="266" w:lineRule="auto"/>
        <w:rPr>
          <w:sz w:val="20"/>
          <w:szCs w:val="20"/>
          <w:color w:val="auto"/>
        </w:rPr>
      </w:pPr>
      <w:r>
        <w:rPr>
          <w:rFonts w:ascii="Times New Roman" w:cs="Times New Roman" w:eastAsia="Times New Roman" w:hAnsi="Times New Roman"/>
          <w:sz w:val="17"/>
          <w:szCs w:val="17"/>
          <w:color w:val="auto"/>
        </w:rPr>
        <w:t>Any failure to maintain such internal control could adversely impact our ability to report our financial position and results from operations on a timely and accurate basis. If our financial statements are not accurate, investors may not have a complete understanding of our operations. Likewise, if our financial statements are not filed on a timely basis, we could be subject to sanctions or investigations by the stock exchange on which our common stock is listed, the SEC or other regulatory authorities. In either case, a material adverse effect on our business could be the result of ineffective internal controls. Ineffective internal controls could also cause investors to lose confidence in our reported financial information, which could have a negative effect on the trading price of our stock.</w:t>
      </w:r>
    </w:p>
    <w:p>
      <w:pPr>
        <w:spacing w:after="0" w:line="200" w:lineRule="exact"/>
        <w:rPr>
          <w:sz w:val="20"/>
          <w:szCs w:val="20"/>
          <w:color w:val="auto"/>
        </w:rPr>
      </w:pPr>
    </w:p>
    <w:p>
      <w:pPr>
        <w:spacing w:after="0" w:line="210" w:lineRule="exact"/>
        <w:rPr>
          <w:sz w:val="20"/>
          <w:szCs w:val="20"/>
          <w:color w:val="auto"/>
        </w:rPr>
      </w:pPr>
    </w:p>
    <w:p>
      <w:pPr>
        <w:ind w:right="40" w:firstLine="712"/>
        <w:spacing w:after="0" w:line="270" w:lineRule="auto"/>
        <w:rPr>
          <w:sz w:val="20"/>
          <w:szCs w:val="20"/>
          <w:color w:val="auto"/>
        </w:rPr>
      </w:pPr>
      <w:r>
        <w:rPr>
          <w:rFonts w:ascii="Times New Roman" w:cs="Times New Roman" w:eastAsia="Times New Roman" w:hAnsi="Times New Roman"/>
          <w:sz w:val="17"/>
          <w:szCs w:val="17"/>
          <w:color w:val="auto"/>
        </w:rPr>
        <w:t>We can give no assurance that the measures we are implementing will remediate the material weakness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on our common stock so any returns will be limited to the value of our stock.</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40" w:firstLine="629"/>
        <w:spacing w:after="0" w:line="276" w:lineRule="auto"/>
        <w:rPr>
          <w:sz w:val="20"/>
          <w:szCs w:val="20"/>
          <w:color w:val="auto"/>
        </w:rPr>
      </w:pPr>
      <w:r>
        <w:rPr>
          <w:rFonts w:ascii="Times New Roman" w:cs="Times New Roman" w:eastAsia="Times New Roman" w:hAnsi="Times New Roman"/>
          <w:sz w:val="17"/>
          <w:szCs w:val="17"/>
          <w:color w:val="auto"/>
        </w:rPr>
        <w:t>We currently anticipate that we will retain any future cash flow or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86"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69" w:lineRule="exact"/>
        <w:rPr>
          <w:sz w:val="20"/>
          <w:szCs w:val="20"/>
          <w:color w:val="auto"/>
        </w:rPr>
      </w:pPr>
    </w:p>
    <w:p>
      <w:pPr>
        <w:ind w:right="360" w:firstLine="629"/>
        <w:spacing w:after="0" w:line="296"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198" w:lineRule="exact"/>
        <w:rPr>
          <w:sz w:val="20"/>
          <w:szCs w:val="20"/>
          <w:color w:val="auto"/>
        </w:rPr>
      </w:pPr>
    </w:p>
    <w:p>
      <w:pPr>
        <w:ind w:left="620" w:hanging="301"/>
        <w:spacing w:after="0"/>
        <w:tabs>
          <w:tab w:leader="none" w:pos="620" w:val="left"/>
        </w:tabs>
        <w:numPr>
          <w:ilvl w:val="0"/>
          <w:numId w:val="47"/>
        </w:numPr>
        <w:rPr>
          <w:rFonts w:ascii="Arial" w:cs="Arial" w:eastAsia="Arial" w:hAnsi="Arial"/>
          <w:sz w:val="21"/>
          <w:szCs w:val="21"/>
          <w:color w:val="auto"/>
        </w:rPr>
      </w:pPr>
      <w:r>
        <w:rPr>
          <w:rFonts w:ascii="Times New Roman" w:cs="Times New Roman" w:eastAsia="Times New Roman" w:hAnsi="Times New Roman"/>
          <w:sz w:val="17"/>
          <w:szCs w:val="17"/>
          <w:color w:val="auto"/>
        </w:rPr>
        <w:t>a board of directors divided into three classes serving staggered three-year terms, such that not all members of the board will be elected at one time;</w:t>
      </w:r>
    </w:p>
    <w:p>
      <w:pPr>
        <w:spacing w:after="0" w:line="14" w:lineRule="exact"/>
        <w:rPr>
          <w:rFonts w:ascii="Arial" w:cs="Arial" w:eastAsia="Arial" w:hAnsi="Arial"/>
          <w:sz w:val="21"/>
          <w:szCs w:val="21"/>
          <w:color w:val="auto"/>
        </w:rPr>
      </w:pPr>
    </w:p>
    <w:p>
      <w:pPr>
        <w:ind w:left="620" w:hanging="301"/>
        <w:spacing w:after="0" w:line="233" w:lineRule="auto"/>
        <w:tabs>
          <w:tab w:leader="none" w:pos="620" w:val="left"/>
        </w:tabs>
        <w:numPr>
          <w:ilvl w:val="0"/>
          <w:numId w:val="47"/>
        </w:numPr>
        <w:rPr>
          <w:rFonts w:ascii="Arial" w:cs="Arial" w:eastAsia="Arial" w:hAnsi="Arial"/>
          <w:sz w:val="21"/>
          <w:szCs w:val="21"/>
          <w:color w:val="auto"/>
        </w:rPr>
      </w:pPr>
      <w:r>
        <w:rPr>
          <w:rFonts w:ascii="Times New Roman" w:cs="Times New Roman" w:eastAsia="Times New Roman" w:hAnsi="Times New Roman"/>
          <w:sz w:val="17"/>
          <w:szCs w:val="17"/>
          <w:color w:val="auto"/>
        </w:rPr>
        <w:t>a prohibition on stockholder action through written consent, which requires that all stockholder actions be taken at a meeting of our stockholders;</w:t>
      </w:r>
    </w:p>
    <w:p>
      <w:pPr>
        <w:spacing w:after="0" w:line="21" w:lineRule="exact"/>
        <w:rPr>
          <w:rFonts w:ascii="Arial" w:cs="Arial" w:eastAsia="Arial" w:hAnsi="Arial"/>
          <w:sz w:val="21"/>
          <w:szCs w:val="21"/>
          <w:color w:val="auto"/>
        </w:rPr>
      </w:pPr>
    </w:p>
    <w:p>
      <w:pPr>
        <w:ind w:left="640" w:right="80" w:hanging="321"/>
        <w:spacing w:after="0" w:line="247" w:lineRule="auto"/>
        <w:tabs>
          <w:tab w:leader="none" w:pos="635" w:val="left"/>
        </w:tabs>
        <w:numPr>
          <w:ilvl w:val="0"/>
          <w:numId w:val="47"/>
        </w:numPr>
        <w:rPr>
          <w:rFonts w:ascii="Arial" w:cs="Arial" w:eastAsia="Arial" w:hAnsi="Arial"/>
          <w:sz w:val="21"/>
          <w:szCs w:val="21"/>
          <w:color w:val="auto"/>
        </w:rPr>
      </w:pPr>
      <w:r>
        <w:rPr>
          <w:rFonts w:ascii="Times New Roman" w:cs="Times New Roman" w:eastAsia="Times New Roman" w:hAnsi="Times New Roman"/>
          <w:sz w:val="17"/>
          <w:szCs w:val="17"/>
          <w:color w:val="auto"/>
        </w:rPr>
        <w:t>a requirement that special meetings of stockholders be called only by the chair of the board of directors, the chief executive officer, or by a majority of the total number of authorized directors;</w:t>
      </w:r>
    </w:p>
    <w:p>
      <w:pPr>
        <w:spacing w:after="0" w:line="7" w:lineRule="exact"/>
        <w:rPr>
          <w:rFonts w:ascii="Arial" w:cs="Arial" w:eastAsia="Arial" w:hAnsi="Arial"/>
          <w:sz w:val="21"/>
          <w:szCs w:val="21"/>
          <w:color w:val="auto"/>
        </w:rPr>
      </w:pPr>
    </w:p>
    <w:p>
      <w:pPr>
        <w:ind w:left="620" w:hanging="301"/>
        <w:spacing w:after="0"/>
        <w:tabs>
          <w:tab w:leader="none" w:pos="620" w:val="left"/>
        </w:tabs>
        <w:numPr>
          <w:ilvl w:val="0"/>
          <w:numId w:val="47"/>
        </w:numPr>
        <w:rPr>
          <w:rFonts w:ascii="Arial" w:cs="Arial" w:eastAsia="Arial" w:hAnsi="Arial"/>
          <w:sz w:val="21"/>
          <w:szCs w:val="21"/>
          <w:color w:val="auto"/>
        </w:rPr>
      </w:pPr>
      <w:r>
        <w:rPr>
          <w:rFonts w:ascii="Times New Roman" w:cs="Times New Roman" w:eastAsia="Times New Roman" w:hAnsi="Times New Roman"/>
          <w:sz w:val="17"/>
          <w:szCs w:val="17"/>
          <w:color w:val="auto"/>
        </w:rPr>
        <w:t>advance notice requirements for stockholder proposals and nominations for election to our board of directors;</w:t>
      </w:r>
    </w:p>
    <w:p>
      <w:pPr>
        <w:spacing w:after="0" w:line="21" w:lineRule="exact"/>
        <w:rPr>
          <w:rFonts w:ascii="Arial" w:cs="Arial" w:eastAsia="Arial" w:hAnsi="Arial"/>
          <w:sz w:val="21"/>
          <w:szCs w:val="21"/>
          <w:color w:val="auto"/>
        </w:rPr>
      </w:pPr>
    </w:p>
    <w:p>
      <w:pPr>
        <w:ind w:left="640" w:right="80" w:hanging="321"/>
        <w:spacing w:after="0" w:line="245" w:lineRule="auto"/>
        <w:tabs>
          <w:tab w:leader="none" w:pos="635" w:val="left"/>
        </w:tabs>
        <w:numPr>
          <w:ilvl w:val="0"/>
          <w:numId w:val="47"/>
        </w:numPr>
        <w:rPr>
          <w:rFonts w:ascii="Arial" w:cs="Arial" w:eastAsia="Arial" w:hAnsi="Arial"/>
          <w:sz w:val="21"/>
          <w:szCs w:val="21"/>
          <w:color w:val="auto"/>
        </w:rPr>
      </w:pPr>
      <w:r>
        <w:rPr>
          <w:rFonts w:ascii="Times New Roman" w:cs="Times New Roman" w:eastAsia="Times New Roman" w:hAnsi="Times New Roman"/>
          <w:sz w:val="17"/>
          <w:szCs w:val="17"/>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22" w:lineRule="exact"/>
        <w:rPr>
          <w:rFonts w:ascii="Arial" w:cs="Arial" w:eastAsia="Arial" w:hAnsi="Arial"/>
          <w:sz w:val="21"/>
          <w:szCs w:val="21"/>
          <w:color w:val="auto"/>
        </w:rPr>
      </w:pPr>
    </w:p>
    <w:p>
      <w:pPr>
        <w:ind w:left="640" w:right="360" w:hanging="321"/>
        <w:spacing w:after="0"/>
        <w:tabs>
          <w:tab w:leader="none" w:pos="635" w:val="left"/>
        </w:tabs>
        <w:numPr>
          <w:ilvl w:val="0"/>
          <w:numId w:val="47"/>
        </w:numPr>
        <w:rPr>
          <w:rFonts w:ascii="Arial" w:cs="Arial" w:eastAsia="Arial" w:hAnsi="Arial"/>
          <w:sz w:val="21"/>
          <w:szCs w:val="21"/>
          <w:color w:val="auto"/>
        </w:rPr>
      </w:pPr>
      <w:r>
        <w:rPr>
          <w:rFonts w:ascii="Times New Roman" w:cs="Times New Roman" w:eastAsia="Times New Roman" w:hAnsi="Times New Roman"/>
          <w:sz w:val="17"/>
          <w:szCs w:val="17"/>
          <w:color w:val="auto"/>
        </w:rPr>
        <w:t>a requirement of approval of not less than two-thirds of all outstanding shares of our voting stock to amend any bylaws by stockholder action or to amend specific provisions of our certificate of incorporation; and</w:t>
      </w:r>
    </w:p>
    <w:p>
      <w:pPr>
        <w:spacing w:after="0" w:line="21" w:lineRule="exact"/>
        <w:rPr>
          <w:rFonts w:ascii="Arial" w:cs="Arial" w:eastAsia="Arial" w:hAnsi="Arial"/>
          <w:sz w:val="21"/>
          <w:szCs w:val="21"/>
          <w:color w:val="auto"/>
        </w:rPr>
      </w:pPr>
    </w:p>
    <w:p>
      <w:pPr>
        <w:ind w:left="640" w:right="220" w:hanging="321"/>
        <w:spacing w:after="0"/>
        <w:tabs>
          <w:tab w:leader="none" w:pos="635" w:val="left"/>
        </w:tabs>
        <w:numPr>
          <w:ilvl w:val="0"/>
          <w:numId w:val="47"/>
        </w:numPr>
        <w:rPr>
          <w:rFonts w:ascii="Arial" w:cs="Arial" w:eastAsia="Arial" w:hAnsi="Arial"/>
          <w:sz w:val="21"/>
          <w:szCs w:val="21"/>
          <w:color w:val="auto"/>
        </w:rPr>
      </w:pPr>
      <w:r>
        <w:rPr>
          <w:rFonts w:ascii="Times New Roman" w:cs="Times New Roman" w:eastAsia="Times New Roman" w:hAnsi="Times New Roman"/>
          <w:sz w:val="17"/>
          <w:szCs w:val="17"/>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218"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Unstable market, economic and geo-political conditions may have serious adverse consequences on our business, financial condition and stock price.</w:t>
      </w:r>
    </w:p>
    <w:p>
      <w:pPr>
        <w:spacing w:after="0" w:line="254" w:lineRule="exact"/>
        <w:rPr>
          <w:sz w:val="20"/>
          <w:szCs w:val="20"/>
          <w:color w:val="auto"/>
        </w:rPr>
      </w:pPr>
    </w:p>
    <w:p>
      <w:pPr>
        <w:ind w:right="60" w:firstLine="629"/>
        <w:spacing w:after="0" w:line="262" w:lineRule="auto"/>
        <w:rPr>
          <w:sz w:val="20"/>
          <w:szCs w:val="20"/>
          <w:color w:val="auto"/>
        </w:rPr>
      </w:pPr>
      <w:r>
        <w:rPr>
          <w:rFonts w:ascii="Times New Roman" w:cs="Times New Roman" w:eastAsia="Times New Roman" w:hAnsi="Times New Roman"/>
          <w:sz w:val="17"/>
          <w:szCs w:val="17"/>
          <w:color w:val="auto"/>
        </w:rPr>
        <w:t>The global credit and financial markets have experienced extreme volatility and disruptions in the past. These disruptions have resulted and may continue to result in severely diminished liquidity and credit availability, high inflation, declines in consumer confidence, disruptions in access to bank deposits or lending commitments due to bank failures and uncertainty about economic stability, declines in economic growth, and uncertainty about economic stability. There can be no assurance that further deterioration in credit and financial markets and confidence in economic conditions will not occur. Our general business strategy may be adversely affected by any such economic downturn, volatile business environment, higher inflation, or continued unpredictable and unstable market conditions. If the current equity and credit markets deteriorate, it may make any necessary debt or equity financing more difficult, more costly and more dilutive. Our portfolio of corporate and government bonds would also be adversely impacted. Failure to secure any necessary financing in a timely manner and on favorable terms could have a material adverse effect on our operations, growth strategy, financial performance and stock price and could require us to delay or abandon clinical development plans. In addition, there is a risk that one or more of our current</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right="260"/>
        <w:spacing w:after="0" w:line="296" w:lineRule="auto"/>
        <w:rPr>
          <w:sz w:val="20"/>
          <w:szCs w:val="20"/>
          <w:color w:val="auto"/>
        </w:rPr>
      </w:pPr>
      <w:r>
        <w:rPr>
          <w:rFonts w:ascii="Times New Roman" w:cs="Times New Roman" w:eastAsia="Times New Roman" w:hAnsi="Times New Roman"/>
          <w:sz w:val="17"/>
          <w:szCs w:val="17"/>
          <w:color w:val="auto"/>
        </w:rPr>
        <w:t>service providers, manufacturers and other partners may not survive an economic downturn or rising inflation, which could directly affect our ability to attain our operating goals on schedule and on budget.</w:t>
      </w:r>
    </w:p>
    <w:p>
      <w:pPr>
        <w:spacing w:after="0" w:line="173" w:lineRule="exact"/>
        <w:rPr>
          <w:sz w:val="20"/>
          <w:szCs w:val="20"/>
          <w:color w:val="auto"/>
        </w:rPr>
      </w:pPr>
    </w:p>
    <w:p>
      <w:pPr>
        <w:ind w:right="60" w:firstLine="629"/>
        <w:spacing w:after="0" w:line="263" w:lineRule="auto"/>
        <w:rPr>
          <w:sz w:val="20"/>
          <w:szCs w:val="20"/>
          <w:color w:val="auto"/>
        </w:rPr>
      </w:pPr>
      <w:r>
        <w:rPr>
          <w:rFonts w:ascii="Times New Roman" w:cs="Times New Roman" w:eastAsia="Times New Roman" w:hAnsi="Times New Roman"/>
          <w:sz w:val="17"/>
          <w:szCs w:val="17"/>
          <w:color w:val="auto"/>
        </w:rPr>
        <w:t>Other international and geo-political events could also have a serious adverse impact on our business. For instance, in February 2022, Russia initiated military action against Ukraine, and in October 2023, Hamas attacked Israel. In both cases, ongoing conflicts have ensued. In response to the Russian invasion, the United States and certain other countries imposed significant sanctions and trade actions against Russia and could impose further sanctions, trade restrictions, and other retaliatory actions. While we cannot predict the broader consequences, these conflicts and retaliatory and counter-retaliatory actions could materially adversely affect global trade, currency exchange rates, inflation, regional economies, and the global economy, which in turn may increase our costs, disrupt our supply chain, impair our ability to raise or access additional capital when needed on acceptable terms, if at all, or otherwise adversely affect our business,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 of a substantial number of shares of our common stock by our existing stockholders in the public market could cause our stock price to fall.</w:t>
      </w:r>
    </w:p>
    <w:p>
      <w:pPr>
        <w:spacing w:after="0" w:line="254" w:lineRule="exact"/>
        <w:rPr>
          <w:sz w:val="20"/>
          <w:szCs w:val="20"/>
          <w:color w:val="auto"/>
        </w:rPr>
      </w:pPr>
    </w:p>
    <w:p>
      <w:pPr>
        <w:ind w:right="40" w:firstLine="629"/>
        <w:spacing w:after="0" w:line="276" w:lineRule="auto"/>
        <w:rPr>
          <w:sz w:val="20"/>
          <w:szCs w:val="20"/>
          <w:color w:val="auto"/>
        </w:rPr>
      </w:pPr>
      <w:r>
        <w:rPr>
          <w:rFonts w:ascii="Times New Roman" w:cs="Times New Roman" w:eastAsia="Times New Roman" w:hAnsi="Times New Roman"/>
          <w:sz w:val="17"/>
          <w:szCs w:val="17"/>
          <w:color w:val="auto"/>
        </w:rPr>
        <w:t>Sales of a substantial number of shares of our common stock in the public market or the perception that these sales might occur, including by any of our directors, officers or larger stockholders,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issue an adverse or misleading opinion regarding our stock, our stock price and trading volume could decline.</w:t>
      </w:r>
    </w:p>
    <w:p>
      <w:pPr>
        <w:spacing w:after="0" w:line="254" w:lineRule="exact"/>
        <w:rPr>
          <w:sz w:val="20"/>
          <w:szCs w:val="20"/>
          <w:color w:val="auto"/>
        </w:rPr>
      </w:pPr>
    </w:p>
    <w:p>
      <w:pPr>
        <w:ind w:right="180" w:firstLine="629"/>
        <w:spacing w:after="0" w:line="267" w:lineRule="auto"/>
        <w:rPr>
          <w:sz w:val="20"/>
          <w:szCs w:val="20"/>
          <w:color w:val="auto"/>
        </w:rPr>
      </w:pPr>
      <w:r>
        <w:rPr>
          <w:rFonts w:ascii="Times New Roman" w:cs="Times New Roman" w:eastAsia="Times New Roman" w:hAnsi="Times New Roman"/>
          <w:sz w:val="17"/>
          <w:szCs w:val="17"/>
          <w:color w:val="auto"/>
        </w:rPr>
        <w:t>The trading market for our common stock could be influenced by the research and reports that industry or securities analysts publish about us or our business. If any of the analysts who cover us issue an adverse or misleading opinion regarding us, our business model, our intellectual property or our stock performance, or if the clinical trials and operating results fail to meet the expectations of analysts, our stock price would likely decline. If one or more analysts cease coverage of us or fail to publish reports on us regularly, we could lose visibility in the financial markets, which in turn could cause our stock price or trading volume to decline.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326" w:lineRule="exact"/>
        <w:rPr>
          <w:sz w:val="20"/>
          <w:szCs w:val="20"/>
          <w:color w:val="auto"/>
        </w:rPr>
      </w:pPr>
    </w:p>
    <w:p>
      <w:pPr>
        <w:jc w:val="center"/>
        <w:ind w:right="886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21"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17"/>
          <w:szCs w:val="17"/>
          <w:color w:val="auto"/>
        </w:rPr>
        <w:t>Not applicable.</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Trading Arrangements</w:t>
      </w:r>
    </w:p>
    <w:p>
      <w:pPr>
        <w:spacing w:after="0" w:line="123" w:lineRule="exact"/>
        <w:rPr>
          <w:sz w:val="20"/>
          <w:szCs w:val="20"/>
          <w:color w:val="auto"/>
        </w:rPr>
      </w:pPr>
    </w:p>
    <w:p>
      <w:pPr>
        <w:ind w:right="120" w:firstLine="629"/>
        <w:spacing w:after="0" w:line="296" w:lineRule="auto"/>
        <w:rPr>
          <w:sz w:val="20"/>
          <w:szCs w:val="20"/>
          <w:color w:val="auto"/>
        </w:rPr>
      </w:pPr>
      <w:r>
        <w:rPr>
          <w:rFonts w:ascii="Times New Roman" w:cs="Times New Roman" w:eastAsia="Times New Roman" w:hAnsi="Times New Roman"/>
          <w:sz w:val="17"/>
          <w:szCs w:val="17"/>
          <w:color w:val="auto"/>
        </w:rPr>
        <w:t>During the Company’s last fiscal quarter, one of the Company’s directors adopted a written plan for the sale of the Company’s common stock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54610</wp:posOffset>
            </wp:positionV>
            <wp:extent cx="7145020" cy="10979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5020" cy="1097915"/>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880" w:type="dxa"/>
            <w:vAlign w:val="bottom"/>
            <w:tcBorders>
              <w:top w:val="single" w:sz="8" w:color="auto"/>
              <w:bottom w:val="single" w:sz="8" w:color="auto"/>
              <w:right w:val="single" w:sz="8" w:color="auto"/>
            </w:tcBorders>
          </w:tcPr>
          <w:p>
            <w:pPr>
              <w:spacing w:after="0"/>
              <w:rPr>
                <w:sz w:val="22"/>
                <w:szCs w:val="22"/>
                <w:color w:val="auto"/>
              </w:rPr>
            </w:pPr>
          </w:p>
        </w:tc>
        <w:tc>
          <w:tcPr>
            <w:tcW w:w="960" w:type="dxa"/>
            <w:vAlign w:val="bottom"/>
            <w:tcBorders>
              <w:top w:val="single" w:sz="8" w:color="auto"/>
              <w:bottom w:val="single" w:sz="8" w:color="auto"/>
              <w:right w:val="single" w:sz="8" w:color="auto"/>
            </w:tcBorders>
          </w:tcPr>
          <w:p>
            <w:pPr>
              <w:spacing w:after="0"/>
              <w:rPr>
                <w:sz w:val="22"/>
                <w:szCs w:val="22"/>
                <w:color w:val="auto"/>
              </w:rPr>
            </w:pPr>
          </w:p>
        </w:tc>
        <w:tc>
          <w:tcPr>
            <w:tcW w:w="2980" w:type="dxa"/>
            <w:vAlign w:val="bottom"/>
            <w:tcBorders>
              <w:top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Type of Trading Arrangement</w:t>
            </w:r>
          </w:p>
        </w:tc>
        <w:tc>
          <w:tcPr>
            <w:tcW w:w="1060" w:type="dxa"/>
            <w:vAlign w:val="bottom"/>
            <w:tcBorders>
              <w:top w:val="single" w:sz="8" w:color="auto"/>
              <w:bottom w:val="single" w:sz="8" w:color="auto"/>
              <w:right w:val="single" w:sz="8" w:color="auto"/>
            </w:tcBorders>
          </w:tcPr>
          <w:p>
            <w:pPr>
              <w:spacing w:after="0"/>
              <w:rPr>
                <w:sz w:val="22"/>
                <w:szCs w:val="22"/>
                <w:color w:val="auto"/>
              </w:rPr>
            </w:pPr>
          </w:p>
        </w:tc>
        <w:tc>
          <w:tcPr>
            <w:tcW w:w="1740" w:type="dxa"/>
            <w:vAlign w:val="bottom"/>
            <w:tcBorders>
              <w:top w:val="single" w:sz="8" w:color="auto"/>
              <w:bottom w:val="single" w:sz="8" w:color="auto"/>
              <w:right w:val="single" w:sz="8" w:color="auto"/>
            </w:tcBorders>
          </w:tcPr>
          <w:p>
            <w:pPr>
              <w:spacing w:after="0"/>
              <w:rPr>
                <w:sz w:val="22"/>
                <w:szCs w:val="22"/>
                <w:color w:val="auto"/>
              </w:rPr>
            </w:pPr>
          </w:p>
        </w:tc>
        <w:tc>
          <w:tcPr>
            <w:tcW w:w="1640" w:type="dxa"/>
            <w:vAlign w:val="bottom"/>
            <w:tcBorders>
              <w:top w:val="single" w:sz="8" w:color="auto"/>
              <w:bottom w:val="single" w:sz="8" w:color="auto"/>
            </w:tcBorders>
          </w:tcPr>
          <w:p>
            <w:pPr>
              <w:spacing w:after="0"/>
              <w:rPr>
                <w:sz w:val="22"/>
                <w:szCs w:val="22"/>
                <w:color w:val="auto"/>
              </w:rPr>
            </w:pPr>
          </w:p>
        </w:tc>
      </w:tr>
      <w:tr>
        <w:trPr>
          <w:trHeight w:val="215"/>
        </w:trPr>
        <w:tc>
          <w:tcPr>
            <w:tcW w:w="28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Name and Position</w:t>
            </w:r>
          </w:p>
        </w:tc>
        <w:tc>
          <w:tcPr>
            <w:tcW w:w="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Action</w:t>
            </w: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Adoption</w:t>
            </w:r>
          </w:p>
        </w:tc>
        <w:tc>
          <w:tcPr>
            <w:tcW w:w="13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Rule 10b5-1*</w:t>
            </w: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Non-</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Total Shares of</w:t>
            </w:r>
          </w:p>
        </w:tc>
        <w:tc>
          <w:tcPr>
            <w:tcW w:w="16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Expiration Date</w:t>
            </w:r>
          </w:p>
        </w:tc>
      </w:tr>
      <w:tr>
        <w:trPr>
          <w:trHeight w:val="196"/>
        </w:trPr>
        <w:tc>
          <w:tcPr>
            <w:tcW w:w="288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6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Date</w:t>
            </w:r>
          </w:p>
        </w:tc>
        <w:tc>
          <w:tcPr>
            <w:tcW w:w="136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Rule 10b5-</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Common Stock to be</w:t>
            </w:r>
          </w:p>
        </w:tc>
        <w:tc>
          <w:tcPr>
            <w:tcW w:w="1640" w:type="dxa"/>
            <w:vAlign w:val="bottom"/>
          </w:tcPr>
          <w:p>
            <w:pPr>
              <w:spacing w:after="0"/>
              <w:rPr>
                <w:sz w:val="17"/>
                <w:szCs w:val="17"/>
                <w:color w:val="auto"/>
              </w:rPr>
            </w:pPr>
          </w:p>
        </w:tc>
      </w:tr>
      <w:tr>
        <w:trPr>
          <w:trHeight w:val="236"/>
        </w:trPr>
        <w:tc>
          <w:tcPr>
            <w:tcW w:w="288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1**</w:t>
            </w:r>
          </w:p>
        </w:tc>
        <w:tc>
          <w:tcPr>
            <w:tcW w:w="17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Sold</w:t>
            </w:r>
          </w:p>
        </w:tc>
        <w:tc>
          <w:tcPr>
            <w:tcW w:w="1640" w:type="dxa"/>
            <w:vAlign w:val="bottom"/>
            <w:tcBorders>
              <w:bottom w:val="single" w:sz="8" w:color="auto"/>
            </w:tcBorders>
          </w:tcPr>
          <w:p>
            <w:pPr>
              <w:spacing w:after="0"/>
              <w:rPr>
                <w:sz w:val="20"/>
                <w:szCs w:val="20"/>
                <w:color w:val="auto"/>
              </w:rPr>
            </w:pPr>
          </w:p>
        </w:tc>
      </w:tr>
      <w:tr>
        <w:trPr>
          <w:trHeight w:val="242"/>
        </w:trPr>
        <w:tc>
          <w:tcPr>
            <w:tcW w:w="28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Deborah Messemer, Director</w:t>
            </w:r>
          </w:p>
        </w:tc>
        <w:tc>
          <w:tcPr>
            <w:tcW w:w="9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Adoption</w:t>
            </w:r>
          </w:p>
        </w:tc>
        <w:tc>
          <w:tcPr>
            <w:tcW w:w="162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August 30, 2024</w:t>
            </w:r>
          </w:p>
        </w:tc>
        <w:tc>
          <w:tcPr>
            <w:tcW w:w="1360" w:type="dxa"/>
            <w:vAlign w:val="bottom"/>
            <w:tcBorders>
              <w:bottom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rPr>
              <w:t>X</w:t>
            </w:r>
          </w:p>
        </w:tc>
        <w:tc>
          <w:tcPr>
            <w:tcW w:w="106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right w:val="single" w:sz="8" w:color="auto"/>
            </w:tcBorders>
          </w:tcPr>
          <w:p>
            <w:pPr>
              <w:jc w:val="right"/>
              <w:ind w:right="553"/>
              <w:spacing w:after="0"/>
              <w:rPr>
                <w:sz w:val="20"/>
                <w:szCs w:val="20"/>
                <w:color w:val="auto"/>
              </w:rPr>
            </w:pPr>
            <w:r>
              <w:rPr>
                <w:rFonts w:ascii="Times New Roman" w:cs="Times New Roman" w:eastAsia="Times New Roman" w:hAnsi="Times New Roman"/>
                <w:sz w:val="17"/>
                <w:szCs w:val="17"/>
                <w:color w:val="auto"/>
              </w:rPr>
              <w:t>61,529</w:t>
            </w:r>
          </w:p>
        </w:tc>
        <w:tc>
          <w:tcPr>
            <w:tcW w:w="16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June 30, 2025</w:t>
            </w:r>
          </w:p>
        </w:tc>
      </w:tr>
    </w:tbl>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 Contract, instruction or written plan intended to satisfy the affirmative defense conditions of Rule 10b5-1(c) under the Exchange Act.</w:t>
      </w:r>
    </w:p>
    <w:p>
      <w:pPr>
        <w:spacing w:after="0" w:line="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 “Non-Rule 10b5-1 trading arrangement” as defined in Item 408(c) of Regulation S-K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6.</w:t>
        <w:tab/>
        <w:t>Exhibits.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0100" w:type="dxa"/>
            <w:vAlign w:val="bottom"/>
            <w:gridSpan w:val="19"/>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90"/>
        </w:trPr>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10100" w:type="dxa"/>
            <w:vAlign w:val="bottom"/>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100" w:type="dxa"/>
            <w:vAlign w:val="bottom"/>
            <w:tcBorders>
              <w:top w:val="single" w:sz="8" w:color="auto"/>
            </w:tcBorders>
            <w:gridSpan w:val="19"/>
          </w:tcPr>
          <w:p>
            <w:pPr>
              <w:spacing w:after="0"/>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Amended and Restated Certificate of Incorporation of the Registrant (incorporated by reference to Exhibit 3.1 to the Registrant’s Current</w:t>
              </w:r>
            </w:hyperlink>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12"/>
          </w:tcPr>
          <w:p>
            <w:pPr>
              <w:spacing w:after="0" w:line="150"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Report on Form 8-K (File No. 001-38693), filed with the SEC on October 15, 2018).</w:t>
              </w:r>
            </w:hyperlink>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9"/>
          </w:tcPr>
          <w:p>
            <w:pPr>
              <w:spacing w:after="0"/>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Certificate of Amendment of Amended and Restated Certificate of Incorporation of the Registrant (incorporated by reference to Exhibit 3.1 to</w:t>
              </w:r>
            </w:hyperlink>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0" w:type="dxa"/>
            <w:vAlign w:val="bottom"/>
            <w:tcBorders>
              <w:top w:val="single" w:sz="8" w:color="0000FF"/>
              <w:bottom w:val="single" w:sz="8" w:color="0000FF"/>
            </w:tcBorders>
            <w:gridSpan w:val="10"/>
          </w:tcPr>
          <w:p>
            <w:pPr>
              <w:spacing w:after="0" w:line="150"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the Registrant’s Current Report on Form 8-K (File No. 001-38693), filed with the SEC on June 17, 2022).</w:t>
              </w:r>
            </w:hyperlink>
          </w:p>
        </w:tc>
        <w:tc>
          <w:tcPr>
            <w:tcW w:w="252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3"/>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9"/>
          </w:tcPr>
          <w:p>
            <w:pPr>
              <w:spacing w:after="0"/>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Amended and Restated Bylaws of the Registrant (incorporated by reference to Exhibit 3.2 to the Registrant’s Current Report on Form 8-K (File</w:t>
              </w:r>
            </w:hyperlink>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7"/>
          </w:tcPr>
          <w:p>
            <w:pPr>
              <w:spacing w:after="0" w:line="150"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No. 001-38693), filed with the SEC on October 15, 2018).</w:t>
              </w:r>
            </w:hyperlink>
          </w:p>
        </w:tc>
        <w:tc>
          <w:tcPr>
            <w:tcW w:w="5940" w:type="dxa"/>
            <w:vAlign w:val="bottom"/>
            <w:tcBorders>
              <w:top w:val="single" w:sz="8" w:color="0000FF"/>
            </w:tcBorders>
            <w:gridSpan w:val="11"/>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3"/>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9"/>
          </w:tcPr>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Reference is made to Exhibits </w:t>
            </w:r>
            <w:hyperlink r:id="rId107">
              <w:r>
                <w:rPr>
                  <w:rFonts w:ascii="Times New Roman" w:cs="Times New Roman" w:eastAsia="Times New Roman" w:hAnsi="Times New Roman"/>
                  <w:sz w:val="17"/>
                  <w:szCs w:val="17"/>
                  <w:color w:val="0000FF"/>
                </w:rPr>
                <w:t>3.1</w:t>
              </w:r>
            </w:hyperlink>
            <w:r>
              <w:rPr>
                <w:rFonts w:ascii="Times New Roman" w:cs="Times New Roman" w:eastAsia="Times New Roman" w:hAnsi="Times New Roman"/>
                <w:sz w:val="17"/>
                <w:szCs w:val="17"/>
                <w:color w:val="auto"/>
              </w:rPr>
              <w:t xml:space="preserve">, </w:t>
            </w:r>
            <w:hyperlink r:id="rId108">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color w:val="auto"/>
                </w:rPr>
                <w:t xml:space="preserve"> </w:t>
              </w:r>
            </w:hyperlink>
            <w:r>
              <w:rPr>
                <w:rFonts w:ascii="Times New Roman" w:cs="Times New Roman" w:eastAsia="Times New Roman" w:hAnsi="Times New Roman"/>
                <w:sz w:val="17"/>
                <w:szCs w:val="17"/>
                <w:color w:val="auto"/>
              </w:rPr>
              <w:t xml:space="preserve">and </w:t>
            </w:r>
            <w:hyperlink r:id="rId109">
              <w:r>
                <w:rPr>
                  <w:rFonts w:ascii="Times New Roman" w:cs="Times New Roman" w:eastAsia="Times New Roman" w:hAnsi="Times New Roman"/>
                  <w:sz w:val="17"/>
                  <w:szCs w:val="17"/>
                  <w:color w:val="0000FF"/>
                </w:rPr>
                <w:t>3.3</w:t>
              </w:r>
            </w:hyperlink>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9"/>
          </w:tcPr>
          <w:p>
            <w:pPr>
              <w:spacing w:after="0"/>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Form of Common Stock Certificate of the Registrant (incorporated by reference to Exhibit 4.1 to the Registrant’s Registration Statement on</w:t>
              </w:r>
            </w:hyperlink>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60" w:type="dxa"/>
            <w:vAlign w:val="bottom"/>
            <w:tcBorders>
              <w:top w:val="single" w:sz="8" w:color="0000FF"/>
            </w:tcBorders>
            <w:gridSpan w:val="13"/>
          </w:tcPr>
          <w:p>
            <w:pPr>
              <w:spacing w:after="0" w:line="150"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Form S-1, as amended (File No. 333-227333), filed with the SEC on October 2, 2018).</w:t>
              </w:r>
            </w:hyperlink>
          </w:p>
        </w:tc>
        <w:tc>
          <w:tcPr>
            <w:tcW w:w="1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60" w:type="dxa"/>
            <w:vAlign w:val="bottom"/>
            <w:gridSpan w:val="9"/>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Rule 13a-14(a) or Rule 15d-14(a) of the Securities Exchange Act of 1934, as amended.</w:t>
            </w:r>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Rule 13a-14(a) or Rule 15d-14(a) of the Securities Exchange Act of 1934, as amended.</w:t>
            </w:r>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and Principal Financial Officer pursuant to Rule 13a-14(b) of the Securities Exchange Act of 1934,</w:t>
            </w:r>
          </w:p>
        </w:tc>
        <w:tc>
          <w:tcPr>
            <w:tcW w:w="0" w:type="dxa"/>
            <w:vAlign w:val="bottom"/>
          </w:tcPr>
          <w:p>
            <w:pPr>
              <w:spacing w:after="0"/>
              <w:rPr>
                <w:sz w:val="1"/>
                <w:szCs w:val="1"/>
                <w:color w:val="auto"/>
              </w:rPr>
            </w:pPr>
          </w:p>
        </w:tc>
      </w:tr>
      <w:tr>
        <w:trPr>
          <w:trHeight w:val="150"/>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00" w:type="dxa"/>
            <w:vAlign w:val="bottom"/>
            <w:tcBorders>
              <w:top w:val="single" w:sz="8" w:color="0000FF"/>
              <w:bottom w:val="single" w:sz="8" w:color="0000FF"/>
            </w:tcBorders>
            <w:gridSpan w:val="11"/>
          </w:tcPr>
          <w:p>
            <w:pPr>
              <w:spacing w:after="0" w:line="150" w:lineRule="exact"/>
              <w:rPr>
                <w:sz w:val="20"/>
                <w:szCs w:val="20"/>
                <w:color w:val="auto"/>
              </w:rPr>
            </w:pPr>
            <w:r>
              <w:rPr>
                <w:rFonts w:ascii="Times New Roman" w:cs="Times New Roman" w:eastAsia="Times New Roman" w:hAnsi="Times New Roman"/>
                <w:sz w:val="17"/>
                <w:szCs w:val="17"/>
                <w:color w:val="0000FF"/>
              </w:rPr>
              <w:t>as amended, and 18 U.S.C. Section 1350, as adopted pursuant to Section 906 of the Sarbanes-Oxley Act of 2002.</w:t>
            </w:r>
          </w:p>
        </w:tc>
        <w:tc>
          <w:tcPr>
            <w:tcW w:w="2100" w:type="dxa"/>
            <w:vAlign w:val="bottom"/>
            <w:tcBorders>
              <w:top w:val="single" w:sz="8" w:color="0000FF"/>
            </w:tcBorders>
            <w:gridSpan w:val="6"/>
          </w:tcPr>
          <w:p>
            <w:pPr>
              <w:spacing w:after="0"/>
              <w:rPr>
                <w:sz w:val="13"/>
                <w:szCs w:val="13"/>
                <w:color w:val="auto"/>
              </w:rPr>
            </w:pPr>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20" w:type="dxa"/>
            <w:vAlign w:val="bottom"/>
          </w:tcPr>
          <w:p>
            <w:pPr>
              <w:spacing w:after="0"/>
              <w:rPr>
                <w:sz w:val="24"/>
                <w:szCs w:val="24"/>
                <w:color w:val="auto"/>
              </w:rPr>
            </w:pPr>
          </w:p>
        </w:tc>
        <w:tc>
          <w:tcPr>
            <w:tcW w:w="1010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228"/>
        </w:trPr>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10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document.</w:t>
            </w:r>
          </w:p>
        </w:tc>
        <w:tc>
          <w:tcPr>
            <w:tcW w:w="0" w:type="dxa"/>
            <w:vAlign w:val="bottom"/>
          </w:tcPr>
          <w:p>
            <w:pPr>
              <w:spacing w:after="0"/>
              <w:rPr>
                <w:sz w:val="1"/>
                <w:szCs w:val="1"/>
                <w:color w:val="auto"/>
              </w:rPr>
            </w:pPr>
          </w:p>
        </w:tc>
      </w:tr>
      <w:tr>
        <w:trPr>
          <w:trHeight w:val="388"/>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20" w:type="dxa"/>
            <w:vAlign w:val="bottom"/>
          </w:tcPr>
          <w:p>
            <w:pPr>
              <w:spacing w:after="0"/>
              <w:rPr>
                <w:sz w:val="24"/>
                <w:szCs w:val="24"/>
                <w:color w:val="auto"/>
              </w:rPr>
            </w:pPr>
          </w:p>
        </w:tc>
        <w:tc>
          <w:tcPr>
            <w:tcW w:w="1010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0" w:type="dxa"/>
            <w:vAlign w:val="bottom"/>
          </w:tcPr>
          <w:p>
            <w:pPr>
              <w:spacing w:after="0"/>
              <w:rPr>
                <w:sz w:val="1"/>
                <w:szCs w:val="1"/>
                <w:color w:val="auto"/>
              </w:rPr>
            </w:pPr>
          </w:p>
        </w:tc>
      </w:tr>
      <w:tr>
        <w:trPr>
          <w:trHeight w:val="380"/>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20" w:type="dxa"/>
            <w:vAlign w:val="bottom"/>
          </w:tcPr>
          <w:p>
            <w:pPr>
              <w:spacing w:after="0"/>
              <w:rPr>
                <w:sz w:val="24"/>
                <w:szCs w:val="24"/>
                <w:color w:val="auto"/>
              </w:rPr>
            </w:pPr>
          </w:p>
        </w:tc>
        <w:tc>
          <w:tcPr>
            <w:tcW w:w="1010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380"/>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20" w:type="dxa"/>
            <w:vAlign w:val="bottom"/>
          </w:tcPr>
          <w:p>
            <w:pPr>
              <w:spacing w:after="0"/>
              <w:rPr>
                <w:sz w:val="24"/>
                <w:szCs w:val="24"/>
                <w:color w:val="auto"/>
              </w:rPr>
            </w:pPr>
          </w:p>
        </w:tc>
        <w:tc>
          <w:tcPr>
            <w:tcW w:w="1010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380"/>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20" w:type="dxa"/>
            <w:vAlign w:val="bottom"/>
          </w:tcPr>
          <w:p>
            <w:pPr>
              <w:spacing w:after="0"/>
              <w:rPr>
                <w:sz w:val="24"/>
                <w:szCs w:val="24"/>
                <w:color w:val="auto"/>
              </w:rPr>
            </w:pPr>
          </w:p>
        </w:tc>
        <w:tc>
          <w:tcPr>
            <w:tcW w:w="1010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380"/>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20" w:type="dxa"/>
            <w:vAlign w:val="bottom"/>
          </w:tcPr>
          <w:p>
            <w:pPr>
              <w:spacing w:after="0"/>
              <w:rPr>
                <w:sz w:val="24"/>
                <w:szCs w:val="24"/>
                <w:color w:val="auto"/>
              </w:rPr>
            </w:pPr>
          </w:p>
        </w:tc>
        <w:tc>
          <w:tcPr>
            <w:tcW w:w="10100" w:type="dxa"/>
            <w:vAlign w:val="bottom"/>
            <w:gridSpan w:val="19"/>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100" w:hanging="1078"/>
        <w:spacing w:after="0"/>
        <w:tabs>
          <w:tab w:leader="none" w:pos="11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from the Company’s Quarterly Report on Form 10-Q has been formatted in Inline XBRL.</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61"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6" w:lineRule="exact"/>
        <w:rPr>
          <w:sz w:val="20"/>
          <w:szCs w:val="20"/>
          <w:color w:val="auto"/>
        </w:rPr>
      </w:pPr>
    </w:p>
    <w:p>
      <w:pPr>
        <w:ind w:firstLine="472"/>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00"/>
        <w:spacing w:after="0"/>
        <w:tabs>
          <w:tab w:leader="none" w:pos="5600" w:val="left"/>
          <w:tab w:leader="none" w:pos="6060" w:val="left"/>
        </w:tabs>
        <w:rPr>
          <w:sz w:val="20"/>
          <w:szCs w:val="20"/>
          <w:color w:val="auto"/>
        </w:rPr>
      </w:pPr>
      <w:r>
        <w:rPr>
          <w:rFonts w:ascii="Times New Roman" w:cs="Times New Roman" w:eastAsia="Times New Roman" w:hAnsi="Times New Roman"/>
          <w:sz w:val="17"/>
          <w:szCs w:val="17"/>
          <w:color w:val="auto"/>
        </w:rPr>
        <w:t>Date: November 7,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David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21590</wp:posOffset>
            </wp:positionV>
            <wp:extent cx="33553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3355340" cy="8255"/>
                    </a:xfrm>
                    <a:prstGeom prst="rect">
                      <a:avLst/>
                    </a:prstGeom>
                    <a:noFill/>
                  </pic:spPr>
                </pic:pic>
              </a:graphicData>
            </a:graphic>
          </wp:anchor>
        </w:drawing>
      </w:r>
    </w:p>
    <w:p>
      <w:pPr>
        <w:spacing w:after="0" w:line="2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David Chang, M.D., Ph.D.</w:t>
      </w:r>
    </w:p>
    <w:p>
      <w:pPr>
        <w:spacing w:after="0" w:line="2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ind w:left="608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267" w:lineRule="exact"/>
        <w:rPr>
          <w:sz w:val="20"/>
          <w:szCs w:val="20"/>
          <w:color w:val="auto"/>
        </w:rPr>
      </w:pPr>
    </w:p>
    <w:p>
      <w:pPr>
        <w:ind w:left="500"/>
        <w:spacing w:after="0"/>
        <w:tabs>
          <w:tab w:leader="none" w:pos="5600" w:val="left"/>
          <w:tab w:leader="none" w:pos="6060" w:val="left"/>
        </w:tabs>
        <w:rPr>
          <w:sz w:val="20"/>
          <w:szCs w:val="20"/>
          <w:color w:val="auto"/>
        </w:rPr>
      </w:pPr>
      <w:r>
        <w:rPr>
          <w:rFonts w:ascii="Times New Roman" w:cs="Times New Roman" w:eastAsia="Times New Roman" w:hAnsi="Times New Roman"/>
          <w:sz w:val="17"/>
          <w:szCs w:val="17"/>
          <w:color w:val="auto"/>
        </w:rPr>
        <w:t>Date: November 7, 2024</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Geoffrey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21590</wp:posOffset>
            </wp:positionV>
            <wp:extent cx="33553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3355340" cy="8255"/>
                    </a:xfrm>
                    <a:prstGeom prst="rect">
                      <a:avLst/>
                    </a:prstGeom>
                    <a:noFill/>
                  </pic:spPr>
                </pic:pic>
              </a:graphicData>
            </a:graphic>
          </wp:anchor>
        </w:drawing>
      </w:r>
    </w:p>
    <w:p>
      <w:pPr>
        <w:spacing w:after="0" w:line="2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Geoffrey Parker</w:t>
      </w:r>
    </w:p>
    <w:p>
      <w:pPr>
        <w:spacing w:after="0" w:line="2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7"/>
          <w:szCs w:val="17"/>
          <w:color w:val="auto"/>
        </w:rPr>
        <w:t>Chief Financial Officer</w:t>
      </w:r>
    </w:p>
    <w:p>
      <w:pPr>
        <w:ind w:left="608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87</w:t>
      </w:r>
    </w:p>
    <w:p>
      <w:pPr>
        <w:sectPr>
          <w:pgSz w:w="11900" w:h="16838" w:orient="portrait"/>
          <w:cols w:equalWidth="0" w:num="1">
            <w:col w:w="10440"/>
          </w:cols>
          <w:pgMar w:left="320" w:top="121" w:right="11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David Chang, M.D., Ph.D., certify that:</w:t>
      </w:r>
    </w:p>
    <w:p>
      <w:pPr>
        <w:spacing w:after="0" w:line="224" w:lineRule="exact"/>
        <w:rPr>
          <w:sz w:val="20"/>
          <w:szCs w:val="20"/>
          <w:color w:val="auto"/>
        </w:rPr>
      </w:pPr>
    </w:p>
    <w:p>
      <w:pPr>
        <w:ind w:left="640" w:hanging="635"/>
        <w:spacing w:after="0"/>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Allogene Therapeutics, Inc.;</w:t>
      </w:r>
    </w:p>
    <w:p>
      <w:pPr>
        <w:spacing w:after="0" w:line="223" w:lineRule="exact"/>
        <w:rPr>
          <w:rFonts w:ascii="Times New Roman" w:cs="Times New Roman" w:eastAsia="Times New Roman" w:hAnsi="Times New Roman"/>
          <w:sz w:val="17"/>
          <w:szCs w:val="17"/>
          <w:color w:val="auto"/>
        </w:rPr>
      </w:pPr>
    </w:p>
    <w:p>
      <w:pPr>
        <w:jc w:val="both"/>
        <w:ind w:left="640" w:right="460" w:hanging="635"/>
        <w:spacing w:after="0" w:line="276" w:lineRule="auto"/>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7"/>
          <w:szCs w:val="17"/>
          <w:color w:val="auto"/>
        </w:rPr>
      </w:pPr>
    </w:p>
    <w:p>
      <w:pPr>
        <w:ind w:left="640" w:right="420" w:hanging="635"/>
        <w:spacing w:after="0" w:line="296" w:lineRule="auto"/>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left="640" w:right="40" w:hanging="635"/>
        <w:spacing w:after="0" w:line="276" w:lineRule="auto"/>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7"/>
          <w:szCs w:val="17"/>
          <w:color w:val="auto"/>
        </w:rPr>
      </w:pPr>
    </w:p>
    <w:p>
      <w:pPr>
        <w:ind w:left="640" w:right="220" w:hanging="321"/>
        <w:spacing w:after="0" w:line="276" w:lineRule="auto"/>
        <w:tabs>
          <w:tab w:leader="none" w:pos="63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Times New Roman" w:cs="Times New Roman" w:eastAsia="Times New Roman" w:hAnsi="Times New Roman"/>
          <w:sz w:val="17"/>
          <w:szCs w:val="17"/>
          <w:color w:val="auto"/>
        </w:rPr>
      </w:pPr>
    </w:p>
    <w:p>
      <w:pPr>
        <w:ind w:left="640" w:right="20" w:hanging="321"/>
        <w:spacing w:after="0" w:line="276" w:lineRule="auto"/>
        <w:tabs>
          <w:tab w:leader="none" w:pos="64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7"/>
          <w:szCs w:val="17"/>
          <w:color w:val="auto"/>
        </w:rPr>
      </w:pPr>
    </w:p>
    <w:p>
      <w:pPr>
        <w:ind w:left="640" w:right="60" w:hanging="321"/>
        <w:spacing w:after="0" w:line="296" w:lineRule="auto"/>
        <w:tabs>
          <w:tab w:leader="none" w:pos="63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left="640" w:right="100" w:hanging="321"/>
        <w:spacing w:after="0" w:line="276" w:lineRule="auto"/>
        <w:tabs>
          <w:tab w:leader="none" w:pos="64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7"/>
          <w:szCs w:val="17"/>
          <w:color w:val="auto"/>
        </w:rPr>
      </w:pPr>
    </w:p>
    <w:p>
      <w:pPr>
        <w:ind w:left="640" w:right="340" w:hanging="635"/>
        <w:spacing w:after="0" w:line="296" w:lineRule="auto"/>
        <w:tabs>
          <w:tab w:leader="none" w:pos="6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260" w:right="780" w:hanging="626"/>
        <w:spacing w:after="0" w:line="296" w:lineRule="auto"/>
        <w:tabs>
          <w:tab w:leader="none" w:pos="1257" w:val="left"/>
        </w:tabs>
        <w:numPr>
          <w:ilvl w:val="2"/>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1260" w:right="480" w:hanging="626"/>
        <w:spacing w:after="0" w:line="296" w:lineRule="auto"/>
        <w:tabs>
          <w:tab w:leader="none" w:pos="1254" w:val="left"/>
        </w:tabs>
        <w:numPr>
          <w:ilvl w:val="2"/>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7"/>
          <w:szCs w:val="17"/>
          <w:color w:val="auto"/>
        </w:rPr>
        <w:t>Date: November 7, 2024</w:t>
      </w:r>
      <w:r>
        <w:rPr>
          <w:sz w:val="20"/>
          <w:szCs w:val="20"/>
          <w:color w:val="auto"/>
        </w:rPr>
        <w:tab/>
      </w:r>
      <w:r>
        <w:rPr>
          <w:rFonts w:ascii="Times New Roman" w:cs="Times New Roman" w:eastAsia="Times New Roman" w:hAnsi="Times New Roman"/>
          <w:sz w:val="17"/>
          <w:szCs w:val="17"/>
          <w:i w:val="1"/>
          <w:iCs w:val="1"/>
          <w:color w:val="auto"/>
        </w:rPr>
        <w:t>/s/ David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4295140</wp:posOffset>
            </wp:positionH>
            <wp:positionV relativeFrom="paragraph">
              <wp:posOffset>21590</wp:posOffset>
            </wp:positionV>
            <wp:extent cx="28276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2827655" cy="8255"/>
                    </a:xfrm>
                    <a:prstGeom prst="rect">
                      <a:avLst/>
                    </a:prstGeom>
                    <a:noFill/>
                  </pic:spPr>
                </pic:pic>
              </a:graphicData>
            </a:graphic>
          </wp:anchor>
        </w:drawing>
      </w:r>
    </w:p>
    <w:p>
      <w:pPr>
        <w:spacing w:after="0" w:line="1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David Chang, M.D., Ph.D.</w:t>
      </w:r>
    </w:p>
    <w:p>
      <w:pPr>
        <w:ind w:left="6780"/>
        <w:spacing w:after="0" w:line="225" w:lineRule="auto"/>
        <w:rPr>
          <w:sz w:val="20"/>
          <w:szCs w:val="20"/>
          <w:color w:val="auto"/>
        </w:rPr>
      </w:pPr>
      <w:r>
        <w:rPr>
          <w:rFonts w:ascii="Times New Roman" w:cs="Times New Roman" w:eastAsia="Times New Roman" w:hAnsi="Times New Roman"/>
          <w:sz w:val="17"/>
          <w:szCs w:val="17"/>
          <w:color w:val="auto"/>
        </w:rPr>
        <w:t>President and Chief Executive Officer</w:t>
      </w:r>
    </w:p>
    <w:p>
      <w:pPr>
        <w:ind w:left="678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866"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Geoffrey Parker, certify that:</w:t>
      </w:r>
    </w:p>
    <w:p>
      <w:pPr>
        <w:spacing w:after="0" w:line="224" w:lineRule="exact"/>
        <w:rPr>
          <w:sz w:val="20"/>
          <w:szCs w:val="20"/>
          <w:color w:val="auto"/>
        </w:rPr>
      </w:pPr>
    </w:p>
    <w:p>
      <w:pPr>
        <w:ind w:left="640" w:hanging="635"/>
        <w:spacing w:after="0"/>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Allogene Therapeutics, Inc.;</w:t>
      </w:r>
    </w:p>
    <w:p>
      <w:pPr>
        <w:spacing w:after="0" w:line="223" w:lineRule="exact"/>
        <w:rPr>
          <w:rFonts w:ascii="Times New Roman" w:cs="Times New Roman" w:eastAsia="Times New Roman" w:hAnsi="Times New Roman"/>
          <w:sz w:val="17"/>
          <w:szCs w:val="17"/>
          <w:color w:val="auto"/>
        </w:rPr>
      </w:pPr>
    </w:p>
    <w:p>
      <w:pPr>
        <w:jc w:val="both"/>
        <w:ind w:left="640" w:right="460" w:hanging="635"/>
        <w:spacing w:after="0" w:line="276" w:lineRule="auto"/>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7"/>
          <w:szCs w:val="17"/>
          <w:color w:val="auto"/>
        </w:rPr>
      </w:pPr>
    </w:p>
    <w:p>
      <w:pPr>
        <w:ind w:left="640" w:right="420" w:hanging="635"/>
        <w:spacing w:after="0" w:line="296" w:lineRule="auto"/>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left="640" w:right="40" w:hanging="635"/>
        <w:spacing w:after="0" w:line="276" w:lineRule="auto"/>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7"/>
          <w:szCs w:val="17"/>
          <w:color w:val="auto"/>
        </w:rPr>
      </w:pPr>
    </w:p>
    <w:p>
      <w:pPr>
        <w:ind w:left="640" w:right="220" w:hanging="321"/>
        <w:spacing w:after="0" w:line="276" w:lineRule="auto"/>
        <w:tabs>
          <w:tab w:leader="none" w:pos="63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Times New Roman" w:cs="Times New Roman" w:eastAsia="Times New Roman" w:hAnsi="Times New Roman"/>
          <w:sz w:val="17"/>
          <w:szCs w:val="17"/>
          <w:color w:val="auto"/>
        </w:rPr>
      </w:pPr>
    </w:p>
    <w:p>
      <w:pPr>
        <w:ind w:left="640" w:right="20" w:hanging="321"/>
        <w:spacing w:after="0" w:line="276" w:lineRule="auto"/>
        <w:tabs>
          <w:tab w:leader="none" w:pos="64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Times New Roman" w:cs="Times New Roman" w:eastAsia="Times New Roman" w:hAnsi="Times New Roman"/>
          <w:sz w:val="17"/>
          <w:szCs w:val="17"/>
          <w:color w:val="auto"/>
        </w:rPr>
      </w:pPr>
    </w:p>
    <w:p>
      <w:pPr>
        <w:ind w:left="640" w:right="60" w:hanging="321"/>
        <w:spacing w:after="0" w:line="296" w:lineRule="auto"/>
        <w:tabs>
          <w:tab w:leader="none" w:pos="63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left="640" w:right="100" w:hanging="321"/>
        <w:spacing w:after="0" w:line="276" w:lineRule="auto"/>
        <w:tabs>
          <w:tab w:leader="none" w:pos="64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7"/>
          <w:szCs w:val="17"/>
          <w:color w:val="auto"/>
        </w:rPr>
      </w:pPr>
    </w:p>
    <w:p>
      <w:pPr>
        <w:ind w:left="640" w:right="340" w:hanging="635"/>
        <w:spacing w:after="0" w:line="296" w:lineRule="auto"/>
        <w:tabs>
          <w:tab w:leader="none" w:pos="6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260" w:right="780" w:hanging="626"/>
        <w:spacing w:after="0" w:line="296" w:lineRule="auto"/>
        <w:tabs>
          <w:tab w:leader="none" w:pos="1257" w:val="left"/>
        </w:tabs>
        <w:numPr>
          <w:ilvl w:val="2"/>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1260" w:right="480" w:hanging="626"/>
        <w:spacing w:after="0" w:line="296" w:lineRule="auto"/>
        <w:tabs>
          <w:tab w:leader="none" w:pos="1254" w:val="left"/>
        </w:tabs>
        <w:numPr>
          <w:ilvl w:val="2"/>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7"/>
          <w:szCs w:val="17"/>
          <w:color w:val="auto"/>
        </w:rPr>
        <w:t>Date: November 7, 2024</w:t>
      </w:r>
      <w:r>
        <w:rPr>
          <w:sz w:val="20"/>
          <w:szCs w:val="20"/>
          <w:color w:val="auto"/>
        </w:rPr>
        <w:tab/>
      </w:r>
      <w:r>
        <w:rPr>
          <w:rFonts w:ascii="Times New Roman" w:cs="Times New Roman" w:eastAsia="Times New Roman" w:hAnsi="Times New Roman"/>
          <w:sz w:val="17"/>
          <w:szCs w:val="17"/>
          <w:i w:val="1"/>
          <w:iCs w:val="1"/>
          <w:color w:val="auto"/>
        </w:rPr>
        <w:t>/s/ Geoffrey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4295140</wp:posOffset>
            </wp:positionH>
            <wp:positionV relativeFrom="paragraph">
              <wp:posOffset>21590</wp:posOffset>
            </wp:positionV>
            <wp:extent cx="28276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2827655" cy="8255"/>
                    </a:xfrm>
                    <a:prstGeom prst="rect">
                      <a:avLst/>
                    </a:prstGeom>
                    <a:noFill/>
                  </pic:spPr>
                </pic:pic>
              </a:graphicData>
            </a:graphic>
          </wp:anchor>
        </w:drawing>
      </w:r>
    </w:p>
    <w:p>
      <w:pPr>
        <w:spacing w:after="0" w:line="1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7"/>
          <w:szCs w:val="17"/>
          <w:color w:val="auto"/>
        </w:rPr>
        <w:t>Geoffrey Parker</w:t>
      </w:r>
    </w:p>
    <w:p>
      <w:pPr>
        <w:ind w:left="6780"/>
        <w:spacing w:after="0" w:line="225" w:lineRule="auto"/>
        <w:rPr>
          <w:sz w:val="20"/>
          <w:szCs w:val="20"/>
          <w:color w:val="auto"/>
        </w:rPr>
      </w:pPr>
      <w:r>
        <w:rPr>
          <w:rFonts w:ascii="Times New Roman" w:cs="Times New Roman" w:eastAsia="Times New Roman" w:hAnsi="Times New Roman"/>
          <w:sz w:val="17"/>
          <w:szCs w:val="17"/>
          <w:color w:val="auto"/>
        </w:rPr>
        <w:t>Chief Financial Officer</w:t>
      </w:r>
    </w:p>
    <w:p>
      <w:pPr>
        <w:ind w:left="678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866"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18 U.S.C. SECTION 1350,</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6" w:lineRule="exact"/>
        <w:rPr>
          <w:sz w:val="20"/>
          <w:szCs w:val="20"/>
          <w:color w:val="auto"/>
        </w:rPr>
      </w:pPr>
    </w:p>
    <w:p>
      <w:pPr>
        <w:ind w:right="100" w:firstLine="825"/>
        <w:spacing w:after="0" w:line="270" w:lineRule="auto"/>
        <w:rPr>
          <w:sz w:val="20"/>
          <w:szCs w:val="20"/>
          <w:color w:val="auto"/>
        </w:rPr>
      </w:pPr>
      <w:r>
        <w:rPr>
          <w:rFonts w:ascii="Times New Roman" w:cs="Times New Roman" w:eastAsia="Times New Roman" w:hAnsi="Times New Roman"/>
          <w:sz w:val="17"/>
          <w:szCs w:val="17"/>
          <w:color w:val="auto"/>
        </w:rPr>
        <w:t>In connection with the quarterly report of Allogene Therapeutics, Inc. (the “Company”) on Form 10-Q for the quarter ended September 30, 2024 as filed with the Securities and Exchange Commission on the date hereof (the “Report”), I, David Chang, M.D., Ph.D., President and Chief Executive Officer of the Company, and I, Geoffrey Parker, Chief Financial Officer of the Company, certify, pursuant to 18 U.S.C. Section 1350, as adopted pursuant to Section 906 of the Sarbanes-Oxley Act of 2002, that, to my knowledge:</w:t>
      </w:r>
    </w:p>
    <w:p>
      <w:pPr>
        <w:spacing w:after="0" w:line="168" w:lineRule="exact"/>
        <w:rPr>
          <w:sz w:val="20"/>
          <w:szCs w:val="20"/>
          <w:color w:val="auto"/>
        </w:rPr>
      </w:pPr>
    </w:p>
    <w:p>
      <w:pPr>
        <w:ind w:left="1100" w:right="220" w:hanging="309"/>
        <w:spacing w:after="0" w:line="296" w:lineRule="auto"/>
        <w:tabs>
          <w:tab w:leader="none" w:pos="1094"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as amended (the “Exchange Act”); and</w:t>
      </w:r>
    </w:p>
    <w:p>
      <w:pPr>
        <w:spacing w:after="0" w:line="146" w:lineRule="exact"/>
        <w:rPr>
          <w:rFonts w:ascii="Times New Roman" w:cs="Times New Roman" w:eastAsia="Times New Roman" w:hAnsi="Times New Roman"/>
          <w:sz w:val="17"/>
          <w:szCs w:val="17"/>
          <w:color w:val="auto"/>
        </w:rPr>
      </w:pPr>
    </w:p>
    <w:p>
      <w:pPr>
        <w:ind w:left="1100" w:right="760" w:hanging="309"/>
        <w:spacing w:after="0" w:line="296" w:lineRule="auto"/>
        <w:tabs>
          <w:tab w:leader="none" w:pos="1094"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7, 2024</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/s/ David Chang</w:t>
            </w:r>
          </w:p>
        </w:tc>
      </w:tr>
      <w:tr>
        <w:trPr>
          <w:trHeight w:val="211"/>
        </w:trPr>
        <w:tc>
          <w:tcPr>
            <w:tcW w:w="642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David Chang, M.D., Ph.D.</w:t>
            </w:r>
          </w:p>
        </w:tc>
      </w:tr>
      <w:tr>
        <w:trPr>
          <w:trHeight w:val="223"/>
        </w:trPr>
        <w:tc>
          <w:tcPr>
            <w:tcW w:w="642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228"/>
        </w:trPr>
        <w:tc>
          <w:tcPr>
            <w:tcW w:w="642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r>
        <w:trPr>
          <w:trHeight w:val="721"/>
        </w:trPr>
        <w:tc>
          <w:tcPr>
            <w:tcW w:w="6420" w:type="dxa"/>
            <w:vAlign w:val="bottom"/>
          </w:tcPr>
          <w:p>
            <w:pPr>
              <w:spacing w:after="0"/>
              <w:rPr>
                <w:sz w:val="20"/>
                <w:szCs w:val="20"/>
                <w:color w:val="auto"/>
              </w:rPr>
            </w:pPr>
            <w:r>
              <w:rPr>
                <w:rFonts w:ascii="Times New Roman" w:cs="Times New Roman" w:eastAsia="Times New Roman" w:hAnsi="Times New Roman"/>
                <w:sz w:val="17"/>
                <w:szCs w:val="17"/>
                <w:color w:val="auto"/>
              </w:rPr>
              <w:t>Date: November 7, 2024</w:t>
            </w:r>
          </w:p>
        </w:tc>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/s/ Geoffrey Parker</w:t>
            </w:r>
          </w:p>
        </w:tc>
      </w:tr>
      <w:tr>
        <w:trPr>
          <w:trHeight w:val="211"/>
        </w:trPr>
        <w:tc>
          <w:tcPr>
            <w:tcW w:w="6420" w:type="dxa"/>
            <w:vAlign w:val="bottom"/>
          </w:tcPr>
          <w:p>
            <w:pPr>
              <w:spacing w:after="0"/>
              <w:rPr>
                <w:sz w:val="18"/>
                <w:szCs w:val="18"/>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Geoffrey Parker</w:t>
            </w:r>
          </w:p>
        </w:tc>
      </w:tr>
      <w:tr>
        <w:trPr>
          <w:trHeight w:val="223"/>
        </w:trPr>
        <w:tc>
          <w:tcPr>
            <w:tcW w:w="642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28"/>
        </w:trPr>
        <w:tc>
          <w:tcPr>
            <w:tcW w:w="642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r>
    </w:tbl>
    <w:p>
      <w:pPr>
        <w:spacing w:after="0" w:line="283" w:lineRule="exact"/>
        <w:rPr>
          <w:sz w:val="20"/>
          <w:szCs w:val="20"/>
          <w:color w:val="auto"/>
        </w:rPr>
      </w:pPr>
    </w:p>
    <w:p>
      <w:pPr>
        <w:ind w:firstLine="825"/>
        <w:spacing w:after="0" w:line="276" w:lineRule="auto"/>
        <w:rPr>
          <w:sz w:val="20"/>
          <w:szCs w:val="20"/>
          <w:color w:val="auto"/>
        </w:rPr>
      </w:pPr>
      <w:r>
        <w:rPr>
          <w:rFonts w:ascii="Times New Roman" w:cs="Times New Roman" w:eastAsia="Times New Roman" w:hAnsi="Times New Roman"/>
          <w:sz w:val="17"/>
          <w:szCs w:val="17"/>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2"/>
    </w:lvl>
  </w:abstractNum>
  <w:abstractNum w:abstractNumId="4">
    <w:nsid w:val="2CA88611"/>
    <w:multiLevelType w:val="hybridMultilevel"/>
    <w:lvl w:ilvl="0">
      <w:lvlJc w:val="left"/>
      <w:lvlText w:val="%1."/>
      <w:numFmt w:val="decimal"/>
      <w:start w:val="3"/>
    </w:lvl>
  </w:abstractNum>
  <w:abstractNum w:abstractNumId="5">
    <w:nsid w:val="836C40E"/>
    <w:multiLevelType w:val="hybridMultilevel"/>
    <w:lvl w:ilvl="0">
      <w:lvlJc w:val="left"/>
      <w:lvlText w:val="(%1)"/>
      <w:numFmt w:val="decimal"/>
      <w:start w:val="1"/>
    </w:lvl>
  </w:abstractNum>
  <w:abstractNum w:abstractNumId="6">
    <w:nsid w:val="2901D82"/>
    <w:multiLevelType w:val="hybridMultilevel"/>
    <w:lvl w:ilvl="0">
      <w:lvlJc w:val="left"/>
      <w:lvlText w:val="%1."/>
      <w:numFmt w:val="decimal"/>
      <w:start w:val="4"/>
    </w:lvl>
  </w:abstractNum>
  <w:abstractNum w:abstractNumId="7">
    <w:nsid w:val="3A95F874"/>
    <w:multiLevelType w:val="hybridMultilevel"/>
    <w:lvl w:ilvl="0">
      <w:lvlJc w:val="left"/>
      <w:lvlText w:val="%1."/>
      <w:numFmt w:val="decimal"/>
      <w:start w:val="5"/>
    </w:lvl>
  </w:abstractNum>
  <w:abstractNum w:abstractNumId="8">
    <w:nsid w:val="8138641"/>
    <w:multiLevelType w:val="hybridMultilevel"/>
    <w:lvl w:ilvl="0">
      <w:lvlJc w:val="left"/>
      <w:lvlText w:val="%1."/>
      <w:numFmt w:val="decimal"/>
      <w:start w:val="6"/>
    </w:lvl>
  </w:abstractNum>
  <w:abstractNum w:abstractNumId="9">
    <w:nsid w:val="1E7FF521"/>
    <w:multiLevelType w:val="hybridMultilevel"/>
    <w:lvl w:ilvl="0">
      <w:lvlJc w:val="left"/>
      <w:lvlText w:val="%1."/>
      <w:numFmt w:val="decimal"/>
      <w:start w:val="7"/>
    </w:lvl>
  </w:abstractNum>
  <w:abstractNum w:abstractNumId="10">
    <w:nsid w:val="7C3DBD3D"/>
    <w:multiLevelType w:val="hybridMultilevel"/>
    <w:lvl w:ilvl="0">
      <w:lvlJc w:val="left"/>
      <w:lvlText w:val="%1."/>
      <w:numFmt w:val="decimal"/>
      <w:start w:val="8"/>
    </w:lvl>
  </w:abstractNum>
  <w:abstractNum w:abstractNumId="11">
    <w:nsid w:val="737B8DDC"/>
    <w:multiLevelType w:val="hybridMultilevel"/>
    <w:lvl w:ilvl="0">
      <w:lvlJc w:val="left"/>
      <w:lvlText w:val="%1."/>
      <w:numFmt w:val="decimal"/>
      <w:start w:val="9"/>
    </w:lvl>
  </w:abstractNum>
  <w:abstractNum w:abstractNumId="12">
    <w:nsid w:val="6CEAF087"/>
    <w:multiLevelType w:val="hybridMultilevel"/>
    <w:lvl w:ilvl="0">
      <w:lvlJc w:val="left"/>
      <w:lvlText w:val="%1."/>
      <w:numFmt w:val="decimal"/>
      <w:start w:val="10"/>
    </w:lvl>
  </w:abstractNum>
  <w:abstractNum w:abstractNumId="13">
    <w:nsid w:val="22221A70"/>
    <w:multiLevelType w:val="hybridMultilevel"/>
    <w:lvl w:ilvl="0">
      <w:lvlJc w:val="left"/>
      <w:lvlText w:val="%1."/>
      <w:numFmt w:val="decimal"/>
      <w:start w:val="11"/>
    </w:lvl>
  </w:abstractNum>
  <w:abstractNum w:abstractNumId="14">
    <w:nsid w:val="4516DDE9"/>
    <w:multiLevelType w:val="hybridMultilevel"/>
    <w:lvl w:ilvl="0">
      <w:lvlJc w:val="left"/>
      <w:lvlText w:val="%1."/>
      <w:numFmt w:val="decimal"/>
      <w:start w:val="12"/>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04"/>
    </w:lvl>
  </w:abstractNum>
  <w:abstractNum w:abstractNumId="48">
    <w:nsid w:val="749ABB4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07" Type="http://schemas.openxmlformats.org/officeDocument/2006/relationships/hyperlink" Target="https://www.sec.gov/Archives/edgar/data/1737287/000119312518299356/d622265dex31.htm" TargetMode="External"/><Relationship Id="rId108" Type="http://schemas.openxmlformats.org/officeDocument/2006/relationships/hyperlink" Target="https://www.sec.gov/Archives/edgar/data/1737287/000173728722000039/allo-20220617x8kxexhibit31.htm" TargetMode="External"/><Relationship Id="rId109" Type="http://schemas.openxmlformats.org/officeDocument/2006/relationships/hyperlink" Target="https://www.sec.gov/Archives/edgar/data/1737287/000119312518299356/d622265dex32.htm" TargetMode="External"/><Relationship Id="rId110" Type="http://schemas.openxmlformats.org/officeDocument/2006/relationships/hyperlink" Target="https://www.sec.gov/Archives/edgar/data/1737287/000119312518290441/d54808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2024-11-07T15:39:49Z</dcterms:created>
  <dcterms:modified xsi:type="dcterms:W3CDTF">2024-11-07T15:39:49Z</dcterms:modified>
</cp:coreProperties>
</file>