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For the transition period from </w:t>
      </w:r>
      <w:r>
        <w:rPr>
          <w:color w:val="000000"/>
          <w:u w:val="single"/>
        </w:rPr>
        <w:t>                    </w:t>
      </w:r>
      <w:r>
        <w:rPr>
          <w:color w:val="000000"/>
        </w:rPr>
        <w:t> </w:t>
      </w:r>
      <w:r>
        <w:rPr>
          <w:rFonts w:ascii="Times New Roman;serif" w:hAnsi="Times New Roman;serif"/>
          <w:b/>
          <w:color w:val="000000"/>
          <w:sz w:val="20"/>
        </w:rPr>
        <w:t>to </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001-38693 </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Allogene Therapeutics,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2"/>
        <w:gridCol w:w="432"/>
        <w:gridCol w:w="620"/>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82-3562771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 East Grand Avenue, South San Francisco, California 94080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457-2700</w:t>
      </w:r>
    </w:p>
    <w:tbl>
      <w:tblPr>
        <w:tblW w:w="6449" w:type="dxa"/>
        <w:jc w:val="center"/>
        <w:tblInd w:w="0" w:type="dxa"/>
        <w:tblLayout w:type="fixed"/>
        <w:tblCellMar>
          <w:top w:w="28" w:type="dxa"/>
          <w:left w:w="28" w:type="dxa"/>
          <w:bottom w:w="28" w:type="dxa"/>
          <w:right w:w="28" w:type="dxa"/>
        </w:tblCellMar>
      </w:tblPr>
      <w:tblGrid>
        <w:gridCol w:w="705"/>
        <w:gridCol w:w="620"/>
        <w:gridCol w:w="620"/>
        <w:gridCol w:w="796"/>
        <w:gridCol w:w="796"/>
        <w:gridCol w:w="796"/>
        <w:gridCol w:w="620"/>
        <w:gridCol w:w="620"/>
        <w:gridCol w:w="87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887" w:type="dxa"/>
        <w:jc w:val="center"/>
        <w:tblInd w:w="0" w:type="dxa"/>
        <w:tblLayout w:type="fixed"/>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00" w:after="283"/>
        <w:ind w:left="0" w:right="0" w:firstLine="54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    </w:t>
      </w:r>
      <w:r>
        <w:rPr>
          <w:rFonts w:ascii="Times New Roman;serif" w:hAnsi="Times New Roman;serif"/>
          <w:b w:val="false"/>
          <w:color w:val="000000"/>
          <w:sz w:val="16"/>
        </w:rPr>
        <w:t>No  </w:t>
      </w:r>
      <w:r>
        <w:rPr>
          <w:color w:val="000000"/>
        </w:rPr>
        <w:t>☐</w:t>
      </w:r>
    </w:p>
    <w:p>
      <w:pPr>
        <w:pStyle w:val="TextBody"/>
        <w:bidi w:val="0"/>
        <w:spacing w:lineRule="auto" w:line="288" w:before="100" w:after="283"/>
        <w:ind w:left="0" w:right="0" w:firstLine="54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0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76" w:type="dxa"/>
        <w:jc w:val="left"/>
        <w:tblInd w:w="0" w:type="dxa"/>
        <w:tblLayout w:type="fixed"/>
        <w:tblCellMar>
          <w:top w:w="28" w:type="dxa"/>
          <w:left w:w="28" w:type="dxa"/>
          <w:bottom w:w="28" w:type="dxa"/>
          <w:right w:w="28" w:type="dxa"/>
        </w:tblCellMar>
      </w:tblPr>
      <w:tblGrid>
        <w:gridCol w:w="738"/>
        <w:gridCol w:w="648"/>
        <w:gridCol w:w="653"/>
        <w:gridCol w:w="109"/>
        <w:gridCol w:w="109"/>
        <w:gridCol w:w="109"/>
        <w:gridCol w:w="109"/>
        <w:gridCol w:w="109"/>
        <w:gridCol w:w="109"/>
        <w:gridCol w:w="669"/>
        <w:gridCol w:w="669"/>
        <w:gridCol w:w="673"/>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p>
    <w:p>
      <w:pPr>
        <w:pStyle w:val="TextBody"/>
        <w:bidi w:val="0"/>
        <w:spacing w:lineRule="auto" w:line="288" w:before="120" w:after="283"/>
        <w:ind w:left="0" w:right="0" w:firstLine="54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8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As of May 11, 2026, the registrant had 345,154,561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19" w:type="dxa"/>
        <w:jc w:val="center"/>
        <w:tblInd w:w="0" w:type="dxa"/>
        <w:tblLayout w:type="fixed"/>
        <w:tblCellMar>
          <w:top w:w="28" w:type="dxa"/>
          <w:left w:w="28" w:type="dxa"/>
          <w:bottom w:w="28" w:type="dxa"/>
          <w:right w:w="28" w:type="dxa"/>
        </w:tblCellMar>
      </w:tblPr>
      <w:tblGrid>
        <w:gridCol w:w="607"/>
        <w:gridCol w:w="534"/>
        <w:gridCol w:w="534"/>
        <w:gridCol w:w="2447"/>
        <w:gridCol w:w="2447"/>
        <w:gridCol w:w="2471"/>
        <w:gridCol w:w="227"/>
        <w:gridCol w:w="227"/>
        <w:gridCol w:w="325"/>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0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0">
              <w:r>
                <w:rPr>
                  <w:rStyle w:val="InternetLink"/>
                  <w:rFonts w:ascii="Times New Roman;serif" w:hAnsi="Times New Roman;serif"/>
                  <w:b/>
                  <w:strike w:val="false"/>
                  <w:dstrike w:val="false"/>
                  <w:color w:val="0000FF"/>
                  <w:sz w:val="20"/>
                  <w:u w:val="none"/>
                  <w:effect w:val="none"/>
                </w:rPr>
                <w:t>PART I:</w:t>
              </w:r>
            </w:hyperlink>
            <w:r>
              <w:rPr>
                <w:color w:val="000000"/>
              </w:rPr>
              <w:t xml:space="preserve"> </w:t>
            </w:r>
            <w:hyperlink w:anchor="i458e61a10e714873b386bdbeb7020a31_10">
              <w:r>
                <w:rPr>
                  <w:rStyle w:val="InternetLink"/>
                  <w:rFonts w:ascii="Times New Roman;serif" w:hAnsi="Times New Roman;serif"/>
                  <w:b w:val="false"/>
                  <w:color w:val="0000FF"/>
                  <w:sz w:val="20"/>
                  <w:u w:val="single"/>
                </w:rPr>
                <w:t>FINANCIAL INFORMATION</w:t>
              </w:r>
            </w:hyperlink>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3">
              <w:r>
                <w:rPr>
                  <w:rStyle w:val="InternetLink"/>
                  <w:rFonts w:ascii="Times New Roman;serif" w:hAnsi="Times New Roman;serif"/>
                  <w:b w:val="false"/>
                  <w:color w:val="0000FF"/>
                  <w:sz w:val="20"/>
                  <w:u w:val="single"/>
                </w:rPr>
                <w:t>Financial Statements - Unaudited</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3">
              <w:r>
                <w:rPr>
                  <w:rStyle w:val="InternetLink"/>
                  <w:rFonts w:ascii="Times New Roman;serif" w:hAnsi="Times New Roman;serif"/>
                  <w:b w:val="false"/>
                  <w:strike w:val="false"/>
                  <w:dstrike w:val="false"/>
                  <w:color w:val="000000"/>
                  <w:sz w:val="20"/>
                  <w:u w:val="none"/>
                  <w:effect w:val="none"/>
                </w:rPr>
                <w:t>1</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6">
              <w:r>
                <w:rPr>
                  <w:rStyle w:val="InternetLink"/>
                  <w:rFonts w:ascii="Times New Roman;serif" w:hAnsi="Times New Roman;serif"/>
                  <w:b w:val="false"/>
                  <w:color w:val="000080"/>
                  <w:sz w:val="20"/>
                  <w:u w:val="single"/>
                </w:rPr>
                <w:t xml:space="preserve">Condensed </w:t>
              </w:r>
            </w:hyperlink>
            <w:hyperlink w:anchor="i458e61a10e714873b386bdbeb7020a31_16">
              <w:r>
                <w:rPr>
                  <w:rStyle w:val="InternetLink"/>
                  <w:rFonts w:ascii="Times New Roman;serif" w:hAnsi="Times New Roman;serif"/>
                  <w:b w:val="false"/>
                  <w:color w:val="000080"/>
                  <w:sz w:val="20"/>
                  <w:u w:val="single"/>
                </w:rPr>
                <w:t>Balance Sheets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6">
              <w:r>
                <w:rPr>
                  <w:rStyle w:val="InternetLink"/>
                  <w:rFonts w:ascii="Times New Roman;serif" w:hAnsi="Times New Roman;serif"/>
                  <w:b w:val="false"/>
                  <w:strike w:val="false"/>
                  <w:dstrike w:val="false"/>
                  <w:color w:val="000000"/>
                  <w:sz w:val="20"/>
                  <w:u w:val="none"/>
                  <w:effect w:val="none"/>
                </w:rPr>
                <w:t>1</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9">
              <w:r>
                <w:rPr>
                  <w:rStyle w:val="InternetLink"/>
                  <w:rFonts w:ascii="Times New Roman;serif" w:hAnsi="Times New Roman;serif"/>
                  <w:b w:val="false"/>
                  <w:color w:val="000080"/>
                  <w:sz w:val="20"/>
                  <w:u w:val="single"/>
                </w:rPr>
                <w:t xml:space="preserve">Condensed </w:t>
              </w:r>
            </w:hyperlink>
            <w:hyperlink w:anchor="i458e61a10e714873b386bdbeb7020a31_19">
              <w:r>
                <w:rPr>
                  <w:rStyle w:val="InternetLink"/>
                  <w:rFonts w:ascii="Times New Roman;serif" w:hAnsi="Times New Roman;serif"/>
                  <w:b w:val="false"/>
                  <w:color w:val="000080"/>
                  <w:sz w:val="20"/>
                  <w:u w:val="single"/>
                </w:rPr>
                <w:t>Statements of Operations and Comprehensive Loss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9">
              <w:r>
                <w:rPr>
                  <w:rStyle w:val="InternetLink"/>
                  <w:rFonts w:ascii="Times New Roman;serif" w:hAnsi="Times New Roman;serif"/>
                  <w:b w:val="false"/>
                  <w:strike w:val="false"/>
                  <w:dstrike w:val="false"/>
                  <w:color w:val="000000"/>
                  <w:sz w:val="20"/>
                  <w:u w:val="none"/>
                  <w:effect w:val="none"/>
                </w:rPr>
                <w:t>2</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22">
              <w:r>
                <w:rPr>
                  <w:rStyle w:val="InternetLink"/>
                  <w:rFonts w:ascii="Times New Roman;serif" w:hAnsi="Times New Roman;serif"/>
                  <w:b w:val="false"/>
                  <w:color w:val="000080"/>
                  <w:sz w:val="20"/>
                  <w:u w:val="single"/>
                </w:rPr>
                <w:t xml:space="preserve">Condensed </w:t>
              </w:r>
            </w:hyperlink>
            <w:hyperlink w:anchor="i458e61a10e714873b386bdbeb7020a31_22">
              <w:r>
                <w:rPr>
                  <w:rStyle w:val="InternetLink"/>
                  <w:rFonts w:ascii="Times New Roman;serif" w:hAnsi="Times New Roman;serif"/>
                  <w:b w:val="false"/>
                  <w:color w:val="000080"/>
                  <w:sz w:val="20"/>
                  <w:u w:val="single"/>
                </w:rPr>
                <w:t>Statements of Stockholders’ Equity</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22">
              <w:r>
                <w:rPr>
                  <w:rStyle w:val="InternetLink"/>
                  <w:rFonts w:ascii="Times New Roman;serif" w:hAnsi="Times New Roman;serif"/>
                  <w:b w:val="false"/>
                  <w:strike w:val="false"/>
                  <w:dstrike w:val="false"/>
                  <w:color w:val="000000"/>
                  <w:sz w:val="20"/>
                  <w:u w:val="none"/>
                  <w:effect w:val="none"/>
                </w:rPr>
                <w:t>3</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25">
              <w:r>
                <w:rPr>
                  <w:rStyle w:val="InternetLink"/>
                  <w:rFonts w:ascii="Times New Roman;serif" w:hAnsi="Times New Roman;serif"/>
                  <w:b w:val="false"/>
                  <w:color w:val="000080"/>
                  <w:sz w:val="20"/>
                  <w:u w:val="single"/>
                </w:rPr>
                <w:t xml:space="preserve">Condensed </w:t>
              </w:r>
            </w:hyperlink>
            <w:hyperlink w:anchor="i458e61a10e714873b386bdbeb7020a31_25">
              <w:r>
                <w:rPr>
                  <w:rStyle w:val="InternetLink"/>
                  <w:rFonts w:ascii="Times New Roman;serif" w:hAnsi="Times New Roman;serif"/>
                  <w:b w:val="false"/>
                  <w:color w:val="000080"/>
                  <w:sz w:val="20"/>
                  <w:u w:val="single"/>
                </w:rPr>
                <w:t>Statements of Cash Flows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25">
              <w:r>
                <w:rPr>
                  <w:rStyle w:val="InternetLink"/>
                  <w:rFonts w:ascii="Times New Roman;serif" w:hAnsi="Times New Roman;serif"/>
                  <w:b w:val="false"/>
                  <w:strike w:val="false"/>
                  <w:dstrike w:val="false"/>
                  <w:color w:val="000000"/>
                  <w:sz w:val="20"/>
                  <w:u w:val="none"/>
                  <w:effect w:val="none"/>
                </w:rPr>
                <w:t>4</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28">
              <w:r>
                <w:rPr>
                  <w:rStyle w:val="InternetLink"/>
                  <w:rFonts w:ascii="Times New Roman;serif" w:hAnsi="Times New Roman;serif"/>
                  <w:b w:val="false"/>
                  <w:color w:val="000080"/>
                  <w:sz w:val="20"/>
                  <w:u w:val="single"/>
                </w:rPr>
                <w:t xml:space="preserve">Notes to Condensed </w:t>
              </w:r>
            </w:hyperlink>
            <w:hyperlink w:anchor="i458e61a10e714873b386bdbeb7020a31_28">
              <w:r>
                <w:rPr>
                  <w:rStyle w:val="InternetLink"/>
                  <w:rFonts w:ascii="Times New Roman;serif" w:hAnsi="Times New Roman;serif"/>
                  <w:b w:val="false"/>
                  <w:color w:val="000080"/>
                  <w:sz w:val="20"/>
                  <w:u w:val="single"/>
                </w:rPr>
                <w:t>Financial Statements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28">
              <w:r>
                <w:rPr>
                  <w:rStyle w:val="InternetLink"/>
                  <w:rFonts w:ascii="Times New Roman;serif" w:hAnsi="Times New Roman;serif"/>
                  <w:b w:val="false"/>
                  <w:strike w:val="false"/>
                  <w:dstrike w:val="false"/>
                  <w:color w:val="000000"/>
                  <w:sz w:val="20"/>
                  <w:u w:val="none"/>
                  <w:effect w:val="none"/>
                </w:rPr>
                <w:t>5</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70">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70">
              <w:r>
                <w:rPr>
                  <w:rStyle w:val="InternetLink"/>
                  <w:rFonts w:ascii="Times New Roman;serif" w:hAnsi="Times New Roman;serif"/>
                  <w:b w:val="false"/>
                  <w:strike w:val="false"/>
                  <w:dstrike w:val="false"/>
                  <w:color w:val="000000"/>
                  <w:sz w:val="20"/>
                  <w:u w:val="none"/>
                  <w:effect w:val="none"/>
                </w:rPr>
                <w:t>19</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97">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97">
              <w:r>
                <w:rPr>
                  <w:rStyle w:val="InternetLink"/>
                  <w:rFonts w:ascii="Times New Roman;serif" w:hAnsi="Times New Roman;serif"/>
                  <w:b w:val="false"/>
                  <w:color w:val="0000FF"/>
                  <w:sz w:val="20"/>
                  <w:u w:val="single"/>
                </w:rPr>
                <w:t>Quantitative and Qualitative Disclosures About Market Risk</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97">
              <w:r>
                <w:rPr>
                  <w:rStyle w:val="InternetLink"/>
                  <w:rFonts w:ascii="Times New Roman;serif" w:hAnsi="Times New Roman;serif"/>
                  <w:b w:val="false"/>
                  <w:strike w:val="false"/>
                  <w:dstrike w:val="false"/>
                  <w:color w:val="000000"/>
                  <w:sz w:val="20"/>
                  <w:u w:val="none"/>
                  <w:effect w:val="none"/>
                </w:rPr>
                <w:t>30</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00">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00">
              <w:r>
                <w:rPr>
                  <w:rStyle w:val="InternetLink"/>
                  <w:rFonts w:ascii="Times New Roman;serif" w:hAnsi="Times New Roman;serif"/>
                  <w:b w:val="false"/>
                  <w:color w:val="0000FF"/>
                  <w:sz w:val="20"/>
                  <w:u w:val="single"/>
                </w:rPr>
                <w:t>Controls and Procedures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00">
              <w:r>
                <w:rPr>
                  <w:rStyle w:val="InternetLink"/>
                  <w:rFonts w:ascii="Times New Roman;serif" w:hAnsi="Times New Roman;serif"/>
                  <w:b w:val="false"/>
                  <w:strike w:val="false"/>
                  <w:dstrike w:val="false"/>
                  <w:color w:val="000000"/>
                  <w:sz w:val="20"/>
                  <w:u w:val="none"/>
                  <w:effect w:val="none"/>
                </w:rPr>
                <w:t>31</w:t>
              </w:r>
            </w:hyperlink>
          </w:p>
        </w:tc>
      </w:tr>
      <w:tr>
        <w:trPr/>
        <w:tc>
          <w:tcPr>
            <w:tcW w:w="98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03">
              <w:r>
                <w:rPr>
                  <w:rStyle w:val="InternetLink"/>
                  <w:rFonts w:ascii="Times New Roman;serif" w:hAnsi="Times New Roman;serif"/>
                  <w:b/>
                  <w:strike w:val="false"/>
                  <w:dstrike w:val="false"/>
                  <w:color w:val="0000FF"/>
                  <w:sz w:val="20"/>
                  <w:u w:val="none"/>
                  <w:effect w:val="none"/>
                </w:rPr>
                <w:t>PART II:</w:t>
              </w:r>
            </w:hyperlink>
            <w:r>
              <w:rPr>
                <w:color w:val="000000"/>
              </w:rPr>
              <w:t xml:space="preserve"> </w:t>
            </w:r>
            <w:hyperlink w:anchor="i458e61a10e714873b386bdbeb7020a31_103">
              <w:r>
                <w:rPr>
                  <w:rStyle w:val="InternetLink"/>
                  <w:rFonts w:ascii="Times New Roman;serif" w:hAnsi="Times New Roman;serif"/>
                  <w:b w:val="false"/>
                  <w:color w:val="0000FF"/>
                  <w:sz w:val="20"/>
                  <w:u w:val="single"/>
                </w:rPr>
                <w:t>OTHER INFORMATION</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0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06">
              <w:r>
                <w:rPr>
                  <w:rStyle w:val="InternetLink"/>
                  <w:rFonts w:ascii="Times New Roman;serif" w:hAnsi="Times New Roman;serif"/>
                  <w:b w:val="false"/>
                  <w:color w:val="0000FF"/>
                  <w:sz w:val="20"/>
                  <w:u w:val="single"/>
                </w:rPr>
                <w:t>Legal Proceedings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06">
              <w:r>
                <w:rPr>
                  <w:rStyle w:val="InternetLink"/>
                  <w:rFonts w:ascii="Times New Roman;serif" w:hAnsi="Times New Roman;serif"/>
                  <w:b w:val="false"/>
                  <w:strike w:val="false"/>
                  <w:dstrike w:val="false"/>
                  <w:color w:val="000000"/>
                  <w:sz w:val="20"/>
                  <w:u w:val="none"/>
                  <w:effect w:val="none"/>
                </w:rPr>
                <w:t>32</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09">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09">
              <w:r>
                <w:rPr>
                  <w:rStyle w:val="InternetLink"/>
                  <w:rFonts w:ascii="Times New Roman;serif" w:hAnsi="Times New Roman;serif"/>
                  <w:b w:val="false"/>
                  <w:color w:val="0000FF"/>
                  <w:sz w:val="20"/>
                  <w:u w:val="single"/>
                </w:rPr>
                <w:t>Risk Factors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09">
              <w:r>
                <w:rPr>
                  <w:rStyle w:val="InternetLink"/>
                  <w:rFonts w:ascii="Times New Roman;serif" w:hAnsi="Times New Roman;serif"/>
                  <w:b w:val="false"/>
                  <w:strike w:val="false"/>
                  <w:dstrike w:val="false"/>
                  <w:color w:val="000000"/>
                  <w:sz w:val="20"/>
                  <w:u w:val="none"/>
                  <w:effect w:val="none"/>
                </w:rPr>
                <w:t>32</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1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12">
              <w:r>
                <w:rPr>
                  <w:rStyle w:val="InternetLink"/>
                  <w:rFonts w:ascii="Times New Roman;serif" w:hAnsi="Times New Roman;serif"/>
                  <w:b w:val="false"/>
                  <w:color w:val="0000FF"/>
                  <w:sz w:val="20"/>
                  <w:u w:val="single"/>
                </w:rPr>
                <w:t>Unregistered Sales of Equity Securities and Use of Proceeds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12">
              <w:r>
                <w:rPr>
                  <w:rStyle w:val="InternetLink"/>
                  <w:rFonts w:ascii="Times New Roman;serif" w:hAnsi="Times New Roman;serif"/>
                  <w:b w:val="false"/>
                  <w:strike w:val="false"/>
                  <w:dstrike w:val="false"/>
                  <w:color w:val="000000"/>
                  <w:sz w:val="20"/>
                  <w:u w:val="none"/>
                  <w:effect w:val="none"/>
                </w:rPr>
                <w:t>82</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15">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15">
              <w:r>
                <w:rPr>
                  <w:rStyle w:val="InternetLink"/>
                  <w:rFonts w:ascii="Times New Roman;serif" w:hAnsi="Times New Roman;serif"/>
                  <w:b w:val="false"/>
                  <w:color w:val="0000FF"/>
                  <w:sz w:val="20"/>
                  <w:u w:val="single"/>
                </w:rPr>
                <w:t>Defaults Upon Senior Securities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15">
              <w:r>
                <w:rPr>
                  <w:rStyle w:val="InternetLink"/>
                  <w:rFonts w:ascii="Times New Roman;serif" w:hAnsi="Times New Roman;serif"/>
                  <w:b w:val="false"/>
                  <w:strike w:val="false"/>
                  <w:dstrike w:val="false"/>
                  <w:color w:val="000000"/>
                  <w:sz w:val="20"/>
                  <w:u w:val="none"/>
                  <w:effect w:val="none"/>
                </w:rPr>
                <w:t>82</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18">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18">
              <w:r>
                <w:rPr>
                  <w:rStyle w:val="InternetLink"/>
                  <w:rFonts w:ascii="Times New Roman;serif" w:hAnsi="Times New Roman;serif"/>
                  <w:b w:val="false"/>
                  <w:color w:val="0000FF"/>
                  <w:sz w:val="20"/>
                  <w:u w:val="single"/>
                </w:rPr>
                <w:t>Mine Safety Disclosures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18">
              <w:r>
                <w:rPr>
                  <w:rStyle w:val="InternetLink"/>
                  <w:rFonts w:ascii="Times New Roman;serif" w:hAnsi="Times New Roman;serif"/>
                  <w:b w:val="false"/>
                  <w:strike w:val="false"/>
                  <w:dstrike w:val="false"/>
                  <w:color w:val="000000"/>
                  <w:sz w:val="20"/>
                  <w:u w:val="none"/>
                  <w:effect w:val="none"/>
                </w:rPr>
                <w:t>82</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21">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21">
              <w:r>
                <w:rPr>
                  <w:rStyle w:val="InternetLink"/>
                  <w:rFonts w:ascii="Times New Roman;serif" w:hAnsi="Times New Roman;serif"/>
                  <w:b w:val="false"/>
                  <w:color w:val="0000FF"/>
                  <w:sz w:val="20"/>
                  <w:u w:val="single"/>
                </w:rPr>
                <w:t>Other Information</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21">
              <w:r>
                <w:rPr>
                  <w:rStyle w:val="InternetLink"/>
                  <w:rFonts w:ascii="Times New Roman;serif" w:hAnsi="Times New Roman;serif"/>
                  <w:b w:val="false"/>
                  <w:strike w:val="false"/>
                  <w:dstrike w:val="false"/>
                  <w:color w:val="000000"/>
                  <w:sz w:val="20"/>
                  <w:u w:val="none"/>
                  <w:effect w:val="none"/>
                </w:rPr>
                <w:t>83</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24">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24">
              <w:r>
                <w:rPr>
                  <w:rStyle w:val="InternetLink"/>
                  <w:rFonts w:ascii="Times New Roman;serif" w:hAnsi="Times New Roman;serif"/>
                  <w:b w:val="false"/>
                  <w:color w:val="0000FF"/>
                  <w:sz w:val="20"/>
                  <w:u w:val="single"/>
                </w:rPr>
                <w:t>Exhibits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24">
              <w:r>
                <w:rPr>
                  <w:rStyle w:val="InternetLink"/>
                  <w:rFonts w:ascii="Times New Roman;serif" w:hAnsi="Times New Roman;serif"/>
                  <w:b w:val="false"/>
                  <w:strike w:val="false"/>
                  <w:dstrike w:val="false"/>
                  <w:color w:val="000000"/>
                  <w:sz w:val="20"/>
                  <w:u w:val="none"/>
                  <w:effect w:val="none"/>
                </w:rPr>
                <w:t>83</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8e61a10e714873b386bdbeb7020a31_127">
              <w:r>
                <w:rPr>
                  <w:rStyle w:val="InternetLink"/>
                  <w:rFonts w:ascii="Times New Roman;serif" w:hAnsi="Times New Roman;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8e61a10e714873b386bdbeb7020a31_127">
              <w:r>
                <w:rPr>
                  <w:rStyle w:val="InternetLink"/>
                  <w:rFonts w:ascii="Times New Roman;serif" w:hAnsi="Times New Roman;serif"/>
                  <w:b w:val="false"/>
                  <w:strike w:val="false"/>
                  <w:dstrike w:val="false"/>
                  <w:color w:val="000000"/>
                  <w:sz w:val="20"/>
                  <w:u w:val="none"/>
                  <w:effect w:val="none"/>
                </w:rPr>
                <w:t>84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87"/>
        <w:gridCol w:w="2349"/>
        <w:gridCol w:w="2294"/>
        <w:gridCol w:w="211"/>
        <w:gridCol w:w="829"/>
        <w:gridCol w:w="109"/>
        <w:gridCol w:w="109"/>
        <w:gridCol w:w="109"/>
        <w:gridCol w:w="109"/>
        <w:gridCol w:w="211"/>
        <w:gridCol w:w="829"/>
        <w:gridCol w:w="159"/>
      </w:tblGrid>
      <w:tr>
        <w:trPr/>
        <w:tc>
          <w:tcPr>
            <w:tcW w:w="2887"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257,749 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placed in escrow</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noncurrent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6 and 7)</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as of March 31, 2026 and December 31, 2025; no shares were issued and outstanding as of March 31, 2026 and December 31, 2025</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400,000,000 shares authorized as of March 31, 2026 and December 31, 2025; 244,816,413 and 229,413,523 shares issued and outstanding as of March 31, 2026 and December 31, 2025,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(2,010,709)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501"/>
        <w:gridCol w:w="2129"/>
        <w:gridCol w:w="2136"/>
        <w:gridCol w:w="264"/>
        <w:gridCol w:w="922"/>
        <w:gridCol w:w="116"/>
        <w:gridCol w:w="116"/>
        <w:gridCol w:w="116"/>
        <w:gridCol w:w="116"/>
        <w:gridCol w:w="264"/>
        <w:gridCol w:w="922"/>
        <w:gridCol w:w="116"/>
        <w:gridCol w:w="109"/>
        <w:gridCol w:w="109"/>
        <w:gridCol w:w="109"/>
        <w:gridCol w:w="160"/>
      </w:tblGrid>
      <w:tr>
        <w:trPr/>
        <w:tc>
          <w:tcPr>
            <w:tcW w:w="2501"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and 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(expenses),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basic and 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240,290,782 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215,358,619 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before="0" w:after="0"/>
        <w:jc w:val="center"/>
        <w:rPr/>
      </w:pPr>
      <w:r>
        <w:rPr/>
      </w:r>
    </w:p>
    <w:p>
      <w:pPr>
        <w:pStyle w:val="TextBody"/>
        <w:bidi w:val="0"/>
        <w:spacing w:before="0" w:after="0"/>
        <w:jc w:val="center"/>
        <w:rPr/>
      </w:pPr>
      <w:r>
        <w:rPr/>
      </w:r>
    </w:p>
    <w:tbl>
      <w:tblPr>
        <w:tblW w:w="10703" w:type="dxa"/>
        <w:jc w:val="center"/>
        <w:tblInd w:w="0" w:type="dxa"/>
        <w:tblLayout w:type="fixed"/>
        <w:tblCellMar>
          <w:top w:w="28" w:type="dxa"/>
          <w:left w:w="28" w:type="dxa"/>
          <w:bottom w:w="28" w:type="dxa"/>
          <w:right w:w="28" w:type="dxa"/>
        </w:tblCellMar>
      </w:tblPr>
      <w:tblGrid>
        <w:gridCol w:w="841"/>
        <w:gridCol w:w="344"/>
        <w:gridCol w:w="346"/>
        <w:gridCol w:w="593"/>
        <w:gridCol w:w="593"/>
        <w:gridCol w:w="22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75"/>
        <w:gridCol w:w="856"/>
        <w:gridCol w:w="195"/>
        <w:gridCol w:w="109"/>
        <w:gridCol w:w="109"/>
        <w:gridCol w:w="109"/>
        <w:gridCol w:w="231"/>
        <w:gridCol w:w="905"/>
        <w:gridCol w:w="170"/>
      </w:tblGrid>
      <w:tr>
        <w:trPr/>
        <w:tc>
          <w:tcPr>
            <w:tcW w:w="8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229,413,523 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and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offering, net of commissions and offering costs of $0.3 million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12,476,533 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244,816,413 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(2,053,316)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278,875 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703" w:type="dxa"/>
        <w:jc w:val="center"/>
        <w:tblInd w:w="0" w:type="dxa"/>
        <w:tblLayout w:type="fixed"/>
        <w:tblCellMar>
          <w:top w:w="28" w:type="dxa"/>
          <w:left w:w="28" w:type="dxa"/>
          <w:bottom w:w="28" w:type="dxa"/>
          <w:right w:w="28" w:type="dxa"/>
        </w:tblCellMar>
      </w:tblPr>
      <w:tblGrid>
        <w:gridCol w:w="841"/>
        <w:gridCol w:w="344"/>
        <w:gridCol w:w="346"/>
        <w:gridCol w:w="593"/>
        <w:gridCol w:w="593"/>
        <w:gridCol w:w="22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432"/>
        <w:gridCol w:w="770"/>
        <w:gridCol w:w="224"/>
        <w:gridCol w:w="109"/>
        <w:gridCol w:w="109"/>
        <w:gridCol w:w="109"/>
        <w:gridCol w:w="231"/>
        <w:gridCol w:w="905"/>
        <w:gridCol w:w="170"/>
      </w:tblGrid>
      <w:tr>
        <w:trPr/>
        <w:tc>
          <w:tcPr>
            <w:tcW w:w="8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212,210,597 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422,179 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and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2,158,522 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offering, net of commissions and offering costs of $0.2 million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3,842,282 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218,598,262 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(1,879,556)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385,393 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9973" w:type="dxa"/>
        <w:jc w:val="center"/>
        <w:tblInd w:w="0" w:type="dxa"/>
        <w:tblLayout w:type="fixed"/>
        <w:tblCellMar>
          <w:top w:w="28" w:type="dxa"/>
          <w:left w:w="28" w:type="dxa"/>
          <w:bottom w:w="28" w:type="dxa"/>
          <w:right w:w="28" w:type="dxa"/>
        </w:tblCellMar>
      </w:tblPr>
      <w:tblGrid>
        <w:gridCol w:w="2662"/>
        <w:gridCol w:w="2334"/>
        <w:gridCol w:w="2353"/>
        <w:gridCol w:w="212"/>
        <w:gridCol w:w="781"/>
        <w:gridCol w:w="118"/>
        <w:gridCol w:w="118"/>
        <w:gridCol w:w="118"/>
        <w:gridCol w:w="118"/>
        <w:gridCol w:w="212"/>
        <w:gridCol w:w="781"/>
        <w:gridCol w:w="166"/>
      </w:tblGrid>
      <w:tr>
        <w:trPr/>
        <w:tc>
          <w:tcPr>
            <w:tcW w:w="2662"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amortization/accretion on investment securities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rent expense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placed in escrow</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investments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(101,694)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from ATM offering, net of commissions and issuance costs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CIRM award (Note 5)</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upon exercise of stock options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the employee stock purchase plan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 beginning of period</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 end of period</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52,747 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operating activities:</w:t>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purchases in accounts payable and accrued liabilities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63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Allogene Therapeutics, Inc. (the Company or Allogene) was incorporated on November 30, 2017 in the State of Delaware and is headquartered in South San Francisco, California. Allogene is a clinical stage immuno-oncology company pioneering the development of genetically engineered allogeneic T cell product candidates for the treatment of cancer and autoimmune diseases. The Company is developing a pipeline of off-the-shelf T cell product candidates that are designed to target and kill cancer cells in patients or eliminate pathogenic autoreactive cells in patients with autoimmune disorders. The Company’s engineered T cells are allogeneic, meaning they are derived from healthy donors for intended use in any patient, rather than from an individual patient for that patient’s use, as in the case of autologous T cells. The Company believes this key difference will enable it to deliver readily available treatments faster, more reliably, at greater scale, and to more patients.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Public Offerings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2019, the Company entered into a sales agreement with TD Securities (USA) LLC (f/k/a Cowen and Company, LLC) (TD Cowen), as amended on November 2, 2022 and November 2, 2023, under which the Company may from time to time issue and sell shares of its common stock through TD Cowen in at-the-market (ATM) offerings. The aggregate compensation payable to TD Cowen as the Company’s sales agent equals up to 3.0% of the gross sales price of the shares sold through TD Cowen pursuant to the sales agreement. The specified dollar limit on the amount of common stock that may be sold under the sales agreement was removed pursuant to the November 2, 2023 amendment to the sales agreement. During the three months ended March 31, 2026, the Company sold an aggregate of 12,476,533 shares of common stock in ATM offerings resulting in net proceeds of $20.7 million. On April 13, 2026, in connection with the Company’s April 2026 Public Offering as described in Notes 9 and 13, the Company suspended any further ATM offering under the TD Cowen sales agreement until a new prospectus or prospectus supplement is filed with the Securities and Exchange Commission (SEC).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Need for Additional Capital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sustained operating losses and expects to continue to generate operating losses for the foreseeable future. The Company’s ultimate success depends on the outcome of its research and development activities as well as the ability to commercialize the Company’s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cash, cash equivalents and investments of $266.9 million as of March 31, 2026. Since inception through March 31, 2026, the Company has incurred cumulative net losses of $2,053.3 million. Management expects to incur additional losses in the future to fund its operations and conduct product research and development and recognizes the need to raise additional capital to fully implement its business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raise additional capital through the issuance of equity securities, debt financings, collaborations or other sources to further implement its business plan. If additional financing is not available at adequate levels, the Company may need to reevaluate its operating plan and may be required to delay the development of its product candidates. The Company expects that its cash, cash equivalents and investments as of March 31, 2026, together with the net proceeds from the April 2026 Public Offering as described in Notes 9 and 13, will be sufficient to fund its operations for at least the next 12 months from the date the accompanying unaudited condensed financial statements are filed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63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financial statements have been prepared in accordance with accounting principles generally accepted in the United States of America (GAAP) for interim financial information and pursuant to Form 10-Q and Article 10 of Regulation S-X of the SEC. Accordingly, they do not include all of the information and footnotes required by GAAP for complete financial statements. In the Company’s opinion, all adjustments (consisting only of normal recurring adjustments) considered necessary for a fair presentation of the results of operations and cash flows for the periods presented have been included.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balance sheet as of March 31, 2026, the condensed statements of operations and comprehensive loss for the three months ended March 31, 2026 and 2025, the condensed statements of stockholders’ equity as of March 31, 2026 and 2025, the condensed statements of cash flows for the three months ended March 31, 2026 and 2025, and the financial data and other financial information disclosed in the notes to the condensed financial statements are unaudited. The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operations for the three months ended March 31, 2026 are not necessarily indicative of the results to be expected for the year ending December 31, 2026, or for any other future annual or interim period. These condensed financial statements should be read in conjunction with the Company’s audited financial statements and related notes for the year ended December 31, 2025, included in the Company’s Annual Report on Form 10-K, filed with the SEC on March 12, 2026 (Annual Report).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expenses during the reporting period. Significant estimates and assumptions made in the accompanying condensed financial statements include but are not limited to the fair value of common stock, the fair value of stock options, the fair value of investments, income tax uncertainties, the CIRM (as defined below) award liability, and certain accruals. The Company evaluates its estimates and assumptions on an ongoing basis using historical experience and other factors and adjusts those estimates and assumptions when facts and circumstances change. Actual results could differ from those estimates.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accounting policies during the three months ended March 31, 2026, as compared to the significant accounting policies described in Note 1 of the “Notes to Financial Statements” in the Company’s audited financial statements included in its Annual Report.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issued or effective that are expected to have a material impact on the Company’s condensed financial statements.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which requires new disclosures to disaggregate prescribed natural expenses underlying any income statement caption. ASU 2024-03 is effective for annual periods in fiscal years beginning after December 15, 2026, and interim periods thereafter. Early adoption is permitted. ASU 2024-03 applies on a prospective basis for periods beginning after the effective date. However, retrospective application to any or all prior periods presented is permitted. The Company is currently assessing the impact ASU 2024-03 will have on the financial statements and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accounting for internal-use software costs. ASU 2025-06 removes all references to prescriptive and sequential software development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ASU 2025-06 is effective for annual periods beginning after December 15, 2027, with early adoption permitted as of the beginning of an annual period. The Company is currently in the process of evaluating the impact of this pronouncement on the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and reports its cash equivalents, restricted cash, and investments at fair value.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Money market funds are measured at fair value on a recurring basis using quoted prices and are classified as Level 1. Investments are measured at fair value based on inputs other than quoted prices that are derived from observable market data and are classified as Level 2 inputs, except for investments in U.S. treasury securities which are classified as Level 1.</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Level 3 assets or liabilities as of March 31, 2026 and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subject to fair value measurements on a recurring basis and the level of inputs used in such measurements by major security type as of March 31, 2026 and as of December 31, 2025 are presented in the following tables: </w:t>
      </w:r>
    </w:p>
    <w:p>
      <w:pPr>
        <w:pStyle w:val="TextBody"/>
        <w:bidi w:val="0"/>
        <w:spacing w:before="0" w:after="0"/>
        <w:jc w:val="left"/>
        <w:rPr/>
      </w:pPr>
      <w:r>
        <w:rPr/>
      </w:r>
    </w:p>
    <w:tbl>
      <w:tblPr>
        <w:tblW w:w="7162" w:type="dxa"/>
        <w:jc w:val="left"/>
        <w:tblInd w:w="0" w:type="dxa"/>
        <w:tblLayout w:type="fixed"/>
        <w:tblCellMar>
          <w:top w:w="28" w:type="dxa"/>
          <w:left w:w="28" w:type="dxa"/>
          <w:bottom w:w="28" w:type="dxa"/>
          <w:right w:w="28" w:type="dxa"/>
        </w:tblCellMar>
      </w:tblPr>
      <w:tblGrid>
        <w:gridCol w:w="749"/>
        <w:gridCol w:w="658"/>
        <w:gridCol w:w="662"/>
        <w:gridCol w:w="211"/>
        <w:gridCol w:w="721"/>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67" w:type="dxa"/>
        <w:jc w:val="center"/>
        <w:tblInd w:w="0" w:type="dxa"/>
        <w:tblLayout w:type="fixed"/>
        <w:tblCellMar>
          <w:top w:w="28" w:type="dxa"/>
          <w:left w:w="28" w:type="dxa"/>
          <w:bottom w:w="28" w:type="dxa"/>
          <w:right w:w="28" w:type="dxa"/>
        </w:tblCellMar>
      </w:tblPr>
      <w:tblGrid>
        <w:gridCol w:w="749"/>
        <w:gridCol w:w="658"/>
        <w:gridCol w:w="662"/>
        <w:gridCol w:w="211"/>
        <w:gridCol w:w="826"/>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(1)Included within cash and cash equivalents on the Company’s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4.         Financial Instruments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securities by major security type as of March 31, 2026 and as of December 31, 2025 are presented in the following tables:</w:t>
      </w:r>
    </w:p>
    <w:p>
      <w:pPr>
        <w:pStyle w:val="TextBody"/>
        <w:bidi w:val="0"/>
        <w:spacing w:before="0" w:after="0"/>
        <w:jc w:val="left"/>
        <w:rPr/>
      </w:pPr>
      <w:r>
        <w:rPr/>
      </w:r>
    </w:p>
    <w:tbl>
      <w:tblPr>
        <w:tblW w:w="10122" w:type="dxa"/>
        <w:jc w:val="left"/>
        <w:tblInd w:w="0" w:type="dxa"/>
        <w:tblLayout w:type="fixed"/>
        <w:tblCellMar>
          <w:top w:w="28" w:type="dxa"/>
          <w:left w:w="28" w:type="dxa"/>
          <w:bottom w:w="28" w:type="dxa"/>
          <w:right w:w="28" w:type="dxa"/>
        </w:tblCellMar>
      </w:tblPr>
      <w:tblGrid>
        <w:gridCol w:w="1197"/>
        <w:gridCol w:w="1056"/>
        <w:gridCol w:w="1061"/>
        <w:gridCol w:w="262"/>
        <w:gridCol w:w="1027"/>
        <w:gridCol w:w="135"/>
        <w:gridCol w:w="109"/>
        <w:gridCol w:w="109"/>
        <w:gridCol w:w="109"/>
        <w:gridCol w:w="458"/>
        <w:gridCol w:w="881"/>
        <w:gridCol w:w="237"/>
        <w:gridCol w:w="109"/>
        <w:gridCol w:w="109"/>
        <w:gridCol w:w="109"/>
        <w:gridCol w:w="430"/>
        <w:gridCol w:w="982"/>
        <w:gridCol w:w="224"/>
        <w:gridCol w:w="109"/>
        <w:gridCol w:w="109"/>
        <w:gridCol w:w="109"/>
        <w:gridCol w:w="211"/>
        <w:gridCol w:w="826"/>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261,815 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tbl>
      <w:tblPr>
        <w:tblW w:w="10122" w:type="dxa"/>
        <w:jc w:val="center"/>
        <w:tblInd w:w="0" w:type="dxa"/>
        <w:tblLayout w:type="fixed"/>
        <w:tblCellMar>
          <w:top w:w="28" w:type="dxa"/>
          <w:left w:w="28" w:type="dxa"/>
          <w:bottom w:w="28" w:type="dxa"/>
          <w:right w:w="28" w:type="dxa"/>
        </w:tblCellMar>
      </w:tblPr>
      <w:tblGrid>
        <w:gridCol w:w="1197"/>
        <w:gridCol w:w="1056"/>
        <w:gridCol w:w="1061"/>
        <w:gridCol w:w="262"/>
        <w:gridCol w:w="1027"/>
        <w:gridCol w:w="135"/>
        <w:gridCol w:w="109"/>
        <w:gridCol w:w="109"/>
        <w:gridCol w:w="109"/>
        <w:gridCol w:w="423"/>
        <w:gridCol w:w="934"/>
        <w:gridCol w:w="219"/>
        <w:gridCol w:w="109"/>
        <w:gridCol w:w="109"/>
        <w:gridCol w:w="109"/>
        <w:gridCol w:w="475"/>
        <w:gridCol w:w="914"/>
        <w:gridCol w:w="247"/>
        <w:gridCol w:w="109"/>
        <w:gridCol w:w="109"/>
        <w:gridCol w:w="109"/>
        <w:gridCol w:w="211"/>
        <w:gridCol w:w="826"/>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254,872 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remaining contractual maturities of available-for-sale securities were less than 1 year. There were no significant realized losses on available-for-sale securities for the three months ended March 31, 2026 and 2025. As of March 31, 2026, unrealized losses on available-for-sale securities are not attributed to credit risk. The Company believes that it is more likely than not that investments in an unrealized loss position will be held until maturity and all interest and principal will be received. The Company believes that an allowance for credit losses is unnecessary because the unrealized losses on certain of the Company’s available-for-sale securities are due to market factors. As of March 31, 2026 and December 31, 2025, there were no securities in a continuous net unrealized loss position for more than 12 months. To date, the Company has not recorded any impairment charges on available-for-sale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made an accounting policy election not to recognize an allowance for credit losses for accrued interest receivable on available-for-sale securities. As of March 31, 2026 and December 31, 2025, the Company recognized $1.3 million and $1.5 million, respectively, of accrued interest receivable from available-for-sale securities within prepaid expenses and other current assets on the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w:t>
      </w:r>
    </w:p>
    <w:tbl>
      <w:tblPr>
        <w:tblW w:w="6557" w:type="dxa"/>
        <w:jc w:val="left"/>
        <w:tblInd w:w="0" w:type="dxa"/>
        <w:tblLayout w:type="fixed"/>
        <w:tblCellMar>
          <w:top w:w="28" w:type="dxa"/>
          <w:left w:w="28" w:type="dxa"/>
          <w:bottom w:w="28" w:type="dxa"/>
          <w:right w:w="28" w:type="dxa"/>
        </w:tblCellMar>
      </w:tblPr>
      <w:tblGrid>
        <w:gridCol w:w="1369"/>
        <w:gridCol w:w="1203"/>
        <w:gridCol w:w="1208"/>
        <w:gridCol w:w="211"/>
        <w:gridCol w:w="826"/>
        <w:gridCol w:w="109"/>
        <w:gridCol w:w="109"/>
        <w:gridCol w:w="109"/>
        <w:gridCol w:w="109"/>
        <w:gridCol w:w="231"/>
        <w:gridCol w:w="905"/>
        <w:gridCol w:w="168"/>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purchased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145,372 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Accrued and Other Current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12, 2025, the Company’s Board of Directors approved an approximately 28% reduction in the Company’s employee workforce (Workforce Reduction) in connection with a reduction in manufacturing operations and a reprioritization of resources to focus on the Company’s clinical programs. The Workforce Reduction included one-time severance payments and other employee benefits and resulted in impairment of equipment. During the year ended December 31, 2025,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recorded $3.1 million, $0.3 million, and $1.3 million in research and development expense, general and administrative expense, and equipment impairment, respectively, in the statement of operations and comprehensive loss. There were no such costs for the three months ended March 31, 2026 and 2025, respectively. As of March 31, 2026, there were no remaining severance and other employee benefits accruals.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California Institute for Regenerative Medicine (CIRM) Award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26, 2024, the Company was awarded up to $15.0 million from CIRM to support the clinical development of ALLO-316, an AlloCAR T investigational product targeting CD70 in development for the treatment of advanced or metastatic renal cell carcinoma (RCC). Upon treatment of 20 patients, the Company met the primary study objectives of the ALLO-316 Phase 1b study plan supported by CIRM and was able to successfully complete the study plan on time and under budget without further enrollment. As a result, the Company updated the study plan and requested a reduction in its co-funding responsibility and adjustments to the remaining milestone payments to align with the updated research plan. On April 28, 2025, the terms of the award were amended, and the total award amount was adjusted to up to $9.2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terms of the award, the disbursements are tied to the achievement of specified operational milestones. In addition, the terms of the award and amended award include a co-funding requirement pursuant to which the Company is required to spend up to approximately $15.7 million of its own capital to fund the CIRM funded research project. The award was made in accordance with the CIRM Grants Administration Policy for Clinical Stage Projects which may require the award to be repaid by the Company. Under the terms of the CIRM award, the Company is obligated to pay royalties based on a low single digit royalty percentage on net sales of CIRM-funded product candidate. The maximum royalty that the Company may be required to pay to CIRM is equal to nine times the total amount awarded and paid to the Company.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completing the CIRM funded research project and at any time after the award period end date (but no later than the ten-year anniversary of the date of the award), the Company has the right, upon its election, to convert the award into a loan. The terms of conversion into a loan will be determined based on various factors and could result in 80% to 100% plus interest at 10% per annum plus the Secured Overnight Financing Rate of the total award dependent upon the phase of clinical development of the product candidate at the time of the Company’s election to be repaid to CIRM.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income associated with the CIRM award will be recognized until it is confirmed with CIRM that the award does not require repayment. Upon cash receipt, the CIRM award and accrued interest will be recognized as other long-term liabilities on the condensed balance sheets. The Company will not recognize a receivable of future awards until it is approved by CIRM.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$9.2 million from CIRM through March 31, 2026 and accounted for the proceeds as a liability within other long-term liabilities on the condensed balance sheets. The Company recorded interest expense of $0.3 million and $0.2 million for the three months ended March 31, 2026 and 2025, respectively. As of March 31, 2026, $1.6 million of accrued interest was included in other long-term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6.         License and Collaboration Agreements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Asset Contribution Agreement with Pfizer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2018, the Company entered into an Asset Contribution Agreement (the Pfizer Agreement) with Pfizer pursuant to which the Company acquired certain assets and assumed certain liabilities from Pfizer, including agreements with Cellectis S.A. (Cellectis) and Servier as described below, and other intellectual property for the development and administration of chimeric antigen receptor (CAR) T cells for the treatment of cancer. The Company is required to make payments upon the achievement of certain sales and regulatory milestones and pay royalties on certain net sales pursuant to the Pfizer Agreement as further described in Note 6 to the Annual Report.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no milestones were achieved and no royalty payments were made.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Collaboration and License Agreement with Cellectis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Pfizer Agreement, Pfizer assigned to the Company a Research Collaboration and License Agreement (the Original Cellectis Agreement) with Cellectis S.A. (Cellectis). On March 8, 2019, the Company entered into a License Agreement (the Cellectis Agreement) with Cellectis and terminated the Original Cellectis Agreement.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Cellectis Agreement, Cellectis granted to the Company an exclusive, worldwide, royalty-bearing license, on a target-by-target basis, with sublicensing rights under certain conditions, under certain of Cellectis’s intellectual property, including its TALEN and electroporation technology, to make, use, sell, import, and otherwise exploit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commercialize CAR T products directed at certain targets, including B-cell maturation antigen (BCMA), CD70, Claudin 18.2, DLL3 and FLT3 (the Allogene Targets), for human oncologic therapeutic, diagnostic, prophylactic and prognostic purposes. The Company is required to make payments upon the achievement of certain development and sales milestones and pay royalties on certain net sales pursuant to the Cellectis Agreement as further described in Note 6 to the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the Company received correspondence from Life Technologies Corporation (LTC), a subsidiary of Thermo Fisher Scientific, asserting that Cellectis had sublicensed to the Company or otherwise made available rights under certain patents licensed by LTC to Cellectis relating to TALEN technology, and that LTC had terminated its license agreements with Cellectis. Cellectis separately informed the Company that LTC had purported to terminate certain license agreements with Cellectis and commenced an arbitration against Cellectis and Cellectis Bioresearch before the American Arbitration Association. Cellectis also informed the Company that it disputes the purported termination and the claims asserted by LTC. The Company is not a party to the arbitration and is evaluating the potential impact, if any, on its rights under the Cellectis Agreement and its other rights relating to product candidates that use TALEN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no milestones were achieved and no royalty payments were made.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Exclusive License Agreement with Servier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Pfizer Agreement, Pfizer assigned to the Company an Exclusive License Agreement (the Original Servier Agreement), with Les Laboratoires Servier SAS and Institut de Recherches Internationales Servier SAS (collectively, Servier) to develop, manufacture and commercialize certain allogeneic anti-CD19 CAR T cell product candidates, including UCART19, in the United States with the option to obtain the rights over additional anti-CD19 product candidates and for allogeneic CAR T cell product candidates directed against one additional target. In October 2019, the Company agreed to waive its rights to the one additional target.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10, 2024, the Company and Servier entered into an Amendment and Settlement Agreement (the Servier Amendment) which restructured the parties’ relationship under the Original Servier Agreement (as amended, the Servier Agreement). The Company’s licensed territory was expanded to include the European Union and the United Kingdom. The Company was also granted an option to further extend its licensed territory to include China and Japan upon the objective showing of sufficient resources to develop licensed products in those countries, which could be met through the Company entering into a strategic partnership covering those countries. Additionally, the Company agreed to waive certain of its rights under the Original Servier Agreement to elect a conversion of its license to the products directed against CD19, including UCART19, ALLO-501 and cemacabtagene ansegedleucel (cema-cel, previously ALLO-501A) (collectively, CD19 Products) to a worldwide license. Under the Servier Agreement, the Company is required to use commercially reasonable efforts to develop, manufacture and commercialize a CD19 Product.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Servier Agreement, Servier sublicenses to the Company certain rights which Servier licenses from Cellectis pursuant to a License, Development and Commercialization Agreement by and between Cellectis and Servier, dated February 7, 2014, as amended by Amendment No. 1 to the License, Development and Commercialization Agreement, dated March 4, 2020 (as amended, the Servier-Cellectis Agreement). As amended by the Servier Amendment, all of the Company’s future milestone payments (regulatory and sales) under the Original Servier Agreement were modified to be the same as, and to coincide with, Servier’s milestone payments to Cellectis that are required under the Servier-Cellectis Agreement. The Servier Agreement provides for aggregate potential milestone payments by the Company to Servier of up to €75.0 million upon successful completion of various regulatory milestones and first commercial sale milestones in the United States, European Union and the United Kingdom for the initial indication of each licensed product, of which €60.0 million remains for the initial indication for cema-cel, with additional payments of €55.0 million, due for each subsequent indication, of which €50.0 million remains for the first subsequent indication for cema-cel, and aggregate potential payments by the Company to Servier of up to €80.0 million upon achievement of certain net sales milestones for each licensed product. Should Servier’s rights and obligations under the Servier-Cellectis Agreement be assigned to the Company, these milestone payments would terminate, and the Company would assume Servier’s milestone payment obligations to Cellectis. In the absence of any such assignment, Servier will remain responsible for making milestone payments that may be due to Cellectis under the Servier-Cellectis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previously transferred €20.0 million into an escrow account in connection with a potential future milestone payment, which is included in the remaining €60.0 million in milestone payments referenced above for the initial indication for cema-cel. The milestone would have been payable upon the occurrence of certain development, regulatory or adjudicative events. On December 15, 2025, an arbitral tribunal issued a decision providing for a partial termination of the Servier-Cellectis Agreement with respect to UCART19V1 (ALLO-501), which the Company previously abandoned in favor of cema-cel (formerly known as ALLO-501A). As a result, the Company's Servier license covering UCART19V1/ALLO-501 was terminated and Cellectis was required, at the Company's request, to engage in good-faith discussions regarding a direct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February 13, 2026, the €20.0 million balance in escrow was remitted to the Company, resulting in net cash proceeds of $23.7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pay to Servier royalties on annual net sales of any licensed products that are commercialized by the Company that are directed at CD19. Such royalties include tiered royalties on annual net sales in the United States and a flat royalty on annual net sales in territories outside the United States. The United States royalty rates are in a range from the low tens to the mid teen percentages and the ex-U.S. royalty rate is 10%. Such royalties may be reduced for interchangeable drug entry, expiration of patent rights and amounts paid pursuant to licenses of third-party patents. This royalty obligation begins upon the first commercial sale of such product in a given country and ends after the later of a defined number of years or the expiration of the last to expire licensed patent covering the product in such country. The net effect of the Servier Amendment is that the Company’s royalty rate in the United States for the first half of the first tier of net sales was increased by a low single digit percentage as compared to the Original Servier Agreement. Should Servier’s rights and obligations under the Servier-Cellectis Agreement be assigned to the Company, each tier of royalty rates in the United States to Servier would be reduced by 10%, the ex-U.S. royalties to Servier would terminate, and the Company would assume Servier’s royalty obligations to Cellectis. In the absence of any such assignment, Servier will remain responsible for making royalty payments that may be due to Cellectis under the Servier-Cellectis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rights under the Servier Agreement with respect to CD19 Products, including cema-cel, depend in part on rights sublicensed by Servier from Cellectis. Accordingly, the purported termination of certain license agreements between LTC and Cellectis described above under “Research Collaboration and License Agreement with Cellectis” could also affect the Company’s rights with respect to CD19 Products if LTC were successful in challenging Cellectis’ rights and if the affected rights are necessary for the development, manufacture or commercialization of such products. The Company is not a party to the arbitration between LTC and Cellectis and is evaluating the potential impact, if any, on its rights under the Servier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no milestones were achieved and no royalty payments were made.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Collaboration and License Agreement with Roche (formerly Notch Therapeutics)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 2019, the Company entered into a Collaboration and License Agreement (the Notch Agreement) with Notch Therapeutics Inc. (Notch), pursuant to which Notch granted to Allogene an exclusive, worldwide, royalty-bearing, sublicensable license under certain of Notch’s intellectual property to develop, make, use, sell, import, and otherwise commercialize therapeutic gene-edited T cell and/or natural killer (NK) cell products from induced pluripotent stem cells directed at certain CAR targets for initial application in non-Hodgkin lymphoma, acute lymphoblastic leukemia and multiple myeloma. Pursuant to the Notch Agreement, the Company made certain investments in Notch’s capital stock as further described in Note 6 to the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25, 2024, the Company entered into an Amended and Restated Collaboration and License Agreement under which the Company has relinquished its exclusive rights to all original CAR targets except one, limited its option right to one additional CAR target and became entitled to a percentage of certain third party upfront and/or milestone payments (up to a stated cap) and a low, single-digit royalty on net sales if Notch out-licenses any released targets. If the option is exercised, the Company will have a minimum funding commitment for the overall development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F. Hoffmann-La Roche AG’s (Roche) acquisition of Notch, in March 2025, Notch was dissolved, and Roche became Notch’s successor in interest under the Company’s agreement. In connection with such acquisition, on March 31, 2025 the Company entered into a Second Amendment to Amended and Restated Collaboration and License Agreement (Second Amended Notch Agreement) with Notch under which the definitions of certain terms were clarified, certain time periods for completing the transfer of certain technology were extended, and the scope of Allogene’s exclusive rights were clarified. Notch dissolved on September 2, 2025 and final proceeds were distributed to the Company.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equity investment in Notch as of March 31, 2026 and December 31, 2025 was zero. For the three months ended March 31, 2026 and 2025, no milestones were achieved.</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Strategic Alliance with The University of Texas MD Anderson Cancer Center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6, 2020, the Company entered into a strategic five-year collaboration agreement with The University of Texas MD Anderson Cancer Center (MD Anderson) for the preclinical and clinical investigation of allogeneic CAR T cell product candidates. In August 2025, the Company extended the term of the agreement for an additional year. The Company and MD Anderson are collaborating on the design and conduct of preclinical and clinical studies with oversight from a joint steering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agreement, the Company has committed up to $15.0 million of funding for the duration of the agreement, of which $6.0 million remains. Payment of this funding is contingent on mutual agreement to study orders in order for any study to be included under the alliance. The Company is committed to make further payments to MD Anderson each year upon the anniversary of the agreement effective date through the duration of the agreement term, however, if MD Anderson has sufficient funds to continue the agreed-upon research projects, the Company may defer the additional payment to a later date. These costs are expensed to research and development as MD Anderson renders the services under the strategic alliance.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costs recorded as research and development expenses were $0.1 million and $0.4 million for the three months ended March 31, 2026 and 2025,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Investment in and License Agreement with Overland Therapeutics, Inc.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Allogene Overland Biopharm (CY) Limited (Allogene Overland), later renamed Overland Therapeutics Inc. (Overland Therapeutics), was initially established as a joint venture by the Company and Overland Pharmaceuticals (CY) Inc. (Overland) pursuant to a Share Purchase Agreement (Share Purchase Agreement), dated December 14, 2020. Concurrently, on December 14, 2020, the Company entered into a License Agreement (License Agreement) with Allogene Overland for the purpose of developing, manufacturing and commercializing certain allogeneic CAR T cell therapies for patients in greater China, Taiwan, South Korea and Singapore (the JV Territory). Pursuant to the Share Purchase Agreement, the Company and Overland acquired Seed Preferred Shares of Allogene Overland representing 49% and 51%, respectively, of Allogene Overland’s outstanding stock.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24, 2024, the Company, Overland, and Allogene Overland entered into a Share Exchange Agreement (Share Exchange Agreement) pursuant to which Overland’s cell therapy business merged into Allogene Overland (the Organizational Restructuring).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Share Exchange Agreement, Allogene Overland acquired from Overland a 100% equity interest in Overland Pharmaceuticals (U.S.) Inc. (Overland U.S.). Overland U.S. includes certain research and development, clinical, and general and administrative staff, as well as select cell therapy assets, including its lead program, OL-101, an autologous GPRC5D-BCMA bispecific dual targeting CAR T for refractory multiple myeloma. Upon completion of the closing of the share exchange, Overland U.S. became a wholly owned subsidiary of Allogene Overland, Overland’s ownership increased to 82% and the Company’s ownership decreased to 18%.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Organizational Restructuring, on May 24, 2024, the Company and Allogene Overland PRC, entered into a First Amendment to the License Agreement (the License Amendment) to amend and supplement certain provisions of the License Agreement. Under the License Amendment, the Company continues to grant Allogene Overland PRC an exclusive license to develop, manufacture, and commercialize the Licensed Products in the JV Territory, with the Company retaining exclusive rights to the Licensed Products outside the JV Territory, and the royalty obligations to the Company were amended to a flat mid single-digit royalty on net sales in the JV Territory that are no longer subject to reductions. The License Amendment also provides the Company with additional rights to terminate the License Agreement in its entirety or with respect to the relevant Overland Licensed Products if Allogene Overland PRC fails to initiate manufacturing technology transfer with respect to an Overland Licensed Product as agreed in the License Amendment, or if HBP commits a funding default or a material breach of its representations, warranties, or covenants under the Share Exchange Agreement. The License Amendment also provides that the License Agreement will terminate automatically if the Company’s ownership in Allogene Overland falls below 7.5% (other than due to the Company’s sale of the shares of Allogene Overland), unless at that time Allogene Overland PRC and the Company have mutually agreed on the manufacturing technology transfer plan for the Overland Licensed Products and Allogene Overland PRC elects to continue the license for such Overland Licensed Products with increased milestones and royalties. Under the License Amendment terms such increased milestones and royalties consist of up to $115.0 million in milestone payments for each Overland Licensed Product and tiered mid single-digit to low double-digit royalties on net sales in the JV Territory.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Organizational Restructuring, Allogene Overland was renamed Overland Therapeutics Inc. (Overland Therapeutics).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Overland Therapeutics is a variable interest entity as of March 31, 2026 and December 31, 2025. The Company does not have the power to direct the activities which most significantly affect Overland Therapeutics’ economic performance. Accordingly, the Company did not consolidate Overland Therapeutics because the Company determined that it was not the primary beneficiary. After the Organizational Restructuring, the Company has 20% voting rights of Overland Therapeutics’ board of directors. The Company concluded that it has significant influence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Overland Therapeutics and continued to account for its investment in Overland Therapeutics as an equity method investment. The Company’s total equity investment in Overland Therapeutics as of March 31, 2026 and December 31, 2025 was zero. Collaboration revenue was zero for the three months ended March 31, 2026 and 2025. As of March 31, 2026 and December 31, 2025, $4.6 million of deferred revenue was recorded in other long-term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2026, the Company entered into a termination agreement with Overland Therapeutics (SH) Co. Ltd. and Overland Therapeutics Inc., pursuant to which the License Agreement was terminated in its entirety. The parties also provided mutual releases of claims, and no termination payments were made in connection with the termination. In connection with the termination and related transactions, the Company surrendered a portion of its equity interests in Overland Therapeutics, resulting in a reduction of its ownership interest to approximately 3% on an as-converted and fully diluted basis.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assessing the impact of these transactions on its operations and financial statements.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and License Agreement with Antion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5, 2022, the Company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2023, the Company and Antion entered into an amendment to the Antion Collaboration and License Agreement. Under the terms of this amendment, Antion’s exclusivity obligation relating to the collaboration was terminated; however, Antion agreed to certain restrictions on its ability to pursue products directed against specific targets. Also, in lieu of the Company’s prior obligation to make a $3.0 million investment in Antion following the completion of certain milestones, the Company agreed to make a $2.0 million investment in Antion’s preferred stock and acquired warrants to purchase an additional $3.0 million of Antion’s preferred stock. The Company is required to make payments upon the achievement of certain development and regulatory milestones and pay royalties on certain sales pursuant to the Antion Collaboration and License Agreement as further described in Note 6 to the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Company’s total equity investment in Antion was zero.</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Strategic Collaboration Agreement with Foresight Diagnostics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 2024, the Company entered into a Strategic Collaboration Agreement with Foresight Diagnostics, Inc. (Foresight Diagnostics) (the Foresight Agreement). Foresight Diagnostics was acquired by Natera, Inc. (Natera) in December 2025 and continues to operate as a standalone subsidiary. Pursuant to the Foresight Agreement, the parties have agreed to collaborate on a non-exclusive basis in the development of Foresight Diagnostics’ minimal residual disease (MRD) assay based on their PhasED-Seq Circulating Tumor DNA Platform as an in vitro diagnostic to identify the MRD+ patient population to be enrolled in the Company’s planned ALPHA3 trial of cema-cel, for treatment of large B-cell lymphoma (LBCL). Under the Foresight Agreement, the Company has agreed to use its commercially reasonable efforts to obtain regulatory approval of cema-cel, and Foresight Diagnostics has agreed to use its commercially reasonable efforts to obtain regulatory approval of its MRD assay for use as an in vitro diagnostic with cema-cel. Under the Foresight Agreement, the Company has agreed to fund approximately $26.2 million in MRD assay development costs, milestone payments for regulatory submissions and assay utilization to process clinical samples.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Company entered into an Amended and Restated Strategic Collaboration Agreement with Foresight Diagnostics which expands its collaboration to include the development of Foresight Diagnostics’ MRD assay for use with cema-cel as part of a possible EU and/or UK clinical development program, and as part of an expansion of ALPHA3 to Canadian and Australian clinical trial sites in support of the U.S. clinical development program. In total, the Company agreed to fund approximately $37.3 million in MRD assay development costs, milestone payments for U.S., and certain international regulatory submissions and assay utilization costs to process clinical samples, all in addition to the financial commitments under the Foresight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 milestones recorded as research and development expenses were $2.5 million and $1.3 million for the three months ended March 31, 2026 and 2025, respectively. As of March 31, 2026 and December 31, 2025, $2.5 million and $1.4 million in research and development expenses, respectively, were recorded in accrued and other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2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2018, the Company entered into an operating lease agreement (HQ Lease) for office and laboratory space which consists of approximately 68,000 square feet located in South San Francisco, California. In December 2021,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Company amended its lease agreement to lease an additional 47,566 square feet of office and laboratory space in South San Francisco, California, as part of the same building as the Company’s current headquarters. The lease term commenced in April 2022. The rent payments for the expansion premises began in August 2022. The lease term for both the existing and expansion premises will expire on March 31, 2032 with an option to extend the term for eight years which is not reasonably assured of exercise.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2018, the Company entered into an operating lease agreement for office and laboratory space which consists of 14,943 square feet located in South San Francisco, California. The lease term will expire March 31, 2032 with an option to extend the term for eight years which is not reasonably assured of exercise.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2019, the Company entered into a lease agreement for approximately 118,000 square feet of space to develop a cell therapy manufacturing facility in Newark, California. The lease term will expire on July 31, 2036 with two ten-year options to extend the lease, both of which are not reasonably assured of exercise.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the Company entered into a sublease with Bellco Capital Advisors Inc. (Bellco) for 2,218 square feet of office space in Los Angeles, California, which was subsequently reduced to 1,944 square feet in February 2026. The sublease term is 115 months, subject to certain early termination rights. The sublease commenced on January 1, 2024.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letters of credit for the benefit of landlords which is disclosed as restricted cash in the condensed balance sheets. Restricted cash related to letters of credit due to landlords was $6.0 million as of March 31, 2026 and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balance sheet classification of the Company’s lease liabilities was as follows (in thousands):</w:t>
      </w:r>
    </w:p>
    <w:tbl>
      <w:tblPr>
        <w:tblW w:w="8640" w:type="dxa"/>
        <w:jc w:val="left"/>
        <w:tblInd w:w="0" w:type="dxa"/>
        <w:tblLayout w:type="fixed"/>
        <w:tblCellMar>
          <w:top w:w="28" w:type="dxa"/>
          <w:left w:w="28" w:type="dxa"/>
          <w:bottom w:w="28" w:type="dxa"/>
          <w:right w:w="28" w:type="dxa"/>
        </w:tblCellMar>
      </w:tblPr>
      <w:tblGrid>
        <w:gridCol w:w="2041"/>
        <w:gridCol w:w="1793"/>
        <w:gridCol w:w="1806"/>
        <w:gridCol w:w="109"/>
        <w:gridCol w:w="109"/>
        <w:gridCol w:w="109"/>
        <w:gridCol w:w="211"/>
        <w:gridCol w:w="721"/>
        <w:gridCol w:w="109"/>
        <w:gridCol w:w="109"/>
        <w:gridCol w:w="109"/>
        <w:gridCol w:w="109"/>
        <w:gridCol w:w="253"/>
        <w:gridCol w:w="867"/>
        <w:gridCol w:w="185"/>
      </w:tblGrid>
      <w:tr>
        <w:trPr/>
        <w:tc>
          <w:tcPr>
            <w:tcW w:w="2041"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portion included in accrued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83,253 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for operating leases, which were recognized in operating expenses, were as follows (in thousands):</w:t>
      </w:r>
    </w:p>
    <w:tbl>
      <w:tblPr>
        <w:tblW w:w="5002"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211"/>
        <w:gridCol w:w="616"/>
        <w:gridCol w:w="109"/>
        <w:gridCol w:w="109"/>
        <w:gridCol w:w="109"/>
        <w:gridCol w:w="109"/>
        <w:gridCol w:w="211"/>
        <w:gridCol w:w="616"/>
        <w:gridCol w:w="109"/>
        <w:gridCol w:w="109"/>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undiscounted future non-cancellable lease payments under the Company’s operating leases as of March 31, 2026 were as follows:</w:t>
      </w:r>
    </w:p>
    <w:tbl>
      <w:tblPr>
        <w:tblW w:w="4706" w:type="dxa"/>
        <w:jc w:val="left"/>
        <w:tblInd w:w="0" w:type="dxa"/>
        <w:tblLayout w:type="fixed"/>
        <w:tblCellMar>
          <w:top w:w="28" w:type="dxa"/>
          <w:left w:w="28" w:type="dxa"/>
          <w:bottom w:w="28" w:type="dxa"/>
          <w:right w:w="28" w:type="dxa"/>
        </w:tblCellMar>
      </w:tblPr>
      <w:tblGrid>
        <w:gridCol w:w="1080"/>
        <w:gridCol w:w="951"/>
        <w:gridCol w:w="954"/>
        <w:gridCol w:w="109"/>
        <w:gridCol w:w="109"/>
        <w:gridCol w:w="109"/>
        <w:gridCol w:w="271"/>
        <w:gridCol w:w="926"/>
        <w:gridCol w:w="197"/>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r>
              <w:rPr>
                <w:rFonts w:ascii="Times New Roman;serif" w:hAnsi="Times New Roman;serif"/>
                <w:b/>
                <w:color w:val="000000"/>
                <w:sz w:val="20"/>
              </w:rPr>
              <w:t>(In thousands)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9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2031 and 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are based on the net present value of the remaining lease payments over the remaining lease term. In determining the present value of lease payments, the Company uses its estimated incremental borrowing rate. The weighted average discount rate used to determine the operating lease liability was 6.50%. As of March 31, 2026, the weighted average remaining lease term for the Company’s operating leases is 6.94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2024 and January 2025, the Company entered into non-cancelable agreements under which it subleased approximately 46,011 square feet of its HQ Lease to two unaffiliated companies. In July 2025, the Company entered into a non-cancelable agreement under which it subleased one of its leased buildings in South San Francisco to one unaffiliated company. During the three months ended March 31, 2026 and 2025, the Company recognized $0.8 million and $0.3 million, respectively, in sublease income under the interest and other income, net caption within the condensed statements of operations.</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2020, the Company entered into a Solar Power Purchase and Energy Services Agreement for the installation and operation of a solar photovoltaic generating system and battery energy storage system at the Company’s cell therapy manufacturing facility in Newark, California. The agreement has a term of 20 years and commenced in September 2022. The Company is obligated to pay for electricity generated from the system at an agreed rate for the duration of the agreement term. Termination of the agreement by the Company will result in a termination payment due of approximately $4.3 million. In connection with the agreement, the Company maintains a letter of credit for the benefit of the service provider in the amount of $4.3 million which is recorded as restricted cash in the condensed balance sheets as of March 31, 2026 and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certain license agreements for intellectual property which is used as part of its development and manufacturing processes. Each of these respective agreements are generally cancellable by the Company. These agreements require payment of annual license fees and may include conditional milestone payments for achievement of specific research, clinical and commercial events, and royalty payments. The timing and likelihood of any significant conditional milestone payments or royalty payments becoming due was not probable as of March 31, 2026. </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or its business partners are from time to time subject to legal claims and regulatory actions that could have a material adverse effect on its business or financial position. The Company assesses its potential liability in such situations by analyzing the possible outcomes of various litigation, regulatory, and settlement strategies. If the Company determines that a material loss is probable and its amount can be reasonably estimated, it will accrue an amount equal to the estimated loss. As of March 31, 2026, the Company did not accrue any estimated losses related to its ongoing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were 8,964,856 shares reserved by the Company under the 2018 Equity Incentive Plan (the 2018 Plan) for the future issuance of equity awards.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option activity under the 2018 Plan:</w:t>
      </w:r>
    </w:p>
    <w:tbl>
      <w:tblPr>
        <w:tblW w:w="10205" w:type="dxa"/>
        <w:jc w:val="left"/>
        <w:tblInd w:w="0" w:type="dxa"/>
        <w:tblLayout w:type="fixed"/>
        <w:tblCellMar>
          <w:top w:w="28" w:type="dxa"/>
          <w:left w:w="28" w:type="dxa"/>
          <w:bottom w:w="28" w:type="dxa"/>
          <w:right w:w="28" w:type="dxa"/>
        </w:tblCellMar>
      </w:tblPr>
      <w:tblGrid>
        <w:gridCol w:w="1357"/>
        <w:gridCol w:w="1175"/>
        <w:gridCol w:w="1183"/>
        <w:gridCol w:w="540"/>
        <w:gridCol w:w="541"/>
        <w:gridCol w:w="266"/>
        <w:gridCol w:w="109"/>
        <w:gridCol w:w="109"/>
        <w:gridCol w:w="109"/>
        <w:gridCol w:w="244"/>
        <w:gridCol w:w="594"/>
        <w:gridCol w:w="127"/>
        <w:gridCol w:w="109"/>
        <w:gridCol w:w="109"/>
        <w:gridCol w:w="109"/>
        <w:gridCol w:w="345"/>
        <w:gridCol w:w="345"/>
        <w:gridCol w:w="346"/>
        <w:gridCol w:w="109"/>
        <w:gridCol w:w="109"/>
        <w:gridCol w:w="109"/>
        <w:gridCol w:w="462"/>
        <w:gridCol w:w="1355"/>
        <w:gridCol w:w="344"/>
      </w:tblGrid>
      <w:tr>
        <w:trPr/>
        <w:tc>
          <w:tcPr>
            <w:tcW w:w="135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Options</w:t>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w:t>
              <w:br/>
              <w: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31,138,077 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6,995,020 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(214,612)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37,916,047 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March 31, 2026</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22,823,105 </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March 31, 2026</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37,916,047 </w:t>
            </w:r>
          </w:p>
        </w:tc>
        <w:tc>
          <w:tcPr>
            <w:tcW w:w="2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restricted stock unit activity under the 2018 Plan:</w:t>
      </w:r>
    </w:p>
    <w:tbl>
      <w:tblPr>
        <w:tblW w:w="10205" w:type="dxa"/>
        <w:jc w:val="left"/>
        <w:tblInd w:w="0" w:type="dxa"/>
        <w:tblLayout w:type="fixed"/>
        <w:tblCellMar>
          <w:top w:w="28" w:type="dxa"/>
          <w:left w:w="28" w:type="dxa"/>
          <w:bottom w:w="28" w:type="dxa"/>
          <w:right w:w="28" w:type="dxa"/>
        </w:tblCellMar>
      </w:tblPr>
      <w:tblGrid>
        <w:gridCol w:w="839"/>
        <w:gridCol w:w="709"/>
        <w:gridCol w:w="713"/>
        <w:gridCol w:w="540"/>
        <w:gridCol w:w="541"/>
        <w:gridCol w:w="335"/>
        <w:gridCol w:w="109"/>
        <w:gridCol w:w="109"/>
        <w:gridCol w:w="109"/>
        <w:gridCol w:w="396"/>
        <w:gridCol w:w="964"/>
        <w:gridCol w:w="207"/>
        <w:gridCol w:w="109"/>
        <w:gridCol w:w="109"/>
        <w:gridCol w:w="109"/>
        <w:gridCol w:w="766"/>
        <w:gridCol w:w="766"/>
        <w:gridCol w:w="768"/>
        <w:gridCol w:w="109"/>
        <w:gridCol w:w="109"/>
        <w:gridCol w:w="109"/>
        <w:gridCol w:w="325"/>
        <w:gridCol w:w="1113"/>
        <w:gridCol w:w="242"/>
      </w:tblGrid>
      <w:tr>
        <w:trPr/>
        <w:tc>
          <w:tcPr>
            <w:tcW w:w="83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Restricted Stock Units</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Restricted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 Date Fair</w:t>
              <w:br/>
              <w:t>Value per</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Vesting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16,528,226 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3,854,459 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(2,482,047)</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(1,941,228)</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15,959,410 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March 31, 2026</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15,959,410 </w:t>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unreleased as of March 31, 2026</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238,500 </w:t>
            </w:r>
          </w:p>
        </w:tc>
        <w:tc>
          <w:tcPr>
            <w:tcW w:w="3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4,689,631 outstanding performance-based restricted stock units. No performance-based restricted stock units were granted during the three months ended March 31, 2026. These awards are subject to the holders’ continuous service to the Company through each applicable vesting event. Through March 31, 2026, the Company believes that the achievement of the requisite performance conditions for these awards are not probable. As a result, no compensation expense has been recognized related to the performance-based restricted stock units in the three months ended March 31, 2026 and 2025.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zero outstanding restricted stock units with a market condition to certain executive officers and other employees pursuant to the 2018 Plan. Stock-based compensation expense recognized related to the restricted stock units with a market condition was zero and less than $0.1 million for the three months ended March 31, 2026 and 2025, respectively.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following table presents stock-based compensation expense related to stock options, restricted stock units and employee stock purchase plans that was recorded as research and development and general and administrative expense in its condensed statements of operations and comprehensive loss: </w:t>
      </w:r>
    </w:p>
    <w:tbl>
      <w:tblPr>
        <w:tblW w:w="5856" w:type="dxa"/>
        <w:jc w:val="left"/>
        <w:tblInd w:w="0" w:type="dxa"/>
        <w:tblLayout w:type="fixed"/>
        <w:tblCellMar>
          <w:top w:w="28" w:type="dxa"/>
          <w:left w:w="28" w:type="dxa"/>
          <w:bottom w:w="28" w:type="dxa"/>
          <w:right w:w="28" w:type="dxa"/>
        </w:tblCellMar>
      </w:tblPr>
      <w:tblGrid>
        <w:gridCol w:w="995"/>
        <w:gridCol w:w="872"/>
        <w:gridCol w:w="877"/>
        <w:gridCol w:w="109"/>
        <w:gridCol w:w="109"/>
        <w:gridCol w:w="109"/>
        <w:gridCol w:w="211"/>
        <w:gridCol w:w="616"/>
        <w:gridCol w:w="109"/>
        <w:gridCol w:w="109"/>
        <w:gridCol w:w="109"/>
        <w:gridCol w:w="109"/>
        <w:gridCol w:w="211"/>
        <w:gridCol w:w="721"/>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Related Party Transactions</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Collaboration Revenue and Equity Method Investment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2020, the Company entered into the License Agreement with Overland Therapeutics, a corporate joint venture entity and related party (see Note 6). The License Agreement was subsequently assigned to a wholly-owned subsidiary of Allogene Overland, Allogene Overland HK. On April 1, 2022, Allogene Overland HK assigned the License Agreement to Allogene Overland Biopharm (PRC) Co., Limited. On May 24, 2024, the License Agreement was amended. On May 12, 2026, the License Agreement was terminated.</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Sublease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2018, the Company entered into a sublease with Bellco Capital LLC (Bellco) for 1,293 square feet of office space in Los Angeles, California for a three year term. On April 1, 2020, Bellco assumed all rights, title, interests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the sublease from Bellco. In November 2021, the sublease was extended to June 30, 2025. The sublease was amended, effective in July 2022, to move to a nearby location, with office space of 737 square feet. In 2023, the Company exercised its early termination right under the sublease agreement and the sublease was terminated effective December 31, 2023.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2023, the Company entered into a new sublease agreement with Bellco for 2,218 square feet of office space in Los Angeles, California, which was subsequently reduced to 1,944 square feet in February 2026. The Company’s executive chairman, Arie Belldegrun, M.D., is a trustee of the Belldegrun Family Trust, which controls Bellco. The sublease term is 115 months, subject to certain early termination rights. The sublease commenced on January 1, 2024. The total right of use asset and associated lease liability recorded related to this related party lease were $2.0 million and $2.0 million, respectively, as of March 31, 2026. The Company paid approximately $0.2 million towards its share of the security deposit. Rent expense related to this sublease were $0.1 million and $0.1 million for the three months ended March 31, 2026 and 2025,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Consulting Agreements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August 2018, the Company entered into a consulting agreement with Bellco. Pursuant to the consulting agreement, Bellco provides certain services for the Company, which are performed by Dr. Belldegrun, </w:t>
      </w:r>
      <w:r>
        <w:rPr>
          <w:rFonts w:ascii="Times New Roman;serif" w:hAnsi="Times New Roman;serif"/>
          <w:b w:val="false"/>
          <w:color w:val="000000"/>
          <w:sz w:val="20"/>
          <w:shd w:fill="FFFFFF" w:val="clear"/>
        </w:rPr>
        <w:t>the Company’s executive chair, and inc</w:t>
      </w:r>
      <w:r>
        <w:rPr>
          <w:rFonts w:ascii="Times New Roman;serif" w:hAnsi="Times New Roman;serif"/>
          <w:b w:val="false"/>
          <w:color w:val="000000"/>
          <w:sz w:val="20"/>
        </w:rPr>
        <w:t>lude without limitation, providing advice and analysis with respect to the Company’s business, business strategy and potential opportunities in the field of allogeneic CAR T cell therapy and any other aspect of the CAR T cell therapy business as the Company may agree. In consideration for these services, the Company paid Bellco $40,217 per month in arrears commencing January 2022. Effective January 2026, the monthly consulting service fee was increased by 2% to $41,021 per month. The Company may also, at its discretion, pay Bellco an annual performance award in an amount up to 60% of the aggregate compensation payable to Bellco in a calendar year. The Company also reimburses Bellco for out of pocket expenses incurred in performing the services. The costs incurred for services provided, bonus, and out-of-pocket expenses incurred under this consulting agreement were $0.2 million and $0.2 million for the three months ended March 31, 2026 and 2025,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Co-Manager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14, 2026, the Company entered into an underwriting agreement (Underwriting Agreement) with Goldman Sachs &amp; Co. LLC, Jefferies LLC and TD Securities (USA) LLC, as representatives of the several underwriters named therein (Underwriters), relating to the issuance and sale in a public offering of shares of the Company’s common stock (April 2026 Public Offering). On April 16, 2026, the Company sold 100,200,000 shares to the Underwriters. The price to the public in the offering was $2.00 per share. The underwriting discount was $0.12 per share. TPG Capital BD, LLC served as an Underwriter for the offering and purchased an aggregate of 3,807,600 shares from the Company at a price of $1.88 per share, resulting in an aggregate underwriting discount to TPG Capital BD, LLC of approximately $0.5 million. Todd Sisitsky, a member of the Company’s Board of Directors, has served as President and on the Board of Directors of TPG Inc., an affiliate of TPG Capital BD, LLC, since TPG Inc.’s inception.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history of losses and expects to record a loss in 2026. The Company continues to maintain a full valuation allowance against its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shares have been excluded from the calculation of diluted net loss per share for the period presented due to their anti-dilutive effect:</w:t>
      </w:r>
    </w:p>
    <w:tbl>
      <w:tblPr>
        <w:tblW w:w="10205" w:type="dxa"/>
        <w:jc w:val="left"/>
        <w:tblInd w:w="0" w:type="dxa"/>
        <w:tblLayout w:type="fixed"/>
        <w:tblCellMar>
          <w:top w:w="28" w:type="dxa"/>
          <w:left w:w="28" w:type="dxa"/>
          <w:bottom w:w="28" w:type="dxa"/>
          <w:right w:w="28" w:type="dxa"/>
        </w:tblCellMar>
      </w:tblPr>
      <w:tblGrid>
        <w:gridCol w:w="2858"/>
        <w:gridCol w:w="2239"/>
        <w:gridCol w:w="2248"/>
        <w:gridCol w:w="540"/>
        <w:gridCol w:w="541"/>
        <w:gridCol w:w="156"/>
        <w:gridCol w:w="109"/>
        <w:gridCol w:w="109"/>
        <w:gridCol w:w="109"/>
        <w:gridCol w:w="540"/>
        <w:gridCol w:w="541"/>
        <w:gridCol w:w="215"/>
      </w:tblGrid>
      <w:tr>
        <w:trPr/>
        <w:tc>
          <w:tcPr>
            <w:tcW w:w="2858"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7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37,916,047 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31,532,800 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(Excluding vested but unreleased shares, which are included in weighted-average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15,720,910 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18,079,422 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shares to be purchased under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1,809,262 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55,046,291 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51,421,484 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one reportable segment related to developing and commercializing genetically engineered allogeneic T cell product candidates for the treatment of cancer and autoimmune diseases. The segment derives its current revenues from research and development collaborations.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CEO, as the chief operating decision maker, manages and allocates resources for the Company’s operations at a consolidated company basis by assessing how to best deploy available resources across functions and research and development projects. The CEO uses consolidated, single-segment financial information for purposes of evaluating performance, planning and forecasting future period financial results, and allocating resources.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is the summary of the segment profit or loss information, including the significant segment expenses (in thousands):</w:t>
      </w:r>
    </w:p>
    <w:p>
      <w:pPr>
        <w:pStyle w:val="TextBody"/>
        <w:bidi w:val="0"/>
        <w:spacing w:before="0" w:after="0"/>
        <w:ind w:left="0" w:right="0" w:firstLine="720"/>
        <w:jc w:val="left"/>
        <w:rPr/>
      </w:pPr>
      <w:r>
        <w:rPr/>
      </w:r>
    </w:p>
    <w:tbl>
      <w:tblPr>
        <w:tblW w:w="5364" w:type="dxa"/>
        <w:jc w:val="left"/>
        <w:tblInd w:w="0" w:type="dxa"/>
        <w:tblLayout w:type="fixed"/>
        <w:tblCellMar>
          <w:top w:w="28" w:type="dxa"/>
          <w:left w:w="28" w:type="dxa"/>
          <w:bottom w:w="28" w:type="dxa"/>
          <w:right w:w="28" w:type="dxa"/>
        </w:tblCellMar>
      </w:tblPr>
      <w:tblGrid>
        <w:gridCol w:w="973"/>
        <w:gridCol w:w="854"/>
        <w:gridCol w:w="857"/>
        <w:gridCol w:w="211"/>
        <w:gridCol w:w="616"/>
        <w:gridCol w:w="109"/>
        <w:gridCol w:w="109"/>
        <w:gridCol w:w="109"/>
        <w:gridCol w:w="109"/>
        <w:gridCol w:w="211"/>
        <w:gridCol w:w="616"/>
        <w:gridCol w:w="109"/>
        <w:gridCol w:w="109"/>
        <w:gridCol w:w="109"/>
        <w:gridCol w:w="109"/>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Cema-cel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development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&amp; IT-related spend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Supporting external spend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Cema-cel includes external development and clinical trial costs related to ALPHA3, ALPHA2, CLL, and ALLO-501 programs. All other development costs include external development and clinical trial costs related to ALLO-329, ALLO-316, ALLO-647, BCMA, and other programs. Supporting external spend includes professional services, research and development lab supplies and other supporting activities related to the research and development and other business operations. Other operating expenses are primarily related to non-cash expenses such as stock-based compensation, impairment, and depreciation and amortization. The measure of segment assets is reported on the balance sheets as total assets. Primarily, all revenue generated and all long-lived assets are maintained in the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Equity Financing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16, 2026, the Company closed the April 2026 Public Offering in which it sold 100,200,000 shares of its common stock at a public offering price of $2.00 per share, including 12,700,000 additional shares sold pursuant to the Underwriters’ partial exercise of their option to purchase additional shares. The aggregate gross proceeds were $200.4 million and the aggregate net proceeds were approximately $187.9 million, after deducting underwriting discounts and commissions and estimated offering expenses payable by the Company.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Overland License Termination and Equity Restructuring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the Company entered into a termination agreement with Overland Therapeutics (SH) Co. Ltd. and Overland Therapeutics, Inc., pursuant to which the License Agreement, as defined in Note 6, was terminated in its entirety. Refer to Note 6 for disclosure under the heading “Investment in and License Agreement with Overland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of our financial condition and results of operations in conjunction with our unaudited condensed financial statements and the related notes and other financial information included elsewhere in this Quarterly Report on Form 10-Q (Quarterly Report) and the audited financial statements and notes thereto as of and for the year ended December 31, 2025 and the related Management’s Discussion and Analysis of Financial Condition and Results of Operations, both of which are contained in our Annual Report on Form 10-K for the year ended December 31, 2025 (Annual Report), which was filed with the Securities and Exchange Commission (SEC) on March 12, 2026. Unless the context requires otherwise, references in this Quarterly Report to the “Company”, “Allogene,” “we,” “us” and “our” refer to Allogene Therapeutics, Inc., and references to “Servier” collectively refer to Les Laboratoires Servier SAS and Institut de Recherches Internationales Servier SAS.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serif" w:hAnsi="Times New Roman;serif"/>
          <w:b w:val="false"/>
          <w:i/>
          <w:color w:val="32406B"/>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deep pipeline of allogeneic chimeric antigen receptor (CAR) T cell product candidates targeting multiple promising antigens in a host of hematological malignancies, solid tumors and autoimmune diseases. We are focusing our resources on three core programs: ALPHA3, RESOLUTION and TRAVERSE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we initiated a pivotal Phase 2 clinical trial (ALPHA3) evaluating cemacabtagene ansegedleucel (cema-cel, previously ALLO-501A) as part of a first-line (1L) consolidation treatment for patients newly diagnosed with large B-cell lymphoma (LBCL) who, despite initial treatment success, remain at high risk for relapse. The study is currently enrolling across more than 60 sites in North America and is now expanding globally, with site activation and patient screening underway in South Korea and Australia, which global expansion is expected to bring the trial to more than 80 sites worldwide.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ALPHA3 trial design expands on findings from our Phase 1 ALPHA2 study and incorporates an investigational diagnostic developed by Foresight Diagnostics, Inc., which was acquired by Natera, Inc. (Natera) in December 2025 and continues to operate as a standalone subsidiary. This diagnostic test identifies patients who, despite achieving remission according to standard evaluations, remain at risk of relapse due to minimal residual disease (MRD) following 1L chemoimmunotherapy. Patients eligible for enrollment include those who achieve either a complete response or a near-complete partial response to initial treatment and would otherwise be monitored through observation as the current standard of care. The trial’s primary endpoint is event-free survival (EFS).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Initially, the trial was designed to randomize approximately 240 MRD-positive patients into one of three arms: (1) cema-cel therapy following lymphodepletion with standard fludarabine and cyclophosphamide (FC arm), (2) cema-cel therapy following lymphodepletion with fludarabine, cyclophosphamide, and ALLO-647 (an anti-CD52 monoclonal antibody) (FCA arm), or (3) standard-of-care observation (control arm). On August 1, 2025, we announced that we selected standard fludarabine and cyclophosphamide (FC) as the lymphodepletion regimen. This lymphodepletion regimen selection was made in conjunction with the ALPHA3 Data and Safety Monitoring Board (DSMB) and Steering Committee and following consultation with the U.S. Food and Drug Administration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FCA arm is now closed to further enrollment. This decision, made ahead of the scheduled futility analysis, was prompted by a Grade 5 adverse event in the FCA arm that has been attributed to the use of ALLO-647. The event occurred on Day 54 post-infusion from hepatic failure, believed to have resulted from disseminated adenovirus infection in the setting of immune suppression. This event was deemed unrelated to cema-cel. Severe viral infections have been rare across our clinical trials. However, when present, they have been attributed to immunosuppression due in part to ALLO-647. There have been no cases of adenoviral infection or hepatic failure in any participant treated with only FC lymphodepletion across our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adoption of standard FC in the ALPHA3 trial, none of our trials open to enrollment or pipeline programs include ALLO-647. Instead, we will advance our next-generation AlloCAR T product candidates using the proprietary Dagger® Platform Technology, which is designed to minimize or potentially eliminate the need for standard lymphodepletion.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amended ALPHA3 trial is proceeding as a randomized study with two arms, comparing cema-cel after standard FC lymphodepletion to observation, the current standard of care, and is expected to enroll approximately 220 patients. Statistical design of the trial and the prespecified study conduct remain the same. On April 13, 2026, we announced results from the planned interim futility analysis of the first 24 randomized patients to the two ongoing arms in ALPHA3. At the protocol-defined data cutoff, which was triggered when the 24th patient completed Day 45 MRD assessment, MRD negativity was observed in 58.3% (7/12) of patients in the cema-cel arm compared with 16.7% (2/12) of patients in the observation arm, and ctDNA levels decreased from baseline by a median of 97.7% in the cema-cel arm compared with a median increase of 26.6% in the observation arm. The primary endpoint of EFS and key secondary endpoints, including progression-free survival and overall survival, remain blinded. In the cema-cel arm, no treatment-related serious adverse events, cytokine release syndrome, immune effector cell-associated neurotoxicity syndrome, graft-versus-host disease or treatment-related hospitalizations were reported, and ten of the twelve treated patients were managed in the outpatient setting post-infusion. At the time of the interim analysis, approximately one-third of screening activity and cema-cel infusions occurred at community cancer centers, including sites with limited prior CAR T experience. We believe this early experience supports the potential for cema-cel to be administered in a broader range of treatment settings than autologous CAR T therapies, although these data remain limited and may not be predictive of future outpatient or community-based administration. We anticipate completing enrollment by the end of 2027, conducting an interim EFS analysis in mid-2027, and conducting the primary EFS analysis in mid-2028.</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advancing ALLO-316, and we have completed enrollment of 20 treated patients in an expansion cohort in a Phase 1b clinical trial (TRAVERSE) of ALLO-316, an allogeneic CAR T cell product candidate targeting CD70, in adult patients with advanced or metastatic clear cell renal cell carcinoma (RCC). The Phase 1b expansion cohort evaluated ALLO-316 administered as a single dose of 80 million CAR T cells following a standard lymphodepletion regimen (fludarabine 30 mg/m²/day and cyclophosphamide 500 mg/m²/day for three days). On October 29, 2024, we announced that we had received Regenerative Medicine Advanced Therapy (RMAT) designation for ALLO-316 for adult patients with advanced or metastatic RCC.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data presented on June 1, 2025, at the ASCO 2025 Annual Meeting, ALLO-316 demonstrated a confirmed overall response rate (ORR) of 31% in patients with high CD70 expression (TPS ≥50%), with 44% achieving at least a 30% reduction in tumor burden. Four out of five confirmed responders continue to maintain their responses, including one patient in sustained remission exceeding 12 months. The median duration of response (mDOR) has not yet been reached, underscoring the potential for long-term disease control.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implemented a diagnostic and treatment algorithm designed to mitigate treatment-associated immune effector cell-associated hemophagocytic lymphohistiocytosis-like syndrome (IEC-HS) while preserving CAR T efficacy. We continue to believe this approach has proven effective by enabling early intervention and effective management, resulting in a safety profile consistent with standard lymphodepletion and active CAR T treatment.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we held an RMAT meeting with the FDA regarding next steps for the ALLO-316 development program, and we believe we have reached alignment with the FDA on the design of a registration trial for adult patients with advanced or metastatic RCC. We continue to actively explore strategic opportunities, including potential partnerships, to advance this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developing ALLO-329, a next-generation allogeneic CAR T cell product candidate targeting both CD19 and CD70 for the treatment of certain autoimmune diseases (AID). Inclusion of an anti-CD70 CAR in ALLO-329 incorporates the Dagger® technology, which is designed to reduce or eliminate the need for standard chemotherapy by preventing premature rejection while targeting CD19+ B-cells and CD70+ activated T-cells, both of which play a role in AID. ALLO-329 is manufactured using CRISPR gene-editing technology. In 2025, we initiated a Phase 1 rheumatology basket study of ALLO-329 (RESOLUTION trial). The ongoing RESOLUTION trial is a 3+3 dose-escalation study evaluating ALLO-329 across multiple autoimmune diseases, including systemic lupus erythematosus (SLE), including lupus nephritis, idiopathic inflammatory myopathies (IIM), and systemic sclerosis (SSc). On April 27, 2025, we announced that ALLO-329 had received three Fast Track Designations from the FDA for the treatment of adult patients with SLE, IIM, and SSc. The RESOLUTION trial is evaluating ALLO-329 under multiple treatment approaches, including administration following cyclophosphamide-based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lymphodepletion, with the option of adding fludarabine permitted under the protocol, and administration in a separate arm without lymphodepletion. As of May 2026, nine patients have been treated, including six patients across Dose Level 1 (20 million cells) and Dose Level 2 (40 million cells) following lymphodepletion with cyclophosphamide and three patients at Dose Level 1 with no lymphodepletion. Initial observations at these early dose levels have shown signs of clinical activity and favorable tolerability. Dose escalation and lymphodepletion optimization are ongoing, and we expect to provide an additional clinical and translational data update in late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Nature Communications published preclinical data supporting the design of ALLO-329 and our CD70 Dagger® technology. The publication described an optimized CD70 CAR designed to prevent rejection of allogeneic CAR T cells by targeting activated alloreactive lymphocytes. In the reported preclinical studies, co-expression of the CD70 CAR with a CD19 CAR resulted in sustained CAR T-cell persistence in the presence of alloreactive lymphocytes and prolonged antitumor activity in a CD19 antigen escape model. In humanized mouse models, CD19/CD70 dual CAR T cells eliminated B cells and CD70+ T cells derived from patients with systemic lupus erythematosus and reduced immunoglobulin production. These preclinical data support the rationale for evaluating ALLO-329 as an allogeneic CD19/CD70 dual CAR T product candidate designed to target CD19+ B cells and CD70+ activated T cells while potentially reducing or eliminating the need for standard lymphodepletion.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have additional programs in our pipeline, our clinical development priorities are focused on cema-cel (1L Consolidation), ALLO-316 and ALLO-329. The development of our other product candidates is currently focused on preclinical studies, including studies of BCMA and DLL3 CARs with and without our CD70 Dagger® protein technology, and various manufacturing improvements that may be applicable to such product candidates. In April 2026, preclinical data presented at the American Association for Cancer Research Annual Meeting described an allogeneic BCMA/CD70 dual CAR T construct designed to target BCMA and CD70 in a relevant experimental model while incorporating CD70-directed rejection avoidance. In the reported preclinical studies, BCMA/CD70 dual CAR T cells demonstrated specific cytotoxic activity, resistance to allorejection, expansion in mixed lymphocyte reaction assays, activity in a xenograft model and activity against BCMA target cells that had downregulated BCMA.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an Amendment and Settlement Agreement (the Servier Amendment) under which we expanded the geographic territory for our CD19 license to include the EU and the UK. The Servier Amendment also grants us an option to further expand the licensed territory to include China and Japan upon the objective showing of sufficient resources to develop licensed products in those countries, which could be met through the Company entering into a strategic partnership covering those countries. Additionally, in February 2025, we entered into an Amended and Restated Strategic Collaboration Agreement with Foresight Diagnostics (which was acquired by Natera in December 2025 and continues to operate as a standalone subsidiary), which expands our collaboration to enable the development of Foresight Diagnostics’ MRD assay in the EU, UK, Canada and Australia in support of our clinical development of cema-cel.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we initiated a workforce reduction of approximately 28% of our employees (Workforce Reduction) in connection with a reduction in manufacturing operations and a reprioritization of resources to focus on our ongoing clinical programs. We believe we currently hold sufficient inventory of cema-cel, ALLO-329, and ALLO-316 to meet our near-term clinical needs, including completing our current ALPHA3, RESOLUTION and TRAVERSE trials. The Workforce Reduction was substantially completed in the second quarter of 2025, and we estimate that we incurred approximately $3.3 million in cash-based expenses related to employee severance payments, benefits and related costs in connection with the Workforce Reduction. We may also incur other charges, including cash expenditures, not currently contemplated due to events that may occur as a result of, or are associated with, the Workforce Reduction.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inception, we have had significant operating losses. Our net loss was $42.6 million for the three months ended March 31, 2026. As of March 31, 2026, we had an accumulated deficit of $2.1 billion. As of March 31, 2026, we had $266.9 million in cash and cash equivalents and investments, before giving effect to $187.9 million in net proceeds from our April 2026 Public Offering. We expect our cash runway, including such net proceeds, to fund operations into the first quarter of 2029. We expect to continue to incur net losses for the foreseeable future, and we expect our research and development expenses and general and administrative expenses will continue to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License and Collaboration Agreements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summary of the key terms for certain of our licenses and collaboration agreements. For a more detailed description of these agreements, refer to Note 6 to our consolidated financial statements included in our Annual Report.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Asset Contribution Agreement with Pfizer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2018, we entered into an Asset Contribution Agreement (the Pfizer Agreement) with Pfizer pursuant to which we acquired certain assets and assumed certain liabilities from Pfizer, including agreements with Cellectis S.A. (Cellectis)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Servier as described below, and other intellectual property for the development and administration of CAR T cells for the treatment of cancer.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Collaboration and License Agreement with Cellectis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2014, Pfizer entered into a Research Collaboration and License Agreement with Cellectis. In April 2018, Pfizer assigned the agreement to us pursuant to the Pfizer Agreement. In March 2019, we terminated the agreement with Cellectis and entered into a new license agreement with Cellectis (the Cellectis Agreement). Under the Cellectis Agreement, Cellectis granted us an exclusive, worldwide, royalty-bearing license, on a target-by-target basis, with sublicensing rights under certain conditions, under certain of Cellectis’s intellectual property, including its TALEN and electroporation technology, to make, use, sell, import, and otherwise exploit and commercialize CAR T products directed at certain targets, including BCMA, CD70, Claudin 18.2, DLL3 and FLT3 (the Allogene Targets), for human oncologic therapeutic, diagnostic, prophylactic and prognostic purposes.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Exclusive License Agreement with Servier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2015, Pfizer entered into an Exclusive License Agreement with Servier (the Original Servier Agreement) to develop, manufacture and commercialize certain allogeneic anti-CD19 CAR products, including UCART19, in the United States with the option to obtain the rights over certain additional allogeneic anti-CD19 CAR product candidates and for allogeneic CAR T cell product candidates directed against one additional target. In April 2018, Pfizer assigned the agreement to us pursuant to the Pfizer Agreement. In October 2019, we agreed to waive our rights to the one additional target.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an Amendment and Settlement Agreement (the Servier Amendment) with Servier under which we: (1) expanded our territory under the Original Servier Agreement to include the European Union and the United Kingdom, and provided for an option to further expand our territory to include China and Japan, (2) waived certain of our rights to elect to convert certain of our license rights to a worldwide license, (3) revised our future milestone payments to coincide with Servier’s milestone payments to Cellectis under the Servier-Cellectis Agreement, (4) agreed to pre-pay a future €20 million milestone payment into an escrow account, and (5) increased the United States tiered royalty rates to a range from the low tens to the mid teen percentages, and agreed to an ex-U.S. royalty rate of 10%. On December 15, 2025, Cellectis publicly reported that an arbitral tribunal issued a decision providing for a partial termination of the Servier-Cellectis Agreement with respect to UCART19V1, which is the same as ALLO-501, a product candidate which we previously abandoned in favor of cema-cel (formerly known as ALLO-501A), and affirmed continued licensing rights relating to cema-cel. As a result of that decision, our Servier license covering UCART19V1/ALLO-501 was automatically terminated. The arbitration decision requires Cellectis, at our request, to engage in good-faith discussions regarding the granting of a direct license to UCART19V1/ALLO-501.</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Collaboration and License Agreement with Roche (formerly Notch)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 2019, we entered into a Collaboration and License Agreement (the Notch Agreement) with Notch Therapeutics Inc. (Notch), pursuant to which Notch granted us an exclusive, worldwide, royalty-bearing, sublicensable license under certain of Notch’s intellectual property to develop, make, use, sell, import, and otherwise commercialize therapeutic gene-edited T cell and/or natural killer cell products from induced pluripotent stem cells directed at certain CAR targets for initial application in NHL, B-cell precursor acute lymphoblastic leukemia (ALL) and multiple myeloma. In addition, Notch has granted us an option to add certain specified targets to our exclusive license in exchange for an agreed upon per-target option fee.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25, 2024, we entered into an Amended and Restated Collaboration and License Agreement (the Amended Notch Agreement) with Notch. The Amended Notch Agreement amends and restates the Notch Agreement. Under the Amended Notch Agreement, we have relinquished our exclusive rights to all original CAR targets (the Released Targets) except for one CAR target, and have agreed to limit our option right to only one additional CAR target. If the option is exercised, we will have a minimum funding commitment for the overall development program. If Notch subsequently out-licenses any of the Released Targets (whether through an out-license, partnership, sale, or other transaction), we will be entitled to receive a percentage of upfront and/or milestone payments associated therewith up to a set cap of $30.0 million, and will be entitled to a low, single-digit royalty on net sales of products containing a Released Target.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F. Hoffmann-La Roche AG’s (Roche) acquisition of Notch, in March 2025, Notch was dissolved, and Roche became Notch’s successor in interest under our agreement. In connection with such acquisition, on March 31, 2025 we entered into a Second Amendment to Amended and Restated Collaboration and License Agreement (Second Amended Notch Agreement) with Notch under which the definitions of certain terms were clarified, certain time periods for completing the transfer of certain technology were extended, and the scope of Allogene’s exclusive rights were clarified.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Strategic Alliance with The University of Texas MD Anderson Cancer Center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6, 2020, we entered into a strategic five-year collaboration agreement with The University of Texas MD Anderson Cancer Center (MD Anderson) for the preclinical and clinical investigation of allogeneic CAR T cell product candidates. In August 2025, the Company extended the term of the agreement for an additional year.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License Agreement with Overland Therapeutics, Inc.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14, 2020, we entered into a License Agreement with Allogene Overland Biopharm (CY) Limited (Allogene Overland) (the License Agreement), a joint venture established by us and Overland Pharmaceuticals (CY) Inc. (Overland), pursuant to a Share Purchase Agreement (Share Purchase Agreement), dated December 14, 2020, for the purpose of developing, manufacturing and commercializing certain allogeneic CAR T cell therapies directed at four targets, BCMA, CD70, FLT3 and DLL3 (Overland Licensed Products) for patients in greater China, Taiwan, South Korea and Singapore (the JV Territory). Allogene Overland subsequently assigned the License Agreement to a wholly owned subsidiary, Allogene Overland BioPharm (HK) Limited (Allogene Overland HK). On April 1, 2022, Allogene Overland HK assigned the License Agreement to Allogene Overland Biopharm (PRC) Co., Limited (Allogene Overland PRC).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24, 2024, we, Overland and Allogene Overland entered into a Share Exchange Agreement (Share Exchange Agreement) pursuant to which Overland’s cell therapy business merged into Allogene Overland (the Organizational Restructuring).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Organizational Restructuring, on May 24, 2024, we and Allogene Overland PRC entered into a First Amendment to Exclusive License Agreement (the License Amendment) to amend and supplement certain provisions of the License Agreement. Under the License Amendment, we continue to grant Allogene Overland PRC an exclusive license to develop, manufacture, and commercialize the Overland Licensed Products in the Territory, with us retaining exclusive rights to the Overland Licensed Products outside the JV Territory, and the royalty obligations to us were amended to a flat mid single-digit royalty on net sales in the JV Territory that are no longer subject to reductions as previously provided. The License Amendment also provides us with additional rights to terminate the License Agreement in its entirety or with respect to the relevant Overland Licensed Product(s) if Allogene Overland PRC fails to initiate manufacturing technology transfer with respect to an Overland Licensed Product as agreed in the License Amendment, or if HBP commits a funding default or a material breach of its representations, warranties, or covenants under the Share Exchange Agreement. The License Amendment also provides that the License Agreement will terminate automatically if our ownership in Allogene Overland falls below 7.5% (other than due to our sale of the shares of Allogene Overland), unless at that time we and Allogene Overland PRC have mutually agreed on the manufacturing technology transfer plan for the Overland Licensed Product(s) and Allogene Overland PRC elects to continue the license for such Overland Licensed Product(s) with increased milestones and royalties. Under the License Amendment terms such increased milestones and royalties consist of up to $115 million in milestone payments for each Overland Licensed Product and tiered mid single-digit to low double-digit royalties on net sales in the JV Territory.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Organizational Restructuring, Allogene Overland was renamed to Overland Therapeutics Inc. (Overland Therapeutics).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on May 12, 2026, we entered into a termination agreement with Overland Therapeutics (SH) Co. Ltd. and Overland Therapeutics Inc., pursuant to which the License Agreement was terminated in its entirety. The parties also provided mutual releases of claims, and no termination payments were made in connection with the termination.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termination and related transactions, we surrendered a portion of our equity interests in Overland Therapeutics, resulting in a reduction of our ownership interest to approximately 3% on an as-converted and fully diluted basis.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Collaboration and License Agreement with Antion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January 5, 2022, we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w:t>
      </w:r>
      <w:r>
        <w:rPr>
          <w:rFonts w:ascii="Times New Roman;serif" w:hAnsi="Times New Roman;serif"/>
          <w:b w:val="false"/>
          <w:color w:val="000000"/>
          <w:sz w:val="20"/>
          <w:shd w:fill="FFFFFF" w:val="clear"/>
        </w:rPr>
        <w:t xml:space="preserve">On July 11, 2023, we entered into an amendment to the Antion Collaboration and License Agreement, </w:t>
      </w:r>
      <w:r>
        <w:rPr>
          <w:rFonts w:ascii="Times New Roman;serif" w:hAnsi="Times New Roman;serif"/>
          <w:b w:val="false"/>
          <w:color w:val="000000"/>
          <w:sz w:val="20"/>
        </w:rPr>
        <w:t xml:space="preserve">which included a $2.0 million investment in Antion’s preferred shares and the acquisition of warrants to purchase an additional $3.0 million of Antion’s preferred shares.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Strategic Collaboration Agreement with Foresight Diagnostics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On January 3, 2024, we entered into a Strategic Collaboration Agreement (the Foresight Agreement) with Foresight Diagnostics, Inc. (Foresight Diagnostics). In December 2025, Foresight Diagnostics was acquired by Natera and continues to operate as a standalone subsidiary. Pursuant to the Foresight Agreement, the parties have agreed to collaborate on a non-exclusive basis in the development of Foresight Diagnostics’ CLARITY</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 xml:space="preserve">MRD assay as an in vitro diagnostic to identify the MRD+ patient population to be enrolled in our ALPHA3 trial of cemacabtagene ansegedleucel, or cema-cel (previously known as ALLO-501A) for treatment of LBCL. Under the Foresight Agreement, we have agreed to use commercially reasonable efforts to obtain regulatory approval of cema-cel, and Foresight Diagnostics has agreed to use commercially reasonable efforts to obtain regulatory approval of an MRD assay for use as an in vitro diagnostic with cema-cel.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19, 2025, we entered into an Amended and Restated Strategic Collaboration Agreement with Foresight Diagnostics which expands our collaboration to include the development of Foresight Diagnostics’ MRD assay for use with cema-cel as part of a possible EU and/or UK clinical development program, and as part of an expansion of ALPHA3 to Canadian and Australian clinical trial sites in support of our U.S. clinical development program. In total, we have agreed to fund approximately $37.3 million in MRD assay development costs, milestone payments for U.S., and certain international regulatory submissions and assay utilization costs to process clinical samples.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inception to March 31, 2026, our revenue has been exclusively generated from the License Agreement with Overland Therapeutics. Refer to Note 6 to our consolidated financial statements appearing in our Annual Report for more information related to the License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future, we may generate revenue from a combination of product sales, marketing and distribution arrangements and other collaborations, strategic alliances and licensing arrangements or a combination of these approaches. We expect that any revenue we generate will fluctuate from quarter to quarter as a result of the timing and amount of license fees, milestones and other payments, and the amount and timing of payments that we receive upon the sale of our products, to the extent any are successfully commercialized. If we fail to complete the development of our product candidates in a timely manner or obtain regulatory approval of them, our ability to generate future revenue, and our results of operations and financial position, will be materially adversely affected.</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our research and development expenses have related primarily to discovery efforts, preclinical and clinical development, and manufacturing of our product candidates. Research and development expenses for the three months ended March 31, 2026 included costs associated with our clinical and preclinical stage pipeline candidates and research into newer technologies. The most significant research and development expenses for the year to date relate to costs incurred for the development of our most advanced product candidates and include: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expenses incurred under agreements with our collaboration partners and third-party contract organizations, investigative clinical trial sites that conduct research and development activities on our behalf, and consultants;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costs related to production of clinical materials, including fees paid for raw materials and to contract manufacturers;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laboratory and vendor expenses related to the execution of preclinical and clinical trials;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employee-related expenses, which include salaries, benefits and stock-based compensation;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facilities and other expenses, which include expenses for rent and maintenance of facilities, depreciation and amortization expense and supplies;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other significant research and development costs including overhead costs.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expense all research and development costs in the periods in which they are incurred. We accrue for costs incurred as the services are being provided by monitoring the status of the project and the invoices received from our external service providers. We adjust our accrual as actual costs become known. Where contingent milestone payments are due to third parties under research and development arrangements or license agreements, the milestone payment obligations are expensed when the milestone results are achieved.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in the future as our clinical programs progress and as we seek to initiate clinical trials of additional product candidates. The cost of advancing our manufacturing process as well as the cost of manufacturing product candidates for clinical trials are included in our research and development expense. We also expect to incur increased research and development expenses as we selectively identify and develop additional product candidates. However, it is difficult to determine with certainty the duration and completion costs of our current or future preclinical programs and clinical trials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duration, costs and timing of clinical trials and development of our product candidates will depend on a variety of factors that include, but are not limited to, the following:</w:t>
      </w:r>
    </w:p>
    <w:p>
      <w:pPr>
        <w:pStyle w:val="TextBody"/>
        <w:bidi w:val="0"/>
        <w:spacing w:lineRule="auto" w:line="268" w:before="120" w:after="283"/>
        <w:ind w:left="0" w:right="0" w:hanging="540"/>
        <w:jc w:val="left"/>
        <w:rPr/>
      </w:pPr>
      <w:r>
        <w:rPr>
          <w:color w:val="000000"/>
        </w:rPr>
        <w:t>•</w:t>
      </w:r>
      <w:r>
        <w:rPr>
          <w:rFonts w:ascii="Times New Roman;serif" w:hAnsi="Times New Roman;serif"/>
          <w:b w:val="false"/>
          <w:color w:val="000000"/>
          <w:sz w:val="20"/>
        </w:rPr>
        <w:t>per patient trial costs;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biomarker analysis costs;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cost and timing of manufacturing for the trials;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number of patients that participate in the trials;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number of sites included in the trials;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number of patients we are required to screen with eligibility tests (e.g. MRD assays) in order to reach our enrollment targets;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total number of cells that patients receive;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drop-out or discontinuation rates of patients;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potential additional safety monitoring or other studies requested by regulatory agencies, including to resolve any future clinical hold;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duration of patient follow-up;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efficacy and safety profile of the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probability of success for each product candidate will depend on numerous factors, including safety, efficacy,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our product candidates are still in clinical and preclinical development and the outcome of these efforts is uncertain, we cannot estimate the actual amounts necessary to successfully complete the development and commercialization of product candidates or whether, or when, we may achieve profitability.</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other staff-related costs, including stock-based compensation for options and restricted stock units granted. Other significant costs include costs relating to facilities and overhead costs, legal fees relating to corporate and patent matters, insurance, investor relations costs, fees for accounting and consulting services, information technology, costs and support for our board of directors and board committees, and other general and administrative costs. General and administrative costs are expensed as incurred, and we accrue for services provided by third parties related to the above expenses by monitoring the status of services provided and receiving estimates from our service providers, and adjusting our accruals as actual costs become known.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primarily consists of interest earned on our cash and cash equivalents and investments, investment gains and losses recognized and sublease income earned from our subtenants during the period.</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California Institute of Regenerative Medicine (CIRM) award is accrued upon cash receipt.</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(expenses), net, consist of non-operating income and expenses, including primarily our share of net losses for the period from, and impairment of, our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sets forth our results of operations for the three months ended March 31, 2026 and 2025 (in thousands, except percentage amounts):</w:t>
      </w:r>
    </w:p>
    <w:tbl>
      <w:tblPr>
        <w:tblW w:w="8248" w:type="dxa"/>
        <w:jc w:val="left"/>
        <w:tblInd w:w="0" w:type="dxa"/>
        <w:tblLayout w:type="fixed"/>
        <w:tblCellMar>
          <w:top w:w="28" w:type="dxa"/>
          <w:left w:w="28" w:type="dxa"/>
          <w:bottom w:w="28" w:type="dxa"/>
          <w:right w:w="28" w:type="dxa"/>
        </w:tblCellMar>
      </w:tblPr>
      <w:tblGrid>
        <w:gridCol w:w="1053"/>
        <w:gridCol w:w="927"/>
        <w:gridCol w:w="930"/>
        <w:gridCol w:w="230"/>
        <w:gridCol w:w="868"/>
        <w:gridCol w:w="118"/>
        <w:gridCol w:w="118"/>
        <w:gridCol w:w="118"/>
        <w:gridCol w:w="118"/>
        <w:gridCol w:w="230"/>
        <w:gridCol w:w="868"/>
        <w:gridCol w:w="118"/>
        <w:gridCol w:w="109"/>
        <w:gridCol w:w="109"/>
        <w:gridCol w:w="109"/>
        <w:gridCol w:w="211"/>
        <w:gridCol w:w="796"/>
        <w:gridCol w:w="109"/>
        <w:gridCol w:w="109"/>
        <w:gridCol w:w="109"/>
        <w:gridCol w:w="109"/>
        <w:gridCol w:w="233"/>
        <w:gridCol w:w="233"/>
        <w:gridCol w:w="316"/>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and other income,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(expenses),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periods presented:</w:t>
      </w:r>
    </w:p>
    <w:tbl>
      <w:tblPr>
        <w:tblW w:w="7771" w:type="dxa"/>
        <w:jc w:val="left"/>
        <w:tblInd w:w="0" w:type="dxa"/>
        <w:tblLayout w:type="fixed"/>
        <w:tblCellMar>
          <w:top w:w="28" w:type="dxa"/>
          <w:left w:w="28" w:type="dxa"/>
          <w:bottom w:w="28" w:type="dxa"/>
          <w:right w:w="28" w:type="dxa"/>
        </w:tblCellMar>
      </w:tblPr>
      <w:tblGrid>
        <w:gridCol w:w="1265"/>
        <w:gridCol w:w="1108"/>
        <w:gridCol w:w="1122"/>
        <w:gridCol w:w="244"/>
        <w:gridCol w:w="835"/>
        <w:gridCol w:w="126"/>
        <w:gridCol w:w="126"/>
        <w:gridCol w:w="126"/>
        <w:gridCol w:w="126"/>
        <w:gridCol w:w="244"/>
        <w:gridCol w:w="835"/>
        <w:gridCol w:w="126"/>
        <w:gridCol w:w="109"/>
        <w:gridCol w:w="109"/>
        <w:gridCol w:w="109"/>
        <w:gridCol w:w="211"/>
        <w:gridCol w:w="79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depreciation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included $16.4 million of internal expenses and $15.6 million of external expenses for the three months ended March 31, 2026. Of the $15.6 million of external expenses for the three months ended March 31, 2026, $7.7 million was related to our cema-cel program. Our research and development expenses included $24.1 million of internal expenses and $26.1 million of external expenses for the three months ended March 31, 2025. Of the $26.1 million of external expenses for the three months ended March 31, 2025, $6.2 million was related to our cema-cel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$32.0 million and $50.2 million for the three months ended March 31, 2026 and 2025, respectively. The decrease of $18.2 million was driven primarily by a decrease in development costs of $8.1 million related to the advancement of our product candidates due to the timing of development activities and manufacturing runs, a decrease in personnel related costs of $7.5 million, including a decrease in stock-based compensation expense of $2.3 million, and facilities and depreciation costs of $1.9 million.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$14.1 million and $15.0 million for the three months ended March 31, 2026 and 2025, respectively. The decrease of $0.9 million was primarily due to a decrease in personnel related costs of $1.7 million, including $1.6 million related to a decrease in stock-based compensation expense, partially offset by an increase in other expenses of $0.8 million, attributable to corporate communications.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was $3.6 million and $5.5 million for the three months ended March 31, 2026 and 2025, respectively. The decrease of $1.9 million was due to lower interest earned on our cash, cash equivalents and investments and net gain on foreign exchange translation, partially offset by sublease income.</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related to the CIRM award proceeds received for the three months ended March 31, 2026 and 2025.</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recorded other income of $0.2 million and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incurred significant net losses and negative cash flows from operations. As of March 31, 2026, before giving effect to our April 2026 Public Offering, we had $266.9 million in cash, cash equivalents and investments. In April 2026, we received net proceeds of approximately $187.9 million from the underwritten public offering described below. We believe that the aggregate of our current cash, cash equivalents and investments available for operations, together with such net proceeds, will be sufficient to fund our operations for at least the next 12 months from the date this Quarterly Report is filed with the SEC.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have been financed primarily through equity financings and license arrangements. During the three months ended March 31, 2026, we sold an aggregate of 12,476,533 shares of common stock in ATM offerings resulting in net proceeds of $20.7 million. The specified dollar limit on the amount of common stock that may be sold under the sales agreement was removed pursuant to the November 2, 2023 amendment to the sales agreement. In connection with our April 2026 Public Offering (described below), we suspended our ATM offerings until a new prospectus or prospectus supplement is filed with the SEC. In April 2026, we closed an underwritten public offering (April 2026 Public Offering) in which we sold 100,200,000 shares of our common stock at a public offering price of $2.00 per share, including 12,700,000 additional shares sold pursuant to the underwriters’ partial exercise of their option to purchase additional shares. We received aggregate net proceeds of approximately $187.9 million, after deducting underwriting discounts and commissions and estimated offering expenses payable by us. We expect to use the net proceeds from the April 2026 Public Offering for general corporate purposes, which may include clinical trial expenses, research and development expenses, general and administrative expenses, and capital expenditures. </w:t>
      </w:r>
    </w:p>
    <w:p>
      <w:pPr>
        <w:pStyle w:val="TextBody"/>
        <w:bidi w:val="0"/>
        <w:spacing w:lineRule="auto" w:line="276"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8694" w:type="dxa"/>
        <w:jc w:val="left"/>
        <w:tblInd w:w="0" w:type="dxa"/>
        <w:tblLayout w:type="fixed"/>
        <w:tblCellMar>
          <w:top w:w="28" w:type="dxa"/>
          <w:left w:w="28" w:type="dxa"/>
          <w:bottom w:w="28" w:type="dxa"/>
          <w:right w:w="28" w:type="dxa"/>
        </w:tblCellMar>
      </w:tblPr>
      <w:tblGrid>
        <w:gridCol w:w="2121"/>
        <w:gridCol w:w="1866"/>
        <w:gridCol w:w="1878"/>
        <w:gridCol w:w="229"/>
        <w:gridCol w:w="866"/>
        <w:gridCol w:w="118"/>
        <w:gridCol w:w="118"/>
        <w:gridCol w:w="118"/>
        <w:gridCol w:w="118"/>
        <w:gridCol w:w="229"/>
        <w:gridCol w:w="866"/>
        <w:gridCol w:w="167"/>
      </w:tblGrid>
      <w:tr>
        <w:trPr/>
        <w:tc>
          <w:tcPr>
            <w:tcW w:w="2121"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2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(52,929)</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(29,588)</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and restricted cash</w:t>
            </w:r>
          </w:p>
        </w:tc>
        <w:tc>
          <w:tcPr>
            <w:tcW w:w="2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w:t>
            </w:r>
          </w:p>
        </w:tc>
        <w:tc>
          <w:tcPr>
            <w:tcW w:w="1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(32,763)</w:t>
            </w:r>
          </w:p>
        </w:tc>
        <w:tc>
          <w:tcPr>
            <w:tcW w:w="16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cash used in operating activities of $12.9 million was attributable to a net loss of $42.6 million, partially offset by an increase of $18.4 million in our net operating assets and liabilities and non-cash charges of $11.3 million. The change in operating assets and liabilities was primarily due to a decrease in deposit in escrow of $23.5 million, a decrease in prepaid expense and other current assets of $1.1 million, an increase in accounts payable of $0.7 million and an increase in other long-term liabilities of $0.3 million, partially offset by a decrease in accrued and other current liabilities of $5.1 million and a decrease in operating lease liabilities of $2.2 million. The non-cash charges consisted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stock-based compensation expense of $8.3 million, depreciation of $2.9 million and non-cash rent expense of $1.1 million, partially offset by net amortization and accretion on investment securities of $0.9 million.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cash used in operating activities of $52.9 million was attributable to a net loss of $59.7 million and a decrease of $8.3 million in our net operating assets and liabilities, partially offset by non-cash charges of $15.1 million. The non-cash charges consisted primarily of stock-based compensation expense of $12.2 million, depreciation of $3.1 million, and non-cash rent expense of $1.1 million, partially offset by net amortization and accretion on investment securities of $1.3 million. The change in operating assets and liabilities was primarily due to decrease in accrued and other current liabilities of $5.2 million, decrease in operating lease liabilities of $1.8 million, increase in deposit in escrow of $0.9 million and increase in prepaid expense and other current assets of $0.6 million, partially offset by decrease in other long-term assets of $0.4 million.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used in investing activities of $29.6 million was related to cash used in the purchase of investments of $101.7 million, partially offset by cash provided by investment maturities of $72.1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net cash provided by investing activities of $6.2 million was related to cash provided by investment maturities of $56.5 million, partially offset by cash used in the purchase of investments of $50.2 million.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cash provided by financing activities of $21.1 million was related to cash provided by net proceeds from the issuance of common stock through ATM transactions of $20.7 million and the sale of common stock through our employee stock purchase plan of $0.5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cash provided by financing activities of $14.0 million was related to cash provided by net proceeds from the issuance of common stock through ATM transactions of $10.0 million, proceeds from the CIRM award of $3.4 million and the sale of common stock through our employee stock purchase plan of $0.6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Material Cash Commitments and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use of cash is for operating expenses, which consist primarily of clinical manufacturing and research and development expenditures related to our lead product candidates, other research efforts, and to a lesser extent, general and administrative expenditures. Cash used to fund operating expenses is impacted by the timing of when we pay these expenses, as reflected in the change in our outstanding accounts payable and accrued expenses and other current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are still in the early stages of clinical and preclinical development and the outcome of these efforts is uncertain. Accordingly, 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and license arrangements. If, and when,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when needed, we will need to delay, reduce or terminate planned activities to reduce costs. Doing so will likely harm our ability to execute our business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commitments primarily consist of obligations under our agreements with Pfizer, Cellectis, Servier and Foresight. Under these agreements we are required to make milestone payments upon successful completion of certain development, regulatory and/or sales milestones on a target-by-target and country-by-country basis. The payment obligations under the license agreements are contingent upon future events such as our achievement of specified development, regulatory and/or commercial milestones and we will be required to make development milestone payments and royalty payments in connection with the sale of products developed under these agreements. As of March 31, 2026, we were unable to estimate the timing or likelihood of achieving the milestones or making future product sales. For additional information regarding our agreements, see Note 6 to our consolidated financial statements included in our Annual Report.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lease obligations primarily consist of lease payments on our research, lab and office facilities in South San Francisco, California, as well as lease payments on our cell manufacturing facility in Newark, California (CF1).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our lease obligations, see Note 7 to our condensed financial statements included elsewhere in this Quarterly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6, 2020, we announced we entered into a strategic five-year collaboration agreement with MD Anderson for the preclinical and clinical investigation of allogeneic CAR T cell product candidates. In August 2025 we extended the term of the agreement for an additional year. We and MD Anderson are collaborating on the design and conduct of preclinical and clinical studies with oversight from a joint steering committee. Under the terms of the agreement, we have committed up to $15.0 million of funding for the duration of the agreement. Payment of this funding is contingent on mutual agreement to study orders in order for any study to be included under the alliance. We made an upfront payment of $3.0 million to MD Anderson in the year ended December 31, 2020 and made additional upfront payments of $3.0 million to MD Anderson in October 2023 and June 2025. We are committed to make further payments to MD Anderson each year upon the anniversary of the agreement effective date through the duration of the agreement term, however, if MD Anderson has sufficient funds to continue the agreed-upon research projects, we may defer the additional payment to a later date. The agreement may be terminated by either party for material breach by the other party. Individual studies may be terminated for, among other things, material breach, health and safety concerns or where the institutional review board, the review board at the clinical site with oversight of the clinical study, requests termination of any study. Where any legal or regulatory authorization is finally withdrawn or terminated, the relevant study will also terminate automatically.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2020, we entered into a Solar Power Purchase and Energy Services Agreement for the installation and operation of a solar photovoltaic generating system and battery energy storage system at CF1, our manufacturing facility in Newark, California. The agreement has a term of 20 years and commenced in September 2022. We are obligated to pay for electricity generated from the system at an agreed rate for the duration of the agreement term. Termination of the agreement by us will result in a termination payment due of approximately $4.3 million. In connection with the agreement, we maintain a letter of credit for the benefit of the service provider in the amount of $4.3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have a Change in Control and Severance Plan that requires the funding of specific payments, if certain events occur, such as a change of control and the termination of employment without cause.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financial statements, which have been prepared in accordance with United States generally accepted accounting principles.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assumptions and estimates associated with accrued research and development expenditures, stock-based compensation and leases have the most significant impact on our condensed financial statements. Therefore, we consider these to be our 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issued or effective that are expected to have a material impact on our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interest rate fluctuations.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and investments of $266.9 million as of March 31, 2026 consist of bank deposits, money market funds and available-for-sale securities. Such interest-earning instruments carry a degree of interest rate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however, historical fluctuations in interest income have not been significant for us. A 10% change in the interest rates in effect on March 31, 2026 would not have had a material effect on the fair market value of our cash equivalents and available-for-sale securities.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agreement with Servier requires milestone payments upon successful completion of certain regulatory and sales milestones on a target-by-target basis to be paid in Euros, and thus 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an effect on payments due and made to our collaboration partner as well as other foreign suppliers and for license agreements. A 10% change in the applicable foreign exchange rates during the periods presented would not have had a material effect on our condensed financial statements. As of March 31, 2026, we had less than $0.1 million current liabilities denominated in foreign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and our other filings with the SEC before making investment decisions regarding our common stock.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Capital Needs</w:t>
      </w:r>
    </w:p>
    <w:p>
      <w:pPr>
        <w:pStyle w:val="TextBody"/>
        <w:bidi w:val="0"/>
        <w:spacing w:lineRule="auto" w:line="268" w:before="80" w:after="283"/>
        <w:ind w:left="0" w:right="0" w:hanging="540"/>
        <w:jc w:val="left"/>
        <w:rPr/>
      </w:pPr>
      <w:r>
        <w:rPr>
          <w:color w:val="000000"/>
        </w:rPr>
        <w:t>•</w:t>
      </w:r>
      <w:r>
        <w:rPr>
          <w:rFonts w:ascii="Times New Roman;serif" w:hAnsi="Times New Roman;serif"/>
          <w:b w:val="false"/>
          <w:color w:val="000000"/>
          <w:sz w:val="20"/>
        </w:rPr>
        <w:t xml:space="preserve">We have incurred net losses in every period since our inception and anticipate that we will incur substantial net losses in the future. </w:t>
      </w:r>
    </w:p>
    <w:p>
      <w:pPr>
        <w:pStyle w:val="TextBody"/>
        <w:bidi w:val="0"/>
        <w:spacing w:lineRule="auto" w:line="268" w:before="80" w:after="283"/>
        <w:ind w:left="0" w:right="0" w:hanging="540"/>
        <w:jc w:val="left"/>
        <w:rPr/>
      </w:pPr>
      <w:r>
        <w:rPr>
          <w:color w:val="000000"/>
        </w:rPr>
        <w:t>•</w:t>
      </w:r>
      <w:r>
        <w:rPr>
          <w:rFonts w:ascii="Times New Roman;serif" w:hAnsi="Times New Roman;serif"/>
          <w:b w:val="false"/>
          <w:color w:val="000000"/>
          <w:sz w:val="20"/>
        </w:rPr>
        <w:t>We will need substantial additional financing to develop our products and implement our operating plans. If we fail to obtain additional financing, we may be unable to complete the development and commercialization of our product candidates.</w:t>
      </w:r>
    </w:p>
    <w:p>
      <w:pPr>
        <w:pStyle w:val="TextBody"/>
        <w:bidi w:val="0"/>
        <w:spacing w:lineRule="auto" w:line="268" w:before="80" w:after="283"/>
        <w:ind w:left="0" w:right="0" w:hanging="540"/>
        <w:jc w:val="left"/>
        <w:rPr/>
      </w:pPr>
      <w:r>
        <w:rPr>
          <w:color w:val="000000"/>
        </w:rPr>
        <w:t>•</w:t>
      </w:r>
      <w:r>
        <w:rPr>
          <w:rFonts w:ascii="Times New Roman;serif" w:hAnsi="Times New Roman;serif"/>
          <w:b w:val="false"/>
          <w:color w:val="000000"/>
          <w:sz w:val="20"/>
        </w:rPr>
        <w:t>We may fail to meet our publicly announced guidance or other expectations about our business, which would cause our stock price to decline.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product candidates are based on novel technologies, which makes it difficult to predict the time and cost of product candidate development and the likelihood of obtaining regulatory approval.</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clinical trials may fail to demonstrate the safety and efficacy of any of our product candidates, which would prevent or delay regulatory approval and commercialization.</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Risks related to serious adverse events (SAEs) in the discontinued fludarabine, cyclophosphamide, and ALLO-647 (FCA) arm of our ALPHA3 trial, including the Grade 5 SAE, could lead to regulatory actions, negative perceptions, and potential product liability claims.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No CAR T therapy has been approved as a part of first-line consolidation strategy for the treatment of large B-cell lymphoma (LBCL) patients, which presents significant regulatory, commercial, and operational risks, and there is no assurance of success in this unproven setting.</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may encounter substantial delays in our clinical trials, or may not be able to conduct our trials on the timelines we expect.</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may fail to successfully manufacture our product candidates, operate our own manufacturing facility, or obtain regulatory approval to utilize or commercialize from our manufacturing facility or at a CDMO, which could adversely affect our clinical trials and the commercial viability of our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Reduced manufacturing operations may limit our ability to timely support our development programs.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face significant competition from other biotechnology and pharmaceutical companies, and our operating results will suffer if we fail to compete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 xml:space="preserve">Disruptions to the operations of the FDA, the SEC and other government agencies, including comparable foreign regulatory authorities, resulting from funding shortages, policy initiatives, staffing reductions or related uncertainty, could impair their ability to perform regulatory functions and negatively impact our business.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the Development of Our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engineered allogeneic T cell product candidates represent a novel approach to cancer treatment and treatment of autoimmune diseases, which creates significant challenges for us.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Gene-editing is a relatively new technology, and if we are unable to use this technology in our intended product candidates, our revenue opportunities will be materially limited.</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There is uncertainty regarding whether the use of fludarabine and cyclophosphamide (FC) without ALLO-647 will achieve sufficient lymphodepletion to support the efficacy of our allogeneic CAR T product candidate in the ALPHA3 trial.</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are heavily reliant on our partners, Cellectis and Servier, for access to TALEN gene editing technology for the manufacturing and development of our oncology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are heavily reliant on our partner, Foresight Diagnostics, a subsidiary of Natera, for access to the investigational CLARITY™ MRD test for identifying eligible patients for our ALPHA3 trial.</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The FDA and other comparable foreign regulatory approval processes are lengthy and time-consuming, and we may experience significant delays in the clinical development and regulatory approval of our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The FDA or comparable foreign regulatory authorities may disagree with our regulatory plan and we may fail to obtain regulatory approval of our CAR T cell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If we, or our collaborators, are required by the FDA, or comparable foreign regulatory authorities, to obtain approval (or clearance, or certification) of a companion diagnostic device in connection with approval of one of our product candidates, and we, or our collaborators, do not obtain, or face delays in obtaining, approval (or clearance, or certification) of a companion diagnostic device, we will not be able to commercialize the product candidate, and our ability to generate revenue will be materially impaired.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If our efforts to protect the proprietary nature of the intellectual property related to our technologies are not adequate, we may not be able to compete effectively in our market.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The price of our stock has been and may continue to be volatile, and you could lose all or part of your investment.</w:t>
      </w:r>
    </w:p>
    <w:p>
      <w:pPr>
        <w:pStyle w:val="TextBody"/>
        <w:bidi w:val="0"/>
        <w:spacing w:before="80" w:after="283"/>
        <w:jc w:val="left"/>
        <w:rPr/>
      </w:pPr>
      <w:r>
        <w:rPr/>
      </w:r>
    </w:p>
    <w:p>
      <w:pPr>
        <w:pStyle w:val="TextBody"/>
        <w:bidi w:val="0"/>
        <w:spacing w:before="0" w:after="0"/>
        <w:ind w:left="0" w:right="0" w:firstLine="490"/>
        <w:jc w:val="left"/>
        <w:rPr/>
      </w:pPr>
      <w:r>
        <w:rPr/>
      </w:r>
    </w:p>
    <w:p>
      <w:pPr>
        <w:pStyle w:val="TextBody"/>
        <w:bidi w:val="0"/>
        <w:spacing w:lineRule="auto" w:line="28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ind w:left="0" w:right="0" w:firstLine="490"/>
        <w:jc w:val="center"/>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An investment in shares of our common stock involves a high degree of risk. You should carefully consider the following risk factors, as well as the other information in this report, before deciding whether to purchase, hold or sell shares of our common stock. The occurrence of any of the following risks could harm our business, financial condition,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operations and/or growth prospects or cause our actual results to differ materially from those contained in forward-looking statements we have made in this report and those we may make from time to time. You should consider all of the risk factors described below when evaluating our business. The risk factors set forth below that are marked with an asterisk (*) contain changes to the similarly titled risk factors included in, or did not appear as separate risk factors in, Item 1A of our Annual Report, which was filed with the SEC on March 12,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Capital Needs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net losses in every period since our inception and anticipate that we will incur substantial net losses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and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We are advancing an allogeneic CAR T platform of primarily early-stage product candidates and have no products approved for commercial sale and have not generated any revenue from product sales to date, and we will continue to incur significant research and development and other expenses related to our ongoing operations. To date, we have devoted substantially all of our resources to organizing and staffing our company, business planning, raising capital, securing related intellectual property rights, building our product manufacturing infrastructure, including a dedicated good manufacturing practices (GMP) manufacturing facility, manufacturing our clinical product candidates and conducting discovery, research and development activities for our programs. As a result, we are not profitable and have incurred net losses in each period since our inception. For the year ended December 31, 2025, we reported a net loss of $190.9 million. For the three months ended March 31, 2026, we reported a net loss of $42.6 million. As of March 31, 2026, we had an accumulated deficit of $2.1 billion.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incur significant expenditures for the foreseeable future, and we expect these expenditures to increase as we continue our research and development of, and seek regulatory approvals for, product candidates based on our engineered allogeneic CAR T cell platform. Because our allogeneic CAR T cell product candidates are based on new technologies and will require the creation of inventory of mass-produced, off-the-shelf product, they will require extensive research and development and have substantial manufacturing and processing costs. In addition, costs to treat patients with relapsed or refractory cancer and to treat potential side effects that may result from our product candidates can be significant.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encounter unforeseen expenses, difficulties, complications, delays and other unknown factors that may adversely affect our business. For instance, the U.S. Food and Drug Administration (FDA) placed our clinical trials on hold in October 2021, which suspended our clinical programs prior to resolution of the hold in January 2022. Even if we succeed in advancing our clinical trials and commercializing one or more of our product candidates, we will continue to incur substantial research and development and other expenditures to develop and market additional product candidates.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need substantial additional financing to develop our products and implement our operating plans. If we fail to obtain additional financing, we may be unable to complete the development and commercialization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spend a substantial amount of capital in the development and manufacture of our product candidates. We will need substantial additional financing to develop our products and implement our operating plans. In particular, we will require substantial additional financing to enable commercial production of our products and initiate and complete registrational trials for multiple products in multiple regions. Further, if approved, we will require significant additional capital in order to launch and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$266.9 million in cash and cash equivalents and investments, before giving effect to $187.9 million in net proceeds from our April 2026 Public Offering. Although the April 2026 Public Offering increased our available capital, changing circumstances may cause us to consume capital significantly faster than we currently anticipate, and we may need to spend more money than currently expected because of circumstances beyond our control. We may also need to raise additional capital sooner than we currently anticipate if we choose to expand more rapidly than we presently plan. In any event, we will require additional capital for the further development and commercialization of our product candidates, including funding our internal manufacturing capabilities.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be certain that additional funding will be available on acceptable terms, or at all. We have no committed source of additional capital and our stock price has faced extreme volatility and has declined. In addition, following our April 2026 Public Offering, our ability to issue additional securities or grant new equity awards under our 2018 Plan is constrained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 xml:space="preserve">unless and until our stockholders approve, and we implement, an amendment to increase the authorized number of shares of our common stock. </w:t>
      </w:r>
      <w:r>
        <w:rPr>
          <w:rFonts w:ascii="Times New Roman;serif" w:hAnsi="Times New Roman;serif"/>
          <w:b w:val="false"/>
          <w:color w:val="000000"/>
          <w:sz w:val="20"/>
          <w:shd w:fill="FFFFFF" w:val="clear"/>
        </w:rPr>
        <w:t xml:space="preserve">Our success depends in part on our continued ability to attract, retain and motivate highly qualified management and key personnel. If our stockholders do not approve an amendment to increase </w:t>
      </w:r>
      <w:r>
        <w:rPr>
          <w:rFonts w:ascii="Times New Roman;serif" w:hAnsi="Times New Roman;serif"/>
          <w:b w:val="false"/>
          <w:color w:val="000000"/>
          <w:sz w:val="20"/>
        </w:rPr>
        <w:t>the authorized number of shares of our common stock</w:t>
      </w:r>
      <w:r>
        <w:rPr>
          <w:color w:val="000000"/>
          <w:shd w:fill="FFFFFF" w:val="clear"/>
        </w:rPr>
        <w:t xml:space="preserve"> </w:t>
      </w:r>
      <w:r>
        <w:rPr>
          <w:rFonts w:ascii="Times New Roman;serif" w:hAnsi="Times New Roman;serif"/>
          <w:b w:val="false"/>
          <w:color w:val="000000"/>
          <w:sz w:val="20"/>
          <w:shd w:fill="FFFFFF" w:val="clear"/>
        </w:rPr>
        <w:t>in a timely manner, or at all, the resulting lack of available authorized shares of common stock for future equity incentive awards could adversely affect our ability to attract, retain and motivate employees and other key personnel. In addition, we may be unable to access the capital markets, consummate corporate collaborations or partnerships, or pursue other business opportunities that are integral to our growth and success, at a time when it would be advantageous to do so, or at all. Any of the foregoing could materially and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or issue equity securities in connection with a strategic transaction, the ownership interest of our stockholders will be diluted. If we are unable to raise additional capital in sufficient amounts or on terms acceptable to us, or if our authorized share limitations restrict our ability to issue securities when needed, we may have to significantly delay, scale back or discontinue the development or commercialization of our product candidates or other research and development initiatives. Our license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above events could significantly harm our business, prospects, financial condition and results of operations and cause the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fail to meet our publicly announced guidance or other expectations about our business, which would cause our stock price to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provide guidance regarding our expected financial and business performance, such as projections regarding our cash runway and projected clinical development and/or regulatory milestones. Correctly identifying key factors affecting business conditions and predicting future events is an inherently uncertain process and our guidance may not ultimately be accurate. Our guidance is based on certain assumptions relating to our expenses which may fluctuate based on how quickly we are able to execute on our operational initiatives, such as the timing of initiation of clinical trials and the rate of enrollment in such trials, and the timing of certain milestone payments, manufacturing expenses, employee expenses, facility expenses, and potential modifications of existing or the establishment of new partnership agreements. If our assumptions are not met or are impacted as a result of various risks and uncertainties, we may have to raise additional capital sooner than we currently expect and the market value of our common stock could decline significantly.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Business disruptions could seriously harm our future revenue and financial condition and increase our costs and expenses.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and those of our CDMOs, contract research organizations (CROs), clinical trial sites and other contractors and consultants, could be subject to business disruptions, including those caused by earthquakes, power shortages, telecommunications failures, cybersecurity attacks, water shortages, floods, hurricanes, tsunamis, typhoons, fires, extreme weather conditions, medical epidemics or pandemics, wars and other geopolitical conflicts (including military conflicts, threatened hostilities, and conflicts or heighted tension among alliance countries), bank failures, adverse legislative actions and other natural or man-made disasters or business interruptions, for which we are predominantly self-insured. The occurrence of any of these business disruptions could seriously harm our operations and financial condition and increase our costs and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manufacture or distribute our product candidates could be disrupted if our operations or those of our suppliers are affected by a man-made or natural disaster or other business interruption. Our corporate headquarters and manufacturing facility are located in California near major earthquake faults and fire and flood zones. The ultimate impact on us, our significant suppliers and our general infrastructure of being located near major earthquake faults and fire and flood zones and being consolidated in certain geographical areas is unknown, but our operations and financial condition could suffer in the event of a major earthquake, fire, flood or other natural disaster.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It is uncertain whether the U.S. Department of Treasury, FDIC and Federal Reserve Board will provide access to uninsured funds in the future in the event of the closure of other banks or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institutions, or that they would do so in a timely fashion. 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utilize our net operating loss carryforwards and certain other tax attributes may be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federal net operating losses incurred in tax years beginning after December 31, 2017, may be carried forward indefinitely, but the deductibility of such federal net operating loss carryforwards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change (by value) in the equity ownership of certain stockholders over a rolling three-year period), the corporation’s ability to use its pre-change net operating loss carryforwards and other pre-change tax attributes to offset its post-change income or taxes may be limited. As a result of our registered offerings in May 2024 and April 2026, activity related to our at-the-market (ATM) equity facility, our initial public offering (IPO) in October 2018 and private placements and other transactions that have occurred since our incorporation, we may have experienced an “ownership change”. We may also experience ownership changes in the future as a result of subsequent shifts in our stock ownership. We anticipate incurring significant additional net losses for the foreseeable future, and our ability to utilize net operating loss carryforwards associated with any such losses to offset future taxable income may be limited to the extent we incur future ownership changes. 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2023 and before 2027. As a result, we may be unable to use all or a material portion of our net operating loss carryforwards and other tax attributes, which could adversely affect our future cash flows.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are based on novel technologies, which makes it difficult to predict the time and cost of product candidate development and the likelihood of obtaining regulatory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concentrated our research, development and manufacturing efforts on our engineered allogeneic CAR T cell therapy and our future success depends on the successful development of this therapeutic approach. We are in the early stages of developing our platform and we have experienced significant development challenges, such as with the prior clinical hold by the FDA, and there can be no assurance that any development problems we have now or experience in the future will not cause significant delays or unanticipated costs, or that such development problems can be overcome. We may also experience regulatory, operational, or technical challenges or delays when we seek to transition to commercial manufacturing, which may prevent us from commercializing our products, if approved, on a timely or profitable basis, if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since we are in the early stages of clinical development, we do not know all the doses to be evaluated in pivotal trials or, if approved, commercially. Finding a suitable dose for our cell therapy product candidates may delay our anticipated clinical development timelines. These unknowns and other emerging findings from our clinical trials may result in protocol amendments, which may result in additional costs and may also delay our anticipated clinical development timelines. For example, our decision to terminate the FCA arm (fludarabine, cyclophosphamide, and ALLO-647) in our ALPHA3 trial resulted in a protocol amendment that has resulted in additional costs and could delay our anticipated clinical development timeline. In addition, our expectations with regard to our scalability and costs of manufacturing may vary significantly as we develop our product candidates and understand these critical factors.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advancing product candidates against unexplored targets and with new technology. For example, we are advancing ALLO-316 against the CD70 target, and ALLO-329 against CD19 and CD70 targets. ALLO-316 may have limited efficacy, even accounting for the selection of patients with CD70 positive tumors, or have off-target toxicities. As a dual-targeting CAR T product candidate, ALLO-329 may demonstrate limited ability to target and eliminate cells, including both B and T lymphocytes, that express one or both targets. Additionally, there may be unexpected toxicity, such as severe or prolonged immunosuppression or hyperinflammation, arising from targeting both CD19 and CD70 simultaneously. Since CD70 is found on activated T and other immune cells, ALLO-316 and ALLO-329 may also cause fratricide resulting in the loss of ALLO-316 or ALLO-329 cells, either during the manufacturing process or after the cells are administered to patients, or may deplete host T or other immune cells.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developing next-generation allogeneic CAR T technologies such as our proprietary Dagger® platform technology, which is incorporated into ALLO-316 and ALLO-329. Dagger® is designed to eliminate activated host T cells that may otherwise mediate rejection of infused allogeneic CAR T cells and thereby reduce or potentially eliminate the need for standard lymphodepletion. This approach is novel and remains unproven. Dagger® technology may not function as intended, may fail to meaningfully reduce or eliminate the need for lymphodepleting chemotherapy, or may not improve expansion, persistence or clinical outcomes of our product candidates. In addition, the mechanism of eliminating activated host immune cells may introduce additional safety risks, including unintended immune effects or toxicities, which could limit dosing, delay development or prevent successful clinical advancement of product candidates incorporating this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CAR T administration and/or the lymphodepletion that is required before administration of CAR T cells, may increase the risk of prolonged blood cell count suppression (cytopenia) or other adverse events including infections or inflammatory conditions such as cytokine release syndrome (CRS), immune effector cell-associated neurotoxicity syndrome (ICANS), and/or immune effector cell-associated hemophagocytic lymphohistiocytosis-like syndrome (IEC-HS), which can be life-threatening and results in death. These events have been observed in our clinical trials and have resulted in pausing enrollment or requiring protocol amendments. For example, in our ongoing ALLO-316 TRAVERSE trial, we implemented risk mitigation measures for IEC-HS, which delayed and increased the cost of conducting the clinical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ALPHA3 trial, we are advancing cema-cel for the treatment of patients with LBCL who have completed standard first line therapy and have attained a remission, but who still test positive for minimal residual disease (MRD). On April 13, 2026, we announced results from the planned interim futility analysis of the first 24 randomized patients to the two ongoing arms in ALPHA3. Although we believe these interim MRD and safety results are encouraging, they are based on a limited number of patients and may not be predictive of future results or demonstrate that ALPHA3 will meet its primary endpoint. Likewise, although we believe this early experience supports the potential for cema-cel to be administered in a broader range of treatment settings than autologous CAR T therapies, these data remain limited and may not be predictive of future outpatient or community-based administration.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As part of this trial, under Investigational Device Exemption (IDE), we are using an investigational assay developed by Foresight Diagnostics, known as the Clarity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MRD assay, to determine if a patient is MRD positive. The Clarity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MRD assay represents a novel approach to detecting the presence of minimal disease and the design of our trial is based on certain assumptions regarding the performance of the MRD assay, including assumptions regarding the anticipated MRD+ rate being consistent with published data. There is a risk that the assay may not function as intended and that the assay may not be sufficiently sensitive to detect the presence of low levels of MRD or sufficiently specific to avoid unacceptable rates of false positives. There is also a risk that the MRD+ rate observed in ALPHA3 may be lower than the previously reported rates as a result of the patient population screened, availability of sufficient patient test material, the performance of the test, and other factors that differ from previously reported rates. In addition, there are logistical risks with distributing diagnostic test kits to clinical trial sites, and collecting and sending patient samples to Foresight Diagnostics for testing, and there is a risk that the MRD assay will not be timely performed on the patient samples. Such logistical and timing risks are enhanced as we look to expand the ALPHA3 trial to clinical trial sites outside of the United States. If the MRD assay does not function as intended (e.g., false negatives/positives, or the MRD+ rate is lower than expected), or if the MRD assay is not timely performed on patient samples, it could negatively impact the rate of enrollment, the clinical results of, or the feasibility of the ALPHA3 trial, or negatively impact the market opportunity for cema-cel. In addition, we are reliant on Foresight Diagnostics to perform MRD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testing. A delay or failure by Foresight Diagnostics to perform MRD testing may negatively impact our ability to conduct the ALPHA3 trial as planned, or prevent us from conducting the ALPHA3 trial.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clinical study requirements of the FDA, European Medicines Agency (EMA) and other comparable foreign regulatory authorities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For example, the regulatory approval process for cema-cel based on our ALPHA3 trial is more complex because the regulatory agencies may require us to pair the approval of cema-cel with a companion diagnostic test. Approvals by the European Commission and FDA for existing autologous CAR T therapies, such as Kymriah® and Yescarta®, may not be indicative of what these regulators may require for approval of our therapies. Also, the use of healthy donor material in our allogeneic CAR T product candidates may create product variability challenges for us, and we do not yet fully understand the impact of donor variability on clinical outcomes.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 generally, approvals by any regulatory agency may not be indicative of what any other regulatory agency may require for approval or what such regulatory agencies may require for approval in connection with new product candidates. Moreover, our product candidates may not perform successfully in clinical trials or may be associated with adverse events that distinguish them from the autologous CAR T therapies that have previously been approved. For instance, allogeneic product candidates may result in graft-versus-host disease (GvHD) or chromosomal abnormalities not experienced with autologous products. Additionally, any Phase 2 trial results, such as in the ALPHA3 trial, may not be representative of Phase 1 results, which were based on limited patients and a patient population in an advanced stage of LBCL, and such Phase 2 trial results may not be accepted by the FDA as pivotal and sufficient for cema-cel approval, requiring us to open additional trials to establish that cema-cel is safe and effective. Even if we collect promising initial clinical data of our product candidates, longer-term data may reveal new adverse events or responses that are not durable. Unexpected clinical outcomes would significantly impact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and future success depends on our ability to advance clinical development, obtain regulatory approval of, and then successfully commercialize, our lead product candidates. Because cema-cel, ALLO-316, and ALLO-715, products designed for use in patients with cancer, and ALLO-329, designed for use in patients with autoimmune disease, are or will be among the first allogeneic products to be evaluated in the clinic, the failure of any such product candidates, or the failure of other allogeneic CAR T cell therapies, including for reasons due to safety, efficacy or durability, may impede our ability to develop our product candidates, and significantly influence physicians’ and regulators’ opinions in regard to the viability of our entire pipeline of allogeneic CAR T cell therapies. For instance, all of our clinical trials were previously put on clinical hold due to an observation in the phase 1 portion of the ALPHA2 trial. While the clinical hold has been resolved, we could be subject to a clinical hold in the future due to unexpected observations, adverse patient outcomes or other issues.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our product candidates, including our lead product candidates, will require additional clinical and non-clinical development, regulatory review and approval in multiple jurisdictions, substantial investment, access to sufficient commercial manufacturing capacity and significant marketing efforts before we can generate any revenue from product sales. In addition, because our other product candidates are based on similar technology as our lead product candidates, if any of the lead product candidates encounters additional safety issues, efficacy problems, manufacturing problems, developmental delays, regulatory issues or other problems, our development plans and business would be significantly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the likelihood, nature or extent of government regulation that may arise from future legislation or administrative action, either in the U.S. or abroad. The policies of the FDA, the competent authorities of the European Union Member States (EU Member States), the EMA, the European Commission and other comparable regulatory authorities responsible for clinical trials may change and additional government regulations may be enacted. For instance, the regulatory landscape related to clinical trials in the European Union recently evolved. The European Union Clinical Trials Regulation (CTR), which was adopted in April 2014 and repeals the European Union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European Union portal. Once the clinical trial is approved, clinical study development may proceed. The CTR foresees a three-year transition period. The extent to which ongoing and new clinical trials will be governed by the CTR varies. The CTR will apply to clinical trials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earlier date if the related clinical trial application was made on the basis of the CTR or if the clinical trial has already transitioned to the CTR framework before January 31, 2025. Compliance with the CTR requirements by us and our third-party service providers, such as CROs, may impact our developments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undesirable or unacceptable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clinical trials could reveal a high and unacceptable severity and prevalence of side effects or unexpected characteristics. Approved autologous CAR T therapies and those under development have shown frequent rates of CRS, neurotoxicity including ICANS, serious infections, prolonged cytopenia and hypogammaglobulinemia, hemophagocytic lymphohistiocytosis/macrophage activation syndrome (HLH/MAS), immune effector cell-associated HLH-like syndrome (IEC-HS) and adverse events have resulted in the death of patients. We have observed certain of these adverse events for our allogeneic CAR T product candidates. Other adverse events could also emerge in autologous CAR T therapies over time. For instance, patients who received an autologous anti-BCMA CAR T cell therapy have experienced neurocognitive and hypokinetic movement disorder with features of Parkinson’s disease that emerged months after treatment and may have been due to BCMA expression within the brain. Our anti-BCMA product candidates have the risk of causing similar adverse events.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2024 the FDA sent letters to all companies with approved autologous CAR T therapies requesting them to add a black box warning on the label of their autologous CAR T therapies. The FDA is requiring label updates to include a black box warning that T-cell malignancies may occur following treatment with BCMA- and CD19-directed genetically modified autologous T-cell immunotherapies. The required warnings are specific to autologous therapies. Such T-cell malignancies have been observed in approximately 1 patient for every 1,000 patients treated with autologous therapies. Because our allogeneic therapies are based on similar technology, until we have treated more patients, there is a risk that we may find similar T-cell malignancies following treatment with our allogeneic CAR T product candidates. If such malignancies are observed, regulatory authorities, such as the FDA, may require a similar black box warning or other safety-related labeling statements on our products’ label, if approved, which could prevent us from achieving or maintaining market acceptance and adversely affect our business, financial condition, results of operations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allogeneic CAR T cell product candidates may also cause unique adverse events related to the differences between the donor and patients, such as GvHD or infusion reactions. In addition, we utilize a lymphodepletion regimen that caused serious adverse events. For instance, because some regimens are expected to cause a deep and sometimes prolonged immune suppression, patients will have an increased risk of infection that may be unable to be cleared by the patient and ultimately lead to other serious adverse events or death. For example, a patient death occurred in the FCA arm (fludarabine, cyclophosphamide, and ALLO-647) of our ALPHA3 trial. This Grade 5 SAE, which occurred on Day 54 post-infusion, involved fulminant hepatic failure caused by disseminated adenovirus infection, potentially worsened by acetaminophen toxicity. The depth of immunosuppression, which has been attributed in part to the use of ALLO-647, is believed to have increased susceptibility to this viral infection.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FCA arm of our ALPHA3 trial and all uses of ALLO-647 have been discontinued, our lymphodepletion regimen has caused such adverse events and may also cause prolonged cytopenia and aplastic anemia. We have previously explored and may in the future explore various dosing strategies for lymphodepletion in our clinical trials, such as including varying doses of the chemotherapy agents and/or other components, or eliminating one or more of the agents, which may alter the risk of SAEs or have other undesirable outcomes such as a reduction of the efficacy of treatment.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and Servier's clinical trials of allogeneic CAR T product candidates, the most common severe or life-threatening adverse events resulted from CRS, serious infections, febrile neutropenia, prolonged cytopenia including prolonged pancytopenia, haemophagocytic lymphohistiocytosis, hypokalemia, multiple organ dysfunction syndrome, neutropenic sepsis and aplastic anemia. As reported, patients have died from adverse events and future patients may also experience toxicity resulting in death. For additional safety data, please see the section entitled “Business—Product Pipeline and Development Strategy” included in our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treat and re-treat more patients with our product candidates in our clinical trials, new less common side effects may also emerge or increased incidence of previously observed side effects may occur. There is a risk that the FDA or other comparable foreign regulatory authorities may not agree that sufficient mitigating procedures are included in our protocols to address such side effects, and FDA or other comparable foreign regulatory authorities may impose a clinical hold as it evaluates risks associated with such side effects and/or as we work with the agency to implement protocol amendments to appropriately manage such side effects. For instance, we observed a chromosomal abnormality that led to a previous clinical hold on our clinical trials. While our investigation concluded that the chromosomal abnormality had no clinical significance and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unrelated to our manufacturing process, our manufacturing processes include gene engineering by using viral vectors and genomic nucleases that may in the future cause insertion, deletion, or chromosomal translocation that may result in allogeneic CAR T cells to proliferate uncontrollably and adverse events.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combine the use of our product candidates with other investigational or approved therapies that may cause separate adverse events or events related to the combination.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unacceptable toxicities arise in the development of our product candidates, we could suspend or terminate a development program, a trial or certain arms of a trial, or the FDA or comparable foreign regulatory authorities could order us to cease clinical trials or deny approval of our product candidates for any or all targeted indications. For example, as a result of the Grade 5 SAE in the ALPHA3 trial described above, we have terminated the FCA arm of the ALPHA3 trial, and the trial is now moving forward as a two arm trial under which patients will be randomized equally (1:1) into either the FC lymphodepletion arm or standard-of-care observation. Additionally, we have terminated all further development of ALLO-647. Any data safety monitoring board may also suspend or terminate a clinical trial at any time on various grounds, including a finding that the research patients are being exposed to an unacceptable health risk, including risks inferred from other unrelated immunotherapy trials.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T cell therapy are not normally encountered in the general patient population and by medical personnel. We have trained and expect to have to train medical personnel using CAR T cell product candidates to understand the side effect profile of our product candidates for both our clinical trials and upon any commercialization of any of our product candidates. Inadequate training in recognizing or managing the potential side effects of our product candidates could result in patient deaths. Any of these occurrences may harm our business, financial condition and prospects significantly.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clinical trials may fail to demonstrate the safety and efficacy of any of our product candidates, which would prevent or delay regulatory approval and commercialization.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including in any post-approval studies.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 as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for any trials that may be completed, we cannot guarantee that the FDA or comparable foreign regulatory authorities will interpret the results as we do, and more trials could be required before we submit our product candidates for approval. For example, the FDA may determine that results from our Phase 2 ALPHA3 trial are not sufficient to establish that cema-cel is safe and effective, and the FDA may require additional trials. Additionally, although the EMA has previously granted Marketing Authorizations for products even when their clinical development programs did not involve any European sites, the regulatory landscape for CAR T products continues to evolve, and the EMA may require us to conduct clinical trials in the EU in order to obtain approval. To the extent that the results of the trials are not satisfactory to the FDA or comparable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Risks related to SAEs in the discontinued FCA arm of our ALPHA3 trial, including the Grade 5 SAE, could lead to regulatory actions, negative perceptions, and potential product liability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FCA arm of our ALPHA3 clinical trial has been terminated following a Grade 5 SAE, patients who previously received the FCA regimen remain at risk for experiencing further SAEs. Both the previously observed Grade 5 SAE and any additional SAEs that may occur could prompt regulatory authorities, including the FDA, to request additional safety data, require enhanced patient monitoring, or impose other conditions or restrictions on our clinical program. Such regulatory actions could delay our clinical development timelines, increase operational costs, and impact our ability to efficiently progress our trials. Additionally, such SAEs could adversely affect perceptions among physicians and patients, potentially limiting future enrollment in ongoing or planned studies and affecting the market acceptance of our therapies. Furthermore, such SAEs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expose us to potential product liability claims, which could materially harm our reputation, financial condition, and business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 CAR T therapy has been approved as part of a first-line consolidation strategy for the treatment of LBCL patients, which presents significant regulatory, commercial, and operational risks, and there is no assurance of success in this unproven setting.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no CAR T therapy has been approved for use as part of a first-line consolidation treatment for patients with LBCL, and the regulatory and commercial landscape remains uncertain. Because there is no precedent for regulatory approval of a CAR T therapy in this treatment paradigm, we may face unexpected challenges in generating sufficient clinical data to support an approval, and regulatory authorities may impose additional requirements or take longer than anticipated to evaluate our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standard of care for first-line treatment in LBCL is well-established, and physicians and patients may be reluctant to adopt CAR T therapy in this setting due to concerns over safety, efficacy, cost, or logistical challenges associated with administration. If our product candidate does not demonstrate compelling clinical benefit over existing treatments or fails to gain market acceptance, we may not achieve the commercial success necessary to sustain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payors and reimbursement authorities may be unwilling to provide coverage for CAR T therapy as a first-line consolidation treatment, particularly if they perceive it as too costly compared to existing alternatives. Even if we obtain regulatory approval, lack of adequate reimbursement could limit patient access and materially impact our ability to generate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of our clinical trial and potential approval in this setting is also dependent on factors outside of our control, such as evolving treatment paradigms, competitive developments, and changes in clinical practice. If we are unable to successfully develop, obtain approval for, and commercialize our CAR T therapy in this novel setting, our business, financial condition, and results of operations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time required for regulatory approval of the CLARITY assay in jurisdictions outside the U.S. may be protracted, which presents regulatory, operational, and commercialization risks.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certain foreign jurisdictions, such as the European Union (EU), we anticipate that the CLARITY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assay will be regulated as an in vitro diagnostic medical device. The timeline for this approval of CLARITY in jurisdictions outside the U.S. may be protracted due to the evolving regulatory landscape for medical devices, particularly in the EU, the complexity of demonstrating clinical utility for novel MRD assays, and potential resourcing constraints, such as within EU regulatory bodies.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do not own or control the CLARITY assay or its regulatory approval process. As a result, we are dependent on others to complete the necessary regulatory filings, respond to inquiries from regulators, and obtain regulatory approvals, such as EU Clinical Trial Application (CTA) approval, in a timely manner. If they experience delays, fail to meet regulatory requirements, or prioritize other programs over the CLARITY assay, our clinical development efforts outside the U.S. could be significantly delayed. We may have limited visibility into the approval timeline and decision-making process, which could hinder our ability to accurately forecast any trial initiation and enrollment.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Foresight Diagnostics, the developer of the CLARITY assay, was acquired by Natera and, although Foresight continues to operate as a standalone subsidiary, the acquisition and related integration activities may create additional risks and uncertainties for our clinical development and potential commercialization of cema-cel. For example, Natera may change Foresight’s strategic priorities, allocate resources differently, modify operating processes, systems, or personnel supporting CLARITY, or pursue business objectives that are not aligned with our development timelines or regulatory strategy. Any disruption during integration, including changes in key personnel, vendors, quality systems, or regulatory and clinical operations, could delay regulatory submissions, responses to regulatory inquiries, assay validation activities, or the availability of testing capacity needed to support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regulatory approvals of the CLARITY assay, such as a delay in a CTA approval in the EU, could slow patient recruitment and impact the overall timeline of our cema-cel clinical development program. If regulatory challenges prevent the assay from being approved in a reasonable timeframe, we may be forced to identify and validate an alternative MRD assay, which could require additional clinical studies, regulatory interactions, and investment of resources, further delaying our program. Furthermore, an alternative MRD assay with sufficient sensitivity may not exist.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if the CLARITY assay is required for commercial use alongside cema-cel, its approval and reimbursement as a medical device could impact the market adoption of cema-cel. Since we do not control the approval or commercialization strategy of the assay, our ability to ensure its availability, pricing, and regulatory compliance will be limited. Following Foresight’s acquisition by Natera, we may have even less influence over decisions regarding CLARITY’s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development, regulatory strategy, commercialization, pricing, or reimbursement approach. If Foresight encounters regulatory setbacks or is unable to secure timely approval, our ability to commercialize cema-cel may be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approval of the CLARITY assay in any country or region is delayed, denied, or subject to additional regulatory requirements, our cema-cel clinical development timeline, regulatory approval prospects, and potential commercial success in such country or region could be materially impacted, which could adversely affect our business, financial condition, and future growth.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Phase 1 data from our clinical trials is limited and may change as more patient data becomes available or may not be validated in any future or advanced clinical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Data from clinical trials that we may complete are subject to the risk that one or more of the clinical outcomes may materially change as patient enrollment continues and more patient data becomes available. Phase 1 results are preliminary in nature and should not be viewed as predictive of ultimate success. It is possible that such results will not continue or may not be repeated in any clinical trial of our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instance, our Phase 2 ALPHA3 trial design is based in part on Phase 1 data from a limited number of patients treated with various doses of ALLO-501 or cema-cel manufactured using the Alloy process. Results from the larger Phase 2 ALPHA3 trial, which we anticipate will only include cema-cel manufactured internally at CF1, but may ultimately also include cema-cel manufactured at a contract manufacturer, may not be consistent with the Phase 1 results. Furthermore, because ALPHA3 will include a different patient population versus our Phase 1 ALPHA2 trial, i.e., patients having MRD after front-line treatment versus patients with radiographically measurable disease after a minimum of two prior lines of treatment, it is possible that cema-cel may behave differently in terms of expansion, persistence and the ability to eradicate residual disease. In addition, our experience with our CD19 and BCMA programs indicates that manufacturing can impact clinical outcomes. The manufacturing runs we have completed and tested in the clinic are limited across our product candidates and any manufacturing variability that impacts clinical outcomes would significantly harm our business and prospects. We may also fail to develop any optimized manufacturing processes for any of our programs. Ultimately, if we cannot manufacture our product candidates with consistent and reproducible product characteristics, our ability to develop and commercialize any product candidate would be significantly impacted.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Phase 1 trials of novel products also commonly include a dose exploration phase during which adverse effects of treatment may emerge at higher doses that are new, unexpected, or occur at higher-than-expected frequencies or severity and may limit our ability to develop such products in one or more target indications or patient populations. Similarly, in dose expansion phase, we may discover that adverse effects, either known or novel, may negatively impact the emerging overall benefit-risk profile of our product candidates and may lead to the discontinuation or other significant alteration to the development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Preliminary data also remain subject to audit and verification procedures that may result in the final data being materially different from the preliminary data we previously published. As a result, initial, interim and preliminary data should be viewed with caution until the final data are available. Adverse differences between preliminary or interim data and final data could significantly harm our business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reported initial observations from early dose levels in our Phase 1 RESOLUTION trial of ALLO-329, including observations regarding clinical activity and tolerability. These observations are preliminary, are based on a small number of patients across different autoimmune indications, dose levels and lymphodepletion approaches, and may not be predictive of future results. As dose escalation continues and additional patients are treated and followed, we may observe different or less favorable safety, tolerability, biomarker or clinical activity results, and we may not identify a dose or lymphodepletion regimen that supports further development. Any unfavorable or inconclusive data from RESOLUTION could delay or prevent further development of ALLO-329 and materially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submit INDs or equivalent foreign applications to commence additional clinical trials on the timelines we expect, and even if we are able to, the FDA or other comparable foreign regulatory authorities may not permit us to proceed.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submit investigational new drug (IND) applications or IND amendments and equivalent foreign applications for current and potentially new product candidates or indications in the future. We cannot be sure that submission of an IND or IND amendment or an equivalent foreign application will result in the FDA or other comparable foreign regulatory authorities allowing testing and clinical trials to begin on our anticipated timelines, if at all, or that, once begun, issues will not arise that suspend or terminate such clinical trials. The manufacturing of allogeneic CAR T cell therapy remains an emerging and evolving field. Accordingly, we expect Chemistry, Manufacturing and Controls (CMC) related topics, including product specification, will be a focus of IND reviews, which may delay the clearance of INDs or IND amendments, and we may face internal or third-party resource constraints in preparing responses and supporting CMC-related submissions.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instance, if we introduce changes to the manufacturing of our product candidates, regulatory authorities may require additional studies or clinical data to support the changes, which could delay our clinical trial timelines. Additionally, even if such regulatory authorities agree with the design and implementation of the clinical trials set forth in an IND, IND amendment or clinical trial application, we cannot guarantee that such regulatory authorities will not change their requirements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encounter substantial delays in our clinical trials, or may not be able to conduct our trials on the timelines we expect.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testing is expensive, time consuming and subject to uncertainty. We cannot guarantee that any clinical studies will be conducted as planned or completed on schedule, if at all. Even if our trials begin as planned, issues may arise that could suspend or terminate such clinical trials or a portion thereof. A failure of one or more clinical studies can occur at any stage of testing, and our future clinical studies may not be successful. Events that may prevent successful or timely completion of clinical development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generate sufficient preclinical, toxicology or other in vivo or in vitro data to support the initiation of clinical studies;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sufficiently developing, characterizing, controlling or optimizing a manufacturing process suitable for clinical trials, including the validation and deployment of release assays;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difficulty sourcing healthy donor material of sufficient quality and in sufficient quantity to meet our development needs;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developing, obtaining regulatory approval for, or implementing suitable assays for screening patients for eligibility for trials with respect to certain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of patients who consent to be screened for the ALPHA3 trial may be lower than we expect given the current well-established medical practice of frontline therapy for LBCL and the history of slow patient recruitment in other frontline LBCL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screen failure rate for clinical trials of our product candidates may be higher than we anticipate, requiring us to screen larger numbers of patients than originally planned. For example, the number of patients who have MRD at the end of front-line treatment in ALPHA3 may be lower than we expect requiring more patients to be screened;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reaching a consensus with regulatory agencies on study design;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reaching agreement on acceptable terms with prospective CROs and clinical study sites, the terms of which can be subject to extensive negotiation and may vary significantly among different CROs and clinical study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obtaining required IRB approval or approval of other ancillary regulatory committees at each clinical study site;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imposition of a temporary or permanent clinical hold by regulatory agencies for a number of reasons, including after review of an IND application or amendment, or equivalent application or amendment; as a result of a new safety finding that presents uncertain or unreasonable risk to clinical trial participants; a negative finding from an inspection of our or our collaborator’s clinical study operations or our study sites; developments on trials conducted by competitors for related technology that raises FDA or other comparable foreign regulatory authority concerns about risk to patients of the technology broadly; or if the FDA or other comparable foreign regulatory authorities find that the investigational protocol or plan is clearly deficient to meet its stated objectives;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recruiting suitable patients to participate in our clinical studies;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activating clinical trial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obtaining the necessary regulatory approvals to expand clinical trials to countries outside the United States, including approvals relating to any required companion diagnostic;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difficulty collaborating with patient groups and investigators;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by our CROs, other third parties or us to adhere to clinical study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perform in accordance with the FDA’s good clinical practices (GCP) requirements or equivalent regulatory guidelines in other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or failures in the transfer of manufacturing processes to any CDMO or our own manufacturing facility or any other development or commercialization partner for the manufacture of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having patients complete participation in a study or return for post-treatment follow-up;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patients dropping out of a study;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occurrence of adverse events associated with the product candidate that are viewed to outweigh its potential benefits;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regulatory requirements and guidance that require amending or submitting new clinical protocols;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standard of care on which a clinical development plan was based, which may require new or additional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clinical studies of our product candidates being greater than we anticipate;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studies of our product candidates producing negative or inconclusive results, which may result in our deciding, or regulators requiring us, to conduct additional clinical studies or abandon product development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delays or failure to secure supply agreements with suitable raw material suppliers, or any failures by suppliers to meet our quantity or quality requirements for necessary raw materials;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shortage, interruption, or failure to secure commercially available and/or investigational drug products that are required to conduct clinical trials with our allogeneic CAR T product candidates;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manufacturing, testing, releasing, validating, or importing/exporting sufficient stable quantities of our product candidates for use in clinical studies or the inability to do any of the foregoing.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Tariffs and other trade restrictions, as well as a pandemic or epidemic may also increase the risk of certain of the events described above and delay our development timelines. Any inability to successfully complete preclinical and clinical development could result in additional costs to us or impair our ability to generate revenue. In addition, if we make manufacturing or formulation changes to our product candidates, we will be required to meet certain regulatory conditions, such as establishing comparability with the product candidates manufactured prior to such changes, and our inability to meet such conditions would result in investment of additional resources, a delay in our manufacturing of such product candidate and an extension of our clinical trial timelines.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trials may also be delayed because of the availability of drugs required to be used under our protocols. For example, in some of our clinical trials, the study participants receive commercially available drugs for lymphodepletion before our allogeneic CAR T product candidates are administered, and receive other drugs to prevent infections and manage the treatment emergent adverse events. Shortage or lack of availability of these commercially available drugs that are necessary to conduct our clinical trials may cause delays in our clinical trials.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Monitoring and managing toxicities in patients receiving our product candidates is challenging, which could adversely affect our ability to obtain regulatory approval and commercialize.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our clinical trials of our product candidates, we contract or will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or other comparable foreign regulatory authorities delaying, suspending, varying,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and/or may have a detrimental impact on the efficacy of the treatment. Challenges associated with the use of these medicines may increase with new physicians and centers administering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encounter difficulties enrolling patients in our clinical trials, our clinical development activities could be delayed or otherwise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experience difficulties in patient enrollment in our clinical trials for a variety of reasons. For example, as we progress the ALPHA3, TRAVERSE and RESOLUTION trials, we may face enrollment challenges, including an unwillingness of sites or patients to participate, the exclusion of patients with certain disease characteristics or the ineligibility of patients that have received prior autologous CAR T therapies, which continue to gain adoption. The timely completion of clinical trials in accordance with their protocols depends, among other things, on our ability to enroll a sufficient number of patients. Because we anticipate a minority of the 1L patients we will test for MRD as part of screening for the ALPHA3 trial will be MRD positive, we will likely experience a very high screen failure rate, which will require screening a large number of patients to complete enrollment in the study. Because of the anticipated high screen failure rate, certain clinical trial sites may decline to participate in ALPHA3 or completion of enrollment may be significantly delayed. Future epidemics or pandemics may result in reduced enrollment and challenges to related clinical trial activities. The enrollment of patients may be more difficult, such as due to the perceptions of the safety of our product candidates, and will depend on many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prevalence of any biomarker required for enrollment, such as MRD or CD70 expression;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performance of the diagnostic tests used to determine eligibility for enrollment (e.g., MRD or CD70);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of the patient population required for analysis of the trial’s primary endpoints;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proximity of patients to study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design of the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 and to activate, in a timely manner, the clinical trial sites with which they are associated and that have access to eligible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obtain and maintain patient consents;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competition from approved products in the same or other lines of therapy and/or disease indications and from product candidates in other clinical trials;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the trials before the infusion of our product candidates or trial completion.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we only need to conduct a limited number of manufacturing runs to generate clinical supply, the diversity of our supply is limited during clinical trials. As a result, some patients may have antibodies to certain donor specific antigens at titers that could negatively impact the activity of our product candidates and which would render the patients ineligible for treatment. Furthermore, cellular mechanisms of allogeneic tissue rejection may limit the efficacy of our products. In addition, we have introduced an in vitro companion diagnostic (IVD) assay in the TRAVERSE trial to screen for patients with CD70+ tumors and are utilizing an MRD assay in the ALPHA3 trial to screen for patients who are MRD positive, both of which are restricting the number of patients eligible for the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Development and research use of an experimental diagnostic assay or test, such as that we are using to determine CD70 expression on tumor tissue of potential participants in the TRAVERSE trial or to identify MRD positive patients in the ALPHA3 trial, may influence results of the study in expected or unexpected ways. For example, emerging safety and efficacy outcomes could lead us to impose, tighten or expand “cutoff” values of CD70 expression to determine enrollment eligibility for TRAVERSE. Assay performance or necessary changes we or our partners make to the assay(s) during development may reduce the pace of enrollment or may lead to alterations in the expected benefit risk profile as compared to results collected prior to the change. In addition, our use of such assays may add complexity to initiating or expanding clinical trials outside the United States, including because the assay may be subject to regulation as an in vitro diagnostic medical device in certain jurisdictions and may require regulatory review, authorization, clearance or approval, or additional country-specific validation or operational requirements, before it can be used for patient selection. Any delays or inability to obtain such regulatory authorization, clearance or approval, or to meet local requirements, could delay trial initiation, site activation, patient screening or enrollment in those jurisdictions.The diagnostic assay itself may not perform as expected due to identifiable or obscure factors. It is also possible that we may not be aware of such underperformance of the assay which could lead to incorrect conclusions. This could, in turn, impact enrollment and interpretation of the clinical trial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clinical trials will also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For example, our collaboration with Foresight Diagnostics is nonexclusive. As a result, there is a risk that Foresight Diagnostics might work with our competitors to enable a competing clinical trial involving the same MRD positive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patient population that we plan to enroll in ALPHA3, which would reduce the number of patients who are available to participate in ALPHA3, and potentially delay completion of ALPHA3. Since the number of qualified clinical investigators is limited, some of our clinical trial sites are also being used by some of our competitors, which may reduce the number of patients who are available for our clinical trials in that clinical trial site.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our clinical trials require conditioning patients with chemotherapy, including agents such as cyclophosphamide and fludarabine, and physicians use other drugs prophylactically or to manage adverse events, our ability to enroll may be impacted by the shortage of such agents or drugs. For instance, the FDA has reported a shortage of fludarabine and any failure or delays by us or by our clinical trial sites to obtain sufficient quantities of fludarabine may delay our ability to enroll and treat patients in our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because our product candidates represent a departure from more commonly used methods for treating cancer and autoimmune diseases, potential patients and their doctors may be inclined to use conventional therapies, such as chemotherapy, monoclonal antibodies, hematopoietic cell transplantation as well as autologous CAR T cell therapies for treating cancer or hydroxychloroquine, NSAIDs, immunosuppressants, corticosteroids, or other biologics for treating autoimmune diseases, rather than enroll patients in our clinical trial, including if our product candidates have or are perceived to have additional safety or efficacy risks or if using our product candidates may affect insurance coverage of conventional therapies. For instance, the development of autologous CAR T cell therapies continues to rapidly advance, including into earlier lines of treatment of LBCL and treatment of relapsed/refractory (R/R) multiple myeloma, as described under the section entitled "Business—Competition" included in our Annual Report. We also may experience risks associated with a new class of therapies, bispecific antibodies, which have been approved for multiple myeloma and LBCL. The compelling results and related approvals may impact our ability to enroll patients in our clinical trials. Moreover, patients eligible for allogeneic CAR T cell therapies but ineligible for autologous CAR T cell therapies due to aggressive cancer and inability to wait for autologous CAR T cell therapies may be at greater risk for complications and death from therapy or may experience a reduction in efficacy as compared to patients who are well enough and whose disease is sufficiently slow growing as to be eligible for autologous CAR T cell therapy.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our clinical trials, which could prevent completion of these trials and adversely affect our ability to advance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opportunities for certain of our product candidates may be limited to those patients who are ineligible for or have failed prior treatments and may be small.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often approves new therapies initially only for use in patients with R/R metastatic disease. We may initially seek approval of certain of our product candidates in this setting. Subsequently, for those products that prove to be sufficiently beneficial, if any, we would expect to seek further approval in earlier lines of treatment, and for cema-cel we expect to initially seek approval in the first line consolidation setting. There is no guarantee that our product candidates, even if approved, would be approved for earlier lines of therapy, and, prior to any such approvals, we will have to conduct additional clinical trials, including potentially comparative trials against the then-current standard of care, which in some cases may include comparative trials against approved therapies. We may also target a similar patient population as autologous CAR T product candidates, including approved autologous CAR T products. Our therapies may not be as safe and effective as autologous CAR T therapies and may only be approved for patients who are ineligible for autologous CAR T therapy.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projections of both the number of patients who have the cancers or autoimmune diseases we are targeting, as well as the subset of patients with these cancers or autoimmune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or therapies may change the estimated incidence or prevalence of these cancers and autoimmune diseases. The number of patients may turn out to be lower than expected. Additionally, the potentially addressable patient population for our product candidates may be limited, such as due to the eligibility criteria of our trials (e.g., MRD+ rates lower than expected), or may not be amenable to treatment with our product candidates, all of which may negatively impact the potential market opportunity for our other product candidates, if approved.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fail to successfully manufacture our product candidates, operate our own manufacturing facility, or obtain regulatory approval to utilize or commercialize from our manufacturing facility or at a CDMO, which could adversely affect our clinical trials and the commercial viability of our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achieve clinical or commercial manufacturing of our products on our own or at a CDMO, including the inability to satisfy demands for any of our product candidates. We have limited experience in managing the allogeneic CAR T cell engineering process, and our allogeneic processes may be more difficult or more expensive than the approaches taken by our competitors. Until we complete our clinical trials, we cannot be sure that the manufacturing processes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employed by us or the technologies that we incorporate for manufacturing will result in consistent T cell production that will be safe and effective.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CF1, our manufacturing facility located in Newark, California, that is designed to support our clinical trials and potential commercial production and worldwide distribution of allogeneic CAR T cell products for blood cancers, solid tumors and autoimmune diseases. Introducing any product manufactured at our manufacturing facility into an ongoing clinical trial would be subject to FDA review, and may result in increased costs and delays in conducting such trial, submitting a biologics license application (BLA) or marketing authorization application (MAA) and/or gaining FDA or other comparable foreign regulatory authority approval. Similar conditions may apply if we make process changes to our product candidates, as we plan to do for our BCMA program. In addition, any process or raw material change could introduce unacceptable product variability and impact our ability to manufacture on a consistent and reproducible basis. Ultimately, any failure or delays in manufacturing and qualification of our product candidates at our CDMO or at our own manufacturing facility could delay our clinical trials.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yet have sufficient information to reliably estimate the cost of the commercial manufacturing of our product candidates, and the actual cost to manufacture our product candidates could materially and adversely affect the commercial viability of our product candidates. The commercial dose and treatment regimen may affect our ability to scale and will affect our cost per dose. For instance, because our anti-BCMA product candidates may require a higher dose than cema-cel, it is possible that it may be more difficult to scale production of our anti-BCMA product candidates to meet demand. As a result, we may never be able to develop a commercially viable product. Our manufacturing facility will also require FDA approval, and possibly similar approval from comparable foreign regulatory authorities before it can be used for commercial production, which we may never obtain. Even if approved, we would be subject to ongoing periodic unannounced inspection by the FDA, EMA, the Drug Enforcement Administration and corresponding state agencies to ensure strict compliance with current good manufacturing practices (cGMP), and other government regulations.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manufacture of biopharmaceutical products is complex and requires significant expertise, including the development of advanced manufacturing techniques and process controls. Manufacturers of cell therapy products often encounter difficulties in production, particularly in validating initial production and ensuring the absence of contamination. Other problems can include difficulties with production costs and yields, quality control, including stability of the product, operator error, shortages of qualified personnel, as well as compliance with strictly enforced federal, state and foreign regulations. The application of new regulatory guidelines or parameters, such as those related to release testing, may also adversely affect our ability to manufacture our product candidates. Furthermore, if contaminants are discovered in our supply of product candidates or in the manufacturing facilities, such supply may have to be discarded and our manufacturing facility may need to be closed for an extended period of time to investigate and remedy the contamination. We cannot assure you that any stability or other issues relating to the manufacture of our product candidates will not occur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any of our vendors may fail to manage the logistics of storing and shipping our raw materials and product candidates. Storage failures and shipment delays and problems caused by us, our vendors or other factors not in our control, such as weather, could result in the inability to manufacture product, the loss of usable product or prevent or delay the delivery of product candidates to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experience manufacturing difficulties due to resource constraints or as a result of labor disruptions, such as due to a future pandemic, epidemic or disputes. If we were to encounter any of these difficulties, our ability to provide our product candidates to patients would be jeopardized.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Reduced manufacturing operations may limit our ability to timely support our development programs.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we implemented a targeted reduction in manufacturing activities and reduced certain manufacturing-related headcount to focus our resources on critical clinical programs (Workforce Reduction). While we believe we currently hold sufficient inventory of cema-cel, ALLO-329, and ALLO-316 to meet our near-term clinical needs based on our current forecasts, including completing our current ALPHA3, RESOLUTION and TRAVERSE trials, this operational scale-down introduces several risks that could adversely affect our business in both the near and long term.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reduction in manufacturing activities and associated workforce may limit our ability to maintain operational readiness and retain critical technical expertise. Additionally, equipment and facility downtime may necessitate requalification and validation, which may be time consuming and result in delays. Any future decision to ramp up manufacturing operations would require re-hiring and retraining staff, re-establishing validated processes, and potentially undergoing regulatory inspections or submissions. In addition, reduced manufacturing operations and related workforce reductions may delay our ability to complete CMC activities and prepare the manufacturing-related portions of IND submissions and, over time, the CMC portions of any future BLA or MAA submissions, including responding to regulatory questions and preparing for potential inspections. These activities may be resource-intensive and subject to unforeseen delays or compliance risks. A delayed or unsuccessful restart or a delay in IND, BLA, or MAA submissions could impact our ability to advance our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development programs, commercialize a product, if approved, or support future clinical development of our earlier-stage product candidates. In addition, reduced manufacturing staffing and activity levels may delay our ability to complete CMC activities and prepare manufacturing-related portions of regulatory submissions, including INDs and, over time, the CMC portions of any future BLA or MAA submissions, as well as responding to regulatory inquiries and preparing for potential inspections.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with reduced manufacturing operations, we remain exposed to risks such as product shelf-life limitations, evolving product requirements, and regulatory changes that could render existing supply unusable or inadequate, and inventory shortages that could result from forecasting inaccuracies. Collectively, these factors may adversely affect our financial condition, operating results, and ability to advance our clinical programs and execute our strategic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a company, we have no experience in marketing products. If we are unable to establish marketing and sales capabilities or enter into agreements with third parties to market and sell our product candidates, we may not be able to generate product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company, we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or decide not to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or be on favorable terms.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able to develop in-house sales and distribution capabilities or establish or maintain relationships with third-party collaborators to commercialize any product that receives regulatory approval in the United States or in other markets.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 variety of risks associated with conducting research and clinical trials abroad and marketing our product candidates internationally could materially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globally develop our product candidates. Accordingly, we expect that we will be subject to additional risks related to operating in foreign countries,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regulatory requirements in foreign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unexpected changes in tariffs, trade barriers, price and exchange controls and other regulatory requirements, including recently imposed tariffs which may impact certain of our key raw materials that we import, and which could impact our cost of goods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standards and privacy requirements for the conduct of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jurisdiction-specific regulatory, reimbursement, and clinical adoption dynamics for diagnostic assays used for patient identification and selection;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geographic variations in genetics, comorbidities, environmental factors, treatment patterns, and healthcare practices may impact the safety profile or efficacy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increased difficulties in managing the logistics and transportation of storing and shipping product candidates produced in the United States, shipping the product candidate to the patient abroad, and shipping patient samples to the United States for screening tests;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import and export requirements and restrictions;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foreign taxes, including withholding of payroll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 and other obligations incident to doing business in another country;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staffing and managing foreign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payor reimbursement regimes, governmental payors or patient self-pay systems, and price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liability under the Foreign Corrupt Practices Act of 1977 or comparable foreign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production shortages resulting from any events affecting raw material supply or manufacturing capabilities abroad;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challenges with obtaining any local supply of drugs or agents used with our product candidates, which are required by certain local clinical trial sites before conducting any study;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business interruptions resulting from future health epidemics or pandemics, or natural or man-made disasters, including earthquakes, tsunamis, fires or other medical epidemics, or geo-political actions, including war and terrorism.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and other risks associated with our collaborations with Servier and Cellectis, each based in France, and our joint venture for China, Taiwan, South Korea and Singapore with HBP, may materially adversely affect our ability to attain or maintain profitable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significant competition from other biotechnology and pharmaceutical companies, and our operating results will suffer if we fail to compete effectively.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biopharmaceutical industry, and the immuno-oncology industry specifically,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Specifically, engineered T cells face significant competition from multiple companies. For example, there are new approaches involving in vivo CAR T or in vivo cell-engineering technologies that seek to deliver genetic payloads directly to a patient’s immune cells within the body, eliminating the need for ex vivo cell collection, gene editing, or manufacturing. If these technologies ultimately demonstrate clinical success and acceptable safety profiles, they could adversely affect the commercial potential of our product candidates. Conversely, if serious adverse events or safety signals emerge from ongoing in vivo trials, they could also heighten regulatory scrutiny of cell and gene-therapy products generally, which could indirectly affect our programs.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Success of other therapies, such as in vivo technologies, could impact our regulatory strategy and delay or prevent regulatory approval of our product candidates. 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refer to the section entitled “Business—Competition” included in our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compete in the highly competitive biotechnology and pharmaceutical industries depends upon our ability to attract and retain highly qualified managerial, scientific, medical and other personnel. We are highly dependent on our management, including our Executive Chair, our President and Chief Executive Officer, our Executive Vice President, Research &amp; Development and Chief Medical Officer, our Senior Vice President and Chief Technical Officer, our Chief Financial Officer, and our General Counsel. The loss of the services of any of our executive officers, other key employees, and other scientific and medical advisors, and our inability to find suitable replacements could result in delays in product development and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substantially all of our operations at our facilities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 Attrition may lead to higher costs for hiring and retention, diversion of management time to address retention matters and disrupt the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induce valuable employees to remain at our company, in addition to salary and cash incentives, we have provided stock options and restricted stock unit (RSU) awards that vest over time or upon the achievement of certain key strategic goals. The value to employees of stock options and RSU awards that vest over time or upon achieving goals have been significantly affected by movements in our stock price that are beyond our control and may at any time be insufficient to counteract more lucrative offers from other companies. We completed an option exchange program in July 2022 to alleviate the significant number of employee options that were underwater at that time. Our stock price has significantly declined since the option exchange program and a significant number of our employee options remain underwater and may not provide the intended incentive for employees to remain at our company.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size of our workforce has fluctuated and we will need to manage the size of our organization as we continue to advance our product candidates.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As our development, manufacturing and commercialization plans and strategies develop, we have grown our employee base and allocated resources to multiple new functions, but in January 2024 and May 2025 we implemented a 22% and 28% reductions in force, respectively, and we will need to continue to manage the size of our organization to ensure that we can successfully execute our strategic plans.</w:t>
      </w:r>
      <w:r>
        <w:rPr>
          <w:color w:val="000000"/>
        </w:rPr>
        <w:t xml:space="preserve"> </w:t>
      </w:r>
      <w:r>
        <w:rPr>
          <w:rFonts w:ascii="Times New Roman;serif" w:hAnsi="Times New Roman;serif"/>
          <w:b w:val="false"/>
          <w:color w:val="000000"/>
          <w:sz w:val="20"/>
        </w:rPr>
        <w:t>As our product candidates advance toward commercialization, we expect to hire employees in areas that include sales and marketing.</w:t>
      </w:r>
      <w:r>
        <w:rPr>
          <w:color w:val="000000"/>
        </w:rPr>
        <w:t xml:space="preserve"> </w:t>
      </w:r>
      <w:r>
        <w:rPr>
          <w:rFonts w:ascii="Times New Roman;serif" w:hAnsi="Times New Roman;serif"/>
          <w:b w:val="false"/>
          <w:color w:val="000000"/>
          <w:sz w:val="20"/>
        </w:rPr>
        <w:t>Future growth imposes significant added responsibilities on members of management,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identifying, recruiting, integrating, maintaining and motivating additional employees;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commercialize our product candidates will depend, in part, on our ability to effectively manage our growth, and our management may also have to divert a disproportionate amount of its attention away from day-to-day activities in order to devote a substantial amount of time to managing these growth activities.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not able to effectively expand our organization by hiring and retaining employees and expanding our groups of consultants and contractors, we may not be able to successfully implement the tasks necessary to further develop, manufacture and commercialize our product candidates and, accordingly, may not achieve our research, development, manufacturing and commercialization goals. Conversely, if we expand ahead of our business progress, we may take on unnecessary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form or seek additional strategic alliances or enter into additional licensing arrangements in the future, and we may not realize the benefits of such alliances or licensing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license products or new technologies or acquire businesses, we may not be able to realize the benefit of such transactions if we are unable to successfully integrate them with our existing operations and company culture. For instance, our agreements with Cellectis, Servier, Roche (formerly, Notch), Antion, and Foresight Diagnostics require significant research and development that may not result in the development and commercialization of product candidates. We cannot be certain that, following a strategic transaction or license, we will achieve the results, revenue or specific net income that justifies such transaction.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Increased interest among investors and large pharmaceutical companies in in vivo cell-engineering technologies may adversely affect our ability to raise capital or secure development partnerships.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a recent focus by investors and potential strategic-partners within the cell-therapy industry on in vivo cell-engineering and gene-delivery approaches. Over the past several quarters, multiple large pharmaceutical companies have announced transactions to acquire or partner with developers of in vivo CAR T and in vivo gene-editing platforms, in some cases involving substantial upfront payments or total deal values.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investment community or potential strategic collaborators increasingly allocate resources toward in vivo platforms, we may face greater challenges in raising additional capital on acceptable terms or in securing development, co-commercialization, or licensing agreements. Reduced investor enthusiasm for allogeneic cell therapy technologies could limit our access to equity or debt financing, increase our cost of capital, or lead potential partners to prioritize collaborations with companies pursuing in vivo modalities.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impair our ability to advance our product candidates, expand our pipeline, or achieve our long-term strategic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realize the benefits of acquired assets or other strategic transactions.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actively evaluate various strategic transactions on an ongoing basis. We may acquire other businesses, products or technologies as well as pursue joint ventures or investments in complementary businesses. The success of our strategic transactions, including our acquisition of CAR T cell assets from Pfizer, licenses with Cellectis, Servier, Roche (formerly, Notch), Antion, our strategic collaboration with Foresight Diagnostics, and our joint venture with HBP and any future strategic transactions depends on the risks and uncertainties involved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technical difficulties associated with advancing partnered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liabilities related to acquired companies or joint ventures;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integrating acquired personnel, technologies and operations into our existing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retention of key employees;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managerial challenges associated with the oversight of partnered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disagreements regarding each party’s contractual rights and obligations under our partnership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costs and uncertainties related to managing disputes with any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increases in our expenses and reductions in our cash available for operations and other uses;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of our strategic partners to access suitable capital;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 in or termination of our relationships with collaborators or suppliers as a result of such a transaction;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write-offs or impairment charges relating to acquired businesses or joint ventures.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these risks or uncertainties occur, we may not realize the anticipated benefit of any acquisition or strategic transaction.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 For instance, our joint venture with HBP has faced challenges relating to the regulatory and competitive environment in China for allogeneic CAR T products, as well as challenges within the capital markets for financing allogeneic CAR T development. Our joint venture may face manufacturing difficulties, such as from changes in raw materials or processes due to local regulations, or delivering our licensed product candidates in China, Taiwan, South Korea or Singapore, which could prevent any development or commercialization of our licensed product candidates in the region. The joint venture will also require significant operational and financial support in the future by us or third parties, and any future financing of the joint venture would increase our expenses or dilute our ownership in the joint venture. We may also face unknown liabilities due to supporting our joint venture, such as due to any misuse of materials supplied to our joint venture.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acquisitions or dispositions could result in potentially dilutive issuances of our equity securities, the incurrence of debt, contingent liabilities or amortization expenses or write-offs of goodwill, any of which could harm our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security measures, or those of our CROs, CDMOs, collaborators, contractors, consultants or other third parties with whom we work, are or were compromised or the security, confidentiality, integrity or availability of our information technology, software, services, networks, communications or data is compromised, limited or fails, we could experience material adverse consequences, including but not limited to regulatory investigations or actions; litigation; fines and penalties; disruptions of our business operations; reputational harm; and loss of revenue or profits.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with whom we work collect, process, receive, store, use, generate, transfer, disclose, make accessible, protect, secure, dispose of, transmit, and share (collectively, process) proprietary, confidential and sensitive information, including personal data (including health information), intellectual property, trade secrets, information we collect about patients in connection with clinical trials, and proprietary business information owned or controlled by ourselves or other parties (collectively, sensitive information).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are increasing in their frequency, sophistication and intensity, and have become increasingly difficult to detect. These threats come from a variety of sources, including traditional computer “hackers,” “hacktivists,” organized criminal threat actors,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and distribute our product candidates.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adware, ransomware attacks, supply-chain attacks, personnel misconduct or error, attacks enhanced or facilitated by AI, and other similar threats. Our information technology systems and data, and those of the third parties with whom we work, may also be subject to failure or disruption from software bugs, server malfunction, software or hardware failures, loss of data or other information technology assets, telecommunications failures, natural disasters such as earthquakes, fires, and floods, and other similar issues.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severe ransomware attacks are becoming increasingly prevalent and severe and can lead to significant interruptions, delays, or outages in our operations, disruptions to our clinical trials, loss of data (including data related to clinical trials), significant expense to restore data or systems, reputational loss and the diversion of funds. Extortion payments may alleviate the negative impact of a ransomware attack, but we may be unwilling or unable to make such payments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example, applicable laws or regulations prohibiting such payments. In addition, our reliance on third parties could introduce new cybersecurity risks and vulnerabilities, including supply-chain attacks, and other threats to our business operations. Such supply chain attacks have increased in frequency and severity, and we cannot guarantee that third parties’ infrastructure in our supply chain have not been compromised or that they do not contain exploitable defects or bugs that could result in a breach to our information technology systems or those of the third parties with whom we work.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work with certain third parties, such as CROs and CDMOs, to operate critical business systems and process our proprietary, confidential and sensitive information. We also share or receive sensitive information with our CROs, CDMOs, or other third parties. Our ability to monitor these third parties’ information security practices is limited, and these third parties may not have adequate information security measures in place. If the third parties with whom we work experience a security incident or other interruption, or are perceived to have experienced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implemented security measures designed to protect against, mitigate, and remediate security incidents, there can be no assurance that these measures will be effective.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take steps designed to detect, mitigate, and remediate vulnerabilities in our information systems (such as our hardware and/or software, including that of third parties with whom we work). We have not and may not in the future, however, detect and remediate all such vulnerabilities in our information technology systems, including on a timely basis, because such threats and techniques change frequently, are often sophisticated in nature, and may not be detected until after a security incident has occurred. Unremediated high risk or critical vulnerabilities pose material risks to our business that may be exploited and could result in a security incident. Further, we have experienced and may in the future experience delays in developing and deploying remedial measures designed to address any such identified vulnerabilities. Vulnerabilities could be exploited and result in a security incident. We also face heightened physical and information technology risks due to our sharing office space with other tenants at certain of our sites. Any failure to prevent or mitigate security incidents or improper access to, use of, or disclosure of our clinical data or patients’ personal data could result in significant liability under state, federal, and international law and may cause a material adverse impact to our reputation, affect our ability to conduct our clinical trials and potentially disrupt our business. In addition, as many of our employees work from home at least part of the time and utilize network connections, computers and devices outside our premises, including while at home, in transit, and in public locations, this poses increased risks to our information technology systems and data.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the previously identified or similar threats have in the past, and any of the identified or similar threats may in the future,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In addition, from time to time, our vendors inform us of security incidents. For example, in November 2024, one of our vendors notified us that they had detected suspicious activity on their network that compromised several email accounts the vendor used to communicate with us. We took appropriate remedial measures, and based on our investigation, we concluded that the incident did not result in a compromise to our systems. To date, we have not determined that such incidents as reported to us were material. However, we may not have all information related to such incidents and future incidents could have an adverse impact on our business. A security incident or other interruption could disrupt our ability (and that of third parties with whom we work) to manufacture or deliver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expend significant resources (including financial), or modify our business activities and operations, including our clinical trial activities, in an effort to protect against security incidents or to detect, investigate, mitigate, contain and remediate a security incident. Certain data privacy and security obligations may require us to implement and maintain specific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security measures or use industry-standard or reasonable security measures to protect our information technology systems and sensitive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data protection laws, privacy policies, data privacy and security obligations and public company disclosure obligations may require us, or we may voluntarily choose, to notify relevant stakeholders, including affected individuals, regulators and investors, of certain security incidents, or to implement other requirements, such as providing credit monitoring and identity theft protection services. Such disclosures and compliance with such requirements are costly, and the disclosures or the failure to comply with such applicable requirements could lead to adverse consequences. A security incident, whether perceived or actual, experienced by us or a third party with whom we work, may cause us to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and mass arbitration; indemnification obligations; negative publicity; reputational harm; monetary fund diversions; diversion of management attention; interruptions in our operations (including availability of data); financial loss; and other similar harms. 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investor or partner confidence in the effectiveness of our cybersecurity measures, diversion of management’s attention, governmental investigations, lawsuits, and the expenditure of significant capital and other resources.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the limitations of liability in our contracts are sufficient to protect us from liabilities, damages, or claims related to our data privacy and security obligations.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be sure that our insurance coverage will be adequate or sufficient to protect us from or adequately mitigate liabilities arising out of our privacy and security practices, or that such coverage will continue to be available on commercially reasonable terms or at all, or that such coverage will pay future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the use of generative artificial intelligence technologies by our employees, personnel, or vendors.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Disruptions to the operations of the FDA, the SEC and other government agencies, including comparable foreign regulatory authorities, resulting from funding shortages, policy initiatives, staffing reductions or related uncertainty, could impair their ability to perform regulatory functions and negatively impact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ability of the FDA or other comparable foreign regulatory authorities to review and approve new products or take action with respect to other regulatory matters can be affected by a variety of factors, including government budget and funding levels, the ability to hire and retain key personnel and accept payment of user fees, the availability of personnel and other resources, statutory, regulatory and policy changes that may otherwise affect the FDA’s or comparable foreign regulatory authorities’ ability to perform routine functions, and business disruptions, such as those caused by the COVID-19 pandemic. Average review times at the agency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or other comparable foreign regulatory authorities, including substantial leadership departures, personnel cuts, and policy changes,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including the government shutdown during the fourth quarter of 2025. In addition, there have recently been terminations of large numbers of federal employees at various federal agencies, including the FDA. Changes and cuts in FDA staffing could result in delays in the FDA’s responsiveness or in its ability to review IND submissions or applications, issue regulations or guidance, or implement or enforce regulatory requirements in a timely fashion or at all. If a prolonged government shutdown occurs, it and/or employee terminations or resignations could significantly impact the ability of the FDA or other federal agencies to timely review and process our regulatory submissions, which could have a material adverse effect on our business. Further, future government shutdowns and/or employee terminations or resignations or could impact our ability to access the public markets and obtain necessary capital in order to properly capitalize and continue our operations, or to timely obtain patent protection in the U.S. to protect our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current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political, trade, regulatory developments, and other circumstances beyond our control, including ongoing uncertainty regarding tariffs, could have a material adverse effect on our financial condition or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political, trade, or regulatory developments in the jurisdictions in which we develop our product candidates, such as those stemming from U.S. federal policy shifts, are difficult to predict and may have a material adverse effect on us. Policy shifts that affect the geopolitical landscape could give rise to circumstances outside our control that could have negative impacts on our business operations. The U.S. government has announced substantial new tariffs and indicated an intention to continue developing new trade policies, including with respect to the pharmaceutical industry. In response, certain foreign governments announced or implemented retaliatory tariffs and other protectionist measures. Since then, the U.S. government has announced various trade deals and ongoing negotiations with other countries/regions. As relevant policies are rapidly evolving, it may be difficult to evaluate their potential future impacts. These developments have created a dynamic and unpredictable trade landscape, which may adversely impact our business, results of operations, financial condition and prospects. In addition,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in a global economy, which includes utilizing third-party suppliers in several countries outside the United States. Although we currently have no near-term needs for raw materials, we have historically relied upon, and may in the future rely upon, third-party contractors to manufacture cGMP raw materials that are used for the manufacturing of our product candidates. Current or future tariffs may result in increased research and development expenses, including with respect to increased costs associated with raw materials, laboratory equipment and research materials and components.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relationships with customers, physicians, and third-party payors are subject, directly or indirectly, to federal, state, local and foreign healthcare fraud and abuse laws, false claims laws, health information privacy and security laws, and other healthcare laws and regulations. If we or our employees, independent contractors, consultants, commercial partners and vendors violate these laws, we could face substantial penalties.*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requiring certain regulatory licenses to manufacture or distribute products commercially and governing the privacy and security of identifiable patient information, price reporting, false claims and provider transparency. If our operations are found to be in violation of any of these laws that apply to us, we may be subject to significant civil, criminal and administrative penalties.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and the third parties with whom we work are subject to stringent and evolving U.S. and foreign laws, regulations, rules, and industry standards, as well as policies, contracts and other obligations related to data privacy and security. Our (or the third parties with whom we work) actual or perceived failure to comply with such obligations could lead to enforcement or litigation (including class claims) and mass arbitration demands, fines or penalties, a disruption of clinical trials or commercialization of products, reputational harm, or other adverse business effects.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process sensitive information. Accordingly, we are, and may in the future become, subject to numerous data privacy and security obligations, such as various federal, state, local and foreign data privacy and security laws, regulations, guidance, and industry standards as well as external and internal privacy and security policies, contracts and other obligations that apply to data privacy and security and our processing of personal data and the processing of personal data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and their respective implementing regulations, imposes requirements relating to the privacy, security and transmission of individually identifiable health information. Among other things, HITECH, through its implementing regulations, makes certain of HIPAA’s privacy and security standards directly applicable to business associates, defined as a person or organization, other than a member of a covered entity’s workforce, that creates, receives, maintains or transmits protected health information for or on behalf of a covered entity for a function or activity regulated by HIPAA as well as their covered subcontractors.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covered companies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Such laws, if they become applicable to us in the future, may significantly impact our business activities, exemplifying the vulnerability of our business to evolving regulatory environment related to personal data and protected health information. Similar laws are being considered in other states, as well as at the federal and local levels, and we expect more states to pass similar laws in the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regulations and industry standards govern privacy, data protection, information security and cross-border personal data transfers. For example, the European Union’s General Data Protection Regulation (EU GDPR), the United Kingdom’s GDPR (UK GDPR) (collectively, GDPR), and Australia’s Privacy Act, China’s Personal Information Protection Law (PIPL), and Canada’s Personal Information Protection and Electronic Documents Act (PIPEDA) (and various related provincial laws) and Anti-Spam Legislation (CASL) impose strict requirements for processing personal data.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under the GDPR, companies may face temporary or definitive bans on data processing and other corrective actions; fines of up to €20,000,000 under the EU GDPR / 17.5 million pounds sterling under the UK GDPR, or up to 4% annual total revenue, in each case,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Some jurisdictions have adopted, and others may in the future adopt, similarly stringent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may face significant adverse consequences, including the interruption or degradation of our operations (such as by limiting our ability to conduct clinical trial activities in Europe and elsewhere), the need to relocate part of or all of our business or data processing activities to other jurisdictions (such as Europe) at significant expense, the inability to transfer data and work with partners, vendors and other third parties, increased exposure to regulatory actions, substantial fines and penalties, and injunctions against processing or transferring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also ordered certain companies to suspend or permanently cease certain transfers out of Europe for allegedly violating the GDPR’s cross-border data transfer limitations. Additionally, the U.S. Department of Justice issued a rule entitled the Preventing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privacy advocates and industry groups have proposed, and may in the future propose, standards with which we are legally or contractually bound to comply. We are also bound by contractual obligations related to data privacy and security, and our efforts to comply with such obligations may not be successful. We publish privacy notices and other statements regarding data privacy and security. Regulators in the United States are increasingly scrutinizing these statements, and if any of our privacy notices or related materials or statements are found to be deficient, lacking in transparency, deceptive, unfair, misleading, or misrepresentative of our practices, we may be subject to investigation, enforcement actions by regulators or other adverse consequences. Furthermore, our employees and personnel may use generative artificial intelligence (AI) technologies to perform their work, and the disclosure and use of personal data in such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related to data privacy and security (including individuals’ data privacy expectations) are quickly changing, becoming increasingly stringent, and creating uncertainty. Additionally, these obligations may be subject to differing applications and interpretations, which may be inconsistent or conflict among jurisdictions. As a result, preparing for and complying with these obligations requires significant resources and may necessitate changes to our information technologies, systems and practices, as well as those of any third parties that process personal data on our behalf.</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endeavor to comply with our applicable privacy and security obligations, we may at times fail (or be perceived to have failed) to do so. Moreover, despite our efforts, we may not be successful in achieving compliance if our employees, third-party collaborators, service providers, contractors or consultants fail to comply with such obligations, which could negatively impact our business operations and compliance posture. If we or the third parties with whom we work fail, or are perceived to have failed, to address or comply with applicable obligations related to data privacy and security, we could face significant consequences including, but not limited to, government enforcement actions (e.g., investigations, fines, penalties, audits and inspections, and similar); litigation (including class-related claims) and mass arbitration demands; additional reporting requirements and/or oversight; temporary or permanent bans or restrictions on all or some processing of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decreased demand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recalls, withdrawals or labeling, marketing or promotional restrictions;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exhaustion of any available insurance and our capital resources;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inability to commercialize any product candidate;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decline in our share price.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and expect to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engineered allogeneic T cell product candidates represent a novel approach to cancer treatment and treatment of autoimmune diseases, which creates significant challenges for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developing a pipeline of allogeneic T cell product candidates that are engineered from healthy donor T cells to express CARs and are intended for use in any eligible patient with certain cancers or autoimmune diseases. Advancing these novel product candidates creates significant challenges for us,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manufacturing our product candidates to our or regulatory specifications and in a timely manner to support our clinical trials, and, if approved, commercialization;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sourcing clinical and, if approved, commercial supplies for the raw materials used to manufacture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understanding and addressing variability in the quality of a donor’s T cells, which could ultimately affect our ability to produce product in a reliable and consistent manner and treat certain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educating medical personnel regarding the potential side effect profile of our product candidates, if approved, such as the potential adverse side effects related to CRS, neurotoxicity, GvHD, IEC-HS, prolonged cytopenia, aplastic anemia and neutropenic sepsis;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using medicines to preempt or manage adverse side effects of our product candidates and such medicines may be difficult to source or costly or may not adequately control the side effects and/or may have other safety risks or a detrimental impact on the efficacy of the treatment;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conditioning patients with chemotherapy or other lymphodepletion agents in advance of administering our product candidates, which may be difficult to source, costly or increase the risk of infections and other adverse side effects;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regulatory approval, as the FDA and other comparable foreign regulatory authorities have limited experience with development of allogeneic T cell therapies for cancer or autoimmune diseases;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establishing sales and marketing capabilities upon obtaining any regulatory approval to gain market acceptance of a novel 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Gene-editing is a relatively new technology, and if we are unable to use this technology in our intended product candidates, our revenue opportunities will be materially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Cellectis’ TALEN technology, which we use in our oncology programs, and Arbor Biotechnology Inc. (Arbor)’s CRISPR technology, which we use in our AID program, both involve relatively new approaches to gene editing, using sequence-specific DNA-cutting enzymes, or nucleases, to perform precise and stable modifications in the DNA of living-cells and organisms, and we have very little experience with Arbor’s CRISPR technology. Cellectis and Arbor have not created nucleases for all gene sequences that we may seek to target, and they may not agree to or have difficulty creating nucleases for other gene sequences that we may seek to target, which could limit the usefulness of this technology. Cellectis and Arbor are our sole sources for this technology, including for certain tools such as nucleases and vectors. If Cellectis or Arbor were to be unwilling or unable, including due to the Factor Litigation (as defined below), to supply these tools, our ability to develop gene-edited product candidates could be materially and adversely impacted, leading to delays in our development programs and potential failure to commercialize certain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technology may also not be shown to be effective in clinical studies that Cellectis, we or other licensees of Cellectis technology or Arbor’s CRISPR technology may conduct, or may be associated with safety issues that may negatively affect our development programs. For instance, gene-editing may create unintended changes to the DNA such as a non-target site gene-editing, a large deletion, or a DNA translocation, any of which could lead to oncogenesis. In our ALPHA2 trial, we observed a chromosomal abnormality, and the FDA placed our clinical trials on hold following this observation. While our investigation concluded that gene editing was not responsible for the chromosomal abnormality and the hold was resolved, we may discover future abnormalities caused by gene editing or other factors that would impact our development plans. The gene editing of our product candidates may also not be successful in limiting the risk of GvHD or premature rejection by the patient.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gene-editing industry is rapidly developing, and our competitors may introduce new technologies that render our technology obsolete or less attractive. New technology could emerge at any point in the development cycle of our product candidates. As competitors use or develop new technologies, any failures of such technology could adversely impact our program. We also may be placed at a competitive disadvantage, and competitive pressures or the Factor Litigation may force us to implement new technologies at a substantial cost, and which would delay our development programs. In addition, our competitors may have greater financial, technical and personnel resources that allow them to enjoy technological advantages and may in the future allow them to implement new technologies before we can. We cannot be certain that we will be able to implement technologies on a timely basis or at a cost that is acceptable to us. If we are unable to maintain technological advancements consistent with industry standards, our operations and financial condition may be adversely affected. For additional details on the Factor Litigation, see “Risk Factors – Third-party claims of intellectual property infringement may prevent or delay our product discovery and development efforts and our ability to commercialize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MRD data may not predict clinical benefit and there is uncertainty regarding whether the use of FC without ALLO-647 will achieve sufficient lymphodepletion to support the efficacy of our allogeneic CAR T product candidate in the ALPHA3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ALPHA3 clinical trial is now proceeding with two arms: (1) cema-cel with a lymphodepletion regimen consisting of fludarabine and cyclophosphamide (FC) without ALLO-647, and (2) the control arm, which is observation. In April 2026, we reported interim futility analysis results from the first 24 patients randomized to the two ongoing arms. The results showed higher MRD negativity and greater median ctDNA reduction in the cema-cel arm compared with observation. However, this preliminary data set is limited, is derived from a small patient cohort, and does not include unblinded EFS, progression-free survival or overall survival data. MRD conversion or clearance is not an accepted surrogate endpoint by regulatory agencies for LBCL and may not correlate with clinical outcomes or regulatory approvability, and there remains a risk that the FC lymphodepletion regimen alone may not sufficiently suppress the patient’s immune system to allow adequate expansion, persistence, and efficacy of the CAR T cells, across the broader ALPHA3 population. Moreover, while we believe our interim MRD and safety results are encouraging, they are based on a limited number of patients and may not be predictive of future results or demonstrate that ALPHA3 will meet its primary endpoint.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Previously, the FCA regimen (fludarabine, cyclophosphamide and ALLO-647) was anticipated to enhance CAR T cell expansion and persistence by reducing host immune system suppression; however, the FCA arm was terminated following a Grade 5 serious adverse event. If the FC regimen proves inadequate, or if ALPHA3 does not demonstrate a statistically significant and clinically meaningful improvement in EFS, we may be required to amend the study design, conduct additional studies or discontinue or delay development of cema-cel, any of which could materially impact our clinical trial success, regulatory approval prospects, and overall business and financial performance.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reliant on our partners, Cellectis and Servier, for access to TALEN gene editing technology for the manufacturing and development of our oncology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critical aspect to manufacturing allogeneic CAR T cell product candidates involves gene editing the healthy donor T cells in an effort to avoid GvHD and to limit the patient’s immune system from attacking the allogeneic T cells. GvHD results when allogeneic T cells start recognizing the patient’s normal tissue as foreign. For our oncology product candidates, we use Cellectis’ TALEN gene-editing technology to inactivate the gene coding for TCRα, a key component of the natural antigen receptor of T cells, to cause the engineered T cells to be incapable of recognizing foreign antigens. Accordingly, when injected into a patient, the intent is for the engineered T cell not to recognize the patient’s tissue as foreign and thus avoid attacking the patient’s tissue. In addition, we use TALEN gene editing in our oncology product candidates to inactivate the CD52 gene in donor T cells, which codes for the target of an anti-CD52 monoclonal antibody.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an agreement with Cellectis for exclusive rights to use TALEN technology for 15 select cancer targets, including BCMA, FLT3, CD70, DLL3, Claudin 18.2 and other targets included in our pipeline. We also rely on Cellectis, through our agreement with Servier, for exclusive rights to cema-cel. Any other gene-editing technology used to research and develop product candidates directed at targets not covered by our existing agreements with Cellectis and Servier will require significant investment and time for advancement. In addition, the Cellectis gene-editing technology may fail to produce viable product candidates. Moreover, both Servier and Cellectis may terminate our respective agreements in the event of a material breach of the agreements, or upon certain insolvency events. Cellectis previously challenged and may in the future challenge certain performance by Servier and/or Allogene, and any failure by the parties to resolve such matters may have an adverse impact on us. For example, there was an arbitration between Cellectis and Servier under which Cellectis sought to terminate the Cellectis-Servier Agreement, which would have automatically terminated our sublicense from Servier. Although the outcome of this arbitration was favorable as it relates to cema-cel, if our license agreement was terminated and we were unable to obtain a new direct license from Cellectis, or we lose access to the Cellectis TALEN technology as a result of the Factor Litigation, we would be required to seek other gene editing technology, obtain a license from Factor or abandon our cema-cel or ALLO-316 programs, any one of which could materially impact our business and financial position. Further, alternative gene editing technology may not be available to us on reasonable terms, or at all, and advancing other gene editing technology would require significant resources. For additional details on the Factor Litigation, see “Risk Factors – Third-party claims of intellectual property infringement may prevent or delay our product discovery and development efforts and our ability to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we received correspondence from LTC, a subsidiary of Thermo Fisher Scientific, asserting that Cellectis had sublicensed to us or otherwise made available rights under certain patents licensed by LTC to Cellectis relating to TALEN technology, and that LTC had terminated its license agreements with Cellectis. Cellectis has separately informed us that LTC has purported to terminate certain license agreements with Cellectis and commenced an arbitration against Cellectis and Cellectis Bioresearch before the American Arbitration Association alleging breaches of those agreements, principally relating to alleged underpayment of sublicense royalties. Cellectis has informed us that it believes the purported termination is invalid, that LTC’s claims are without merit, and that Cellectis intends to vigorously contest the purported termination and defend against the claims. We are not a party to this arbitration. However, if LTC were successful in challenging Cellectis’ rights, or if we are otherwise determined not to have adequate rights under patents or other intellectual property controlled by LTC that are necessary or useful for the development, manufacture or commercialization of our TALEN-based product candidates, we may need to obtain a direct license or other rights from LTC, which may not be available on commercially reasonable terms or at all. Any such dispute, license requirement or loss of rights could increase our costs, require us to modify our development or manufacturing plans, delay or prevent the development or commercialization of our TALEN-based product candidates, including cema-cel and ALLO-316, if approved, and materially adversely affect our business,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reliant on our partner, Foresight Diagnostics, a subsidiary of Natera, for access to the investigational CLARITY™ MRD test for identifying eligible patients for our ALPHA3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ALPHA3 trial design requires the use of Foresight Diagnostics’ investigational CLARITY™ MRD test for patient selection. In addition, MRD status and changes in MRD status, including MRD conversion or clearance, may not correlate with clinical outcomes such as event-free survival (EFS), which is the primary endpoint of ALPHA3. As a result, even though we observed higher MRD negativity in the cema-cel arm than in the observation arm in the planned interim futility analysis announced in April 2026, ALPHA3 may not demonstrate a statistically significant improvement in EFS or otherwise meet its primary endpoint. Foresight Diagnostics is a private company founded in 2020. In December 2025, Foresight Diagnostics was acquired by Natera and, although Foresight Diagnostics continues to operate as a standalone subsidiary, the acquisition and related integration activities may create additional risks and uncertainties, including delays or disruptions in assay operations, regulatory activities, and resourcing priorities. Although Foresight Diagnostics has successfully executed its role in our ALPHA3 trial to date, it has limited resources and limited experience with its MRD assay and in executing clinical trials or supporting a commercial product. In the future, Foresight Diagnostics and/or Natera may not be able to successfully and timely conduct the ALPHA3 MRD tests, obtain regulatory approval of CLARITY or successfully support commercialization of cema-cel, if approved. For example, changes in strategic priorities, staffing, operating processes, quality systems, vendors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systems as part of integration could adversely affect CLARITY testing capacity, turnaround times, or regulatory submission timelines. If we need to transition to an alternative MRD test in the future, it could result in additional costs, delays, and diversion of resources, any of which would negatively impact our cema-cel development program. Further, we may be unable to identify an alternative approved effective MRD test, which could have a material adverse impact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reliance on specific vendors named in our INDs subject us to risks if these vendors are unable or unwilling to fulfill their obligations or if we need to change vendors, which could delay or prevent the development of our product candidates and commercialization,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 applications name specific third-party vendors to supply certain raw materials, components, technology, and services that are essential to manufacturing our product candidates. We do not have the ability to rapidly secure alternative sources for these materials or services. In addition, because these vendors are specified in our INDs, any change to a new vendor would require additional regulatory submissions and approvals, which could significantly delay or complicate our product development efforts. If any of these vendors becomes unable or unwilling to supply the products or services we require on acceptable terms, in sufficient quantities, or in compliance with applicable regulatory requirements, we may experience: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our preclinical studies or clinical trials due to the need to qualify and obtain regulatory approval for an alternate supplier;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Higher costs associated with the need to qualify and validate a new manufacturing facility and supply chain;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Difficulty ensuring quality and compliance with cGMP or other regulatory standards at a new vendor site, potentially leading to regulatory enforcement actions against us or significant delays in regulatory approvals or commercialization;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 to our development timeline and commercialization efforts, which could materially harm our business, financial condition, and operating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our reliance on these third parties reduces our control over manufacturing and quality assurance processes. Any performance failure or compliance breach by our named vendors—such as failing to meet regulatory standards or encountering financial or operational difficulties—could adversely affect the ongoing development and potential commercialization of our product candidates. If we are forced to seek alternative vendors, we may be required to conduct bridging studies or other additional testing to demonstrate comparability of a product candidate when manufactured by a different supplier. Such a process can be time-consuming, expensive, and could delay or limit our ability to obtain regulatory approval or achieve market acceptance of our product candidates. If any of these events occur, our business, financial condition, and results of operations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oncology development strategy previously relied on incorporating an anti-CD52 monoclonal antibody as part of the lymphodepletion preconditioning regimen prior to infusing allogeneic CAR T cell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Previously, certain of our oncology product candidates utilized an anti-CD52 monoclonal antibody (ALLO-647) as part of a lymphodepletion regimen to be infused prior to infusing our product candidates. The anti-CD52 antibody may reduce the likelihood of a patient’s immune system rejecting the engineered allogeneic T cells for a sufficient period of time to enable a window of persistence during which such engineered allogeneic T cells can actively target and destroy cancer cells. However, the antibody may not have the benefits that we anticipate and could have adverse effects. For instance, our lymphodepletion regimen, including using an anti-CD52 antibody, will cause immune suppression that can be of unpredictable depth and duration and that may be associated with an increased risk of infection, such as to common viral or bacterial or opportunistic pathogens, that may be unable to be cleared and ultimately lead to other SAEs or death.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prior CALM and PALL trials, a commercially available monoclonal antibody, alemtuzumab, that binds CD52 was used. Alemtuzumab is known to have risk of causing certain adverse events. In 2020, within the context of a procedure based on Article 20 of Regulation 726/2204 (EMA Regulation), the EMA completed a pharmacovigilance review of alemtuzumab in the context of the treatment of multiple sclerosis following reports of immune-mediated conditions and problems affecting the heart and blood vessels, including fatal cases. The EMA recommended that alemtuzumab should not be used in patients with certain heart, circulation or bleeding disorders or in patients who have autoimmune disorders other than multiple sclerosis. The EMA also recommended that alemtuzumab only be given in a hospital with ready access to intensive care facilities and specialists who can manage serious adverse reactions. The previous use of our anti-CD52 antibody may result in the same or similar adverse events as alemtuzumab.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secure our own readily available source of anti-CD52 antibody, we were previously developing our own monoclonal anti-CD52 antibody, ALLO-647, which we used in certain of our clinical trials. ALLO-647 may cause SAEs that alemtuzumab may cause, including fatal adverse events, infusion related reactions, immune thrombocytopenia, glomerular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nephropathies, thyroid disorders, autoimmune cytopenias, autoimmune hepatitis, hemophagocytic lymphohistiocytosis, acquired hemophilia, infections, stroke, and progressive multifocal leukoencephalopathy. For example, a patient death occurred in the recently discontinued FCA arm of our ALPHA3 trial. This Grade 5 SAE, which occurred on Day 54 post-infusion, involved fulminant hepatic failure caused by disseminated adenovirus infection, potentially worsened by acetaminophen toxicity. The depth of immunosuppression likely associated with ALLO-647 is believed to have increased susceptibility to this viral infection. In addition, we may explore various dosing strategies for lymphodepletion in our clinical trials, such as including varying doses of the chemotherapy agents and/or other agents or eliminating one or more of the agents, which may alter the risk of SAEs or have other undesirable outcomes such as a reduction of the efficacy of treatment. Additionally, our experimental lymphodepletion regimens may show different safety profiles when paired with different allogeneic CAR T product candidates such that regimens deemed safe with one CAR T product candidate may be determined to be associated with unacceptable toxicity when combined with another CAR T candidate or with the same candidate in a different patient population. If observed, these differences may require additional clinical exploration and may cause delays in the execution or termination of development campaigns. Refer to the section entitled "Business—Product Pipeline and Development Strategy" included in our Annual Report for information on safety events.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and will continue to depend upon independent investigators and collaborators, such as universities, medical institutions, CROs and strategic partners to conduct our preclinical and clinical trials under agreements with us.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biologic product produced under cGMPs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manufacture and store our clinical product supplies, and we may have to rely on third parties to produce and process our product candidates,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utilize CF1 for clinical manufacturing of our CAR T product candidates, we will continue to use CDMOs to manufacture several core reagents, and for distribution logistics. There can be no assurance that we will not experience supply or manufacturing issues related to our product candidates or core reagents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long-term agreements in place with CDMOs for the manufacture of our cell therapies. If we are unable to contract with CDMOs on acceptable terms or at all, our clinical development program would be delayed and our business would be significantly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built CF1 and have transitioned the manufacturing of our product candidates to our manufacturing facility, and we are reliant on CF1 as our sole manufacturing site for our product candidates. Manufacturing product candidates in our own facility requires that we meet certain regulatory conditions, which may delay or extend our clinical trial timelines. If, for any reason, we are unable to continue manufacturing our product candidates at CF1, there is a risk that we may need to re-engage a CDMO to manufacture material, which would be costly and there is a risk that the CDMO may be unavailable or may fail in manufacturing, such as due to the CDMO having to retrain its personnel, or train new personnel, to manufacture our material. Any disruptions to CF1’s operations, whether due to regulatory non-compliance, supply chain constraints, equipment failures, natural disasters, or other unforeseen circumstances, could have a material adverse effect on our ability to manufacture our products and meet clinical or commercial demand. If CF1 becomes unavailable for any reason, our ability to continue product development and commercialization could be significantly impaired, leading to delays, increased costs, and potential loss of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yet caused our product candidates to be manufactured or processed on a commercial scale and may not be able to achieve manufacturing and processing and may be unable to create an inventory of mass-produced, off-the-shelf product to satisfy demands for any of our product candidates. Our clinical supply is also limited to small quantities and any latent defects discovered in our supply could significantly delay our development timelines.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actual and potential future reliance on a limited number of third-party manufacturers exposes us to the following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identify manufacturers on acceptable terms or at all because the number of potential manufacturers is limited and the FDA or other comparable foreign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FDA or other comparable foreign regulatory authorities questions,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third-party manufacturers might be unable to timely formulate and manufacture our product or core reagents or produce the quantity and quality required to meet our clinical and commercial needs,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Contract manufacturers may not be able to execute our manufacturing procedures appropriately.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Contract manufacturers may be subject to adverse legislative actions.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Manufacturers are subject to ongoing periodic unannounced inspection by the FDA, the Drug Enforcement Administration and corresponding state agencies or other comparable foreign regulatory authorities to ensure strict compliance with cGMP and other government regulations and corresponding foreign standards. We do not have control over third-party manufacturers’ compliance with these regulations and standards.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not own, or may have to share, the intellectual property rights to any improvements made by our third-party manufacturers in the manufacturing process for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future contract manufacturers may not perform as agreed or may not remain in the contract manufacturing business for the time required to supply our clinical trials or to successfully produce, store and distribute our products or core reagents.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third-party manufacturers could breach or terminate their agreement with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 manufacturers would also be subject to the same risks we face in developing our own manufacturing capabilities, as described above. Our potential future CDMOs may also be required to shut down in response to health epidemics or pandemics, or they may prioritize manufacturing for therapies or vaccines for other diseases. In addition, our CDMOs have certain responsibilities for storage of raw materials and in the past have lost or failed to adequately store our raw materials. We also rely on third parties to store our released product candidates, and any failure to adequately store our product candidates could result in significant delay to our development timelines. Any additional or future damage or loss of raw materials or product candidates could materially impact our ability to manufacture and supply our product candidates. Each of these risks could delay our clinical trials, the approval, if any, of our product candidates by the FDA or other comparable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regulatory authorities or the commercialization of our product candidates or result in higher costs or deprive us of potential product revenue.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 parties to perform release tests on our product candidates prior to delivery to patients. If these tests are not appropriately done and test data are not reliable, patients could be put at risk of serious harm.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 cells from healthy donors to manufacture our product candidates, and if we do not obtain an adequate supply of T cells from qualified donors, development of those product candidates, or commercialization, if approved, may be adversely impacted.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Unlike autologous CAR T companies, we are reliant on receiving healthy donor material to manufacture our product candidates. Healthy donor T cells vary in type and quality, and this variation makes producing standardized product candidates more difficult and makes the development and commercialization pathway of those product candidates more uncertain. We have developed a screening process designed to enhance the quality and consistency of T cells used in the manufacture of our CAR T cell product candidates, but the manufacturing runs we have completed and tested in the clinic are limited across our product candidates. As we gain experience, we may find that our screening process fails to identify suitable donor material and we may discover unacceptable variability with the material after production. We may also have to update our specifications for new risks that may emerge, such as to screen for new viruses or chromosomal abnormalities.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in donor T cells, there may be inconsistencies in the product candidates we produce or we may be unable to initiate or continue clinical trials on the timelines we expect, which could harm our reputation and adversely impact our business and prospects.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vendors face challenges in obtaining donor material. While we have donor material on hand, if our vendors are unable to secure donor material, we may no longer have sufficient donor material to manufacture our product candidates. In addition, we have been advised by a supplier that provides donor material that its donor-material business is expected to be divested to a private equity group in the second quarter of 2026. Although the supplier has represented that the transition in ownership is not expected to disrupt orders in process, personnel supporting our projects, or existing capabilities, there can be no assurance that the divestiture and related transition activities will not result in delays, changes to operating processes, quality systems, capacity allocation, regulatory compliance support, pricing, or prioritization of customer orders.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two donor-material sources, and only one is expected to be impacted by this divestiture. While our second source is fully implemented and we believe the overall impact of the divestiture should be minimal given our current inventory for near-term needs, if the divestiture were to materially impact supply from the affected supplier, our other donor-material source may not have sufficient capacity, on acceptable timelines, to fully meet our longer-term needs. In that event, we may need to qualify and onboard one or more additional donor-material suppliers, which could require significant time and resources, including technology transfer activities, updates to specifications, and regulatory review or acceptance, and could delay our manufacturing timelines and adversely affect our development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Cell-based therapies rely on the availability of specialty raw materials, which may not be available to us on acceptable terms or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require many specialty raw materials, including viral vectors that deliver the CAR sequence and electroporation technology, some of which are manufactured by small companies with limited resources and experience to support a commercial product, and the suppliers may not be able to deliver raw materials to our specifications. We do not have contracts with many of the suppliers, and we may not be able to contract with them on acceptable terms, or at all. As a result of logistical challenges and recent inflation, we may experience higher costs or delays in receiving, or fail to secure entirely, key raw materials to support clinical or commercial manufacturing. Certain raw materials also require third-party testing, and some of the testing service companies may not have capacity or be able to conduct the testing that we request.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have been advised by a supplier that provides viral vectors that its viral vector/CDMO business is expected to be divested to a private equity group in the second quarter of 2026. Although the supplier has represented that the transition in ownership is not expected to disrupt orders in process, project teams supporting our programs, or existing capabilities, there can be no assurance that the divestiture and related transition activities will not result in delays, changes to operating processes, quality systems, capacity allocation, regulatory compliance support, pricing, or prioritization of customer orders. Any disruption or delay in the supply of viral vectors or other key raw materials, including as a result of changes in ownership or integration efforts by the new owners, could delay manufacturing, clinical development activities, and, if applicable, preparation of CMC information for regulatory submissions.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many of our suppliers normally support blood-based hospital businesses and generally do not have the capacity to support commercial products manufactured under cGMP by biopharmaceutical firms. The suppliers may be 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equipped to support our needs, including generating data required for a BLA or an MAA and in non-routine circumstances like an FDA or other comparable foreign regulatory authorities inspection or medical crisis, such as widespread contamination.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face competition for supplies from other cell therapy companies. Such competition may make it difficult for us to secure raw materials or the testing of such materials on commercially reasonable terms or in a timely manner.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For example, for certain raw materials we previously had to find an alternative supplier, which required qualifying the new supplier, which required meeting regulatory requirements for such qualification. If we need to transition to an alternative supplier in the future, it could result in additional costs, delays, diversion of resources or reduced manufacturing yields, any of which would negatively impact our operating results. Further, we may be unable to enter into agreements with a new supplier on commercially reasonable terms, which could have a material adverse impact on our business. While we believe we currently have sufficient product inventory for near-term needs and have identified alternative suppliers for certain raw materials, there can be no assurance that alternative suppliers will be available on acceptable terms, or that any transition would not require time and resources, including qualification activities, and potentially regulatory notifications or approvals.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our third-party suppliers use hazardous, non-hazardous, biological or other materials in a manner that causes injury or violates applicable law, we may be liable for damages.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and there is a risk of contamination or injury resulting from medical or hazardous materials. For instance, we have had and may continue to have environmental notice of violations at our manufacturing facility.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In addition, we have previously shipped certain materials to Allogene Overland PRC in China and may do so in the future to its successor entity. Any violation by our joint venture in the use, manufacture, storage, handling and disposal under foreign law may subject us to additional liability.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FDA and other comparable foreign regulatory approval processes are lengthy, time-consuming, and subject to change and we may experience significant delays in the clinical development and regulatory approval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research, testing, manufacturing, labeling, approval, selling, import, export, marketing, and distribution of drug products, including biologics, are subject to extensive regulation by the FDA and other regulatory authorities in the United States and comparable foreign regulatory authorities. We are not permitted to market any biological drug product in the United States or elsewhere until we receive approval of a BLA from the FDA or equivalent approvals from other comparable foreign regulatory authorities such as approval of an MAA. We have not previously submitted a BLA to the FDA, or similar approval filings to comparable foreign regulatory authorities. A BLA or equivalent foreign application must include extensive preclinical and clinical data and supporting information to establish the product candidate’s safety and effectiveness for each desired indication. The BLA or equivalent foreign application must also include significant information regarding CMC matters for the product, and any delay or failure in generating such data to meet the evolving CMC regulatory requirements would delay any BLA filing or equivalent foreign application.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the novel nature of our product candidates to create further challenges in obtaining regulatory approval. For example, the FDA or other comparable foreign regulatory authorities have limited experience with commercial development of allogeneic T cell therapies for cancer. We may also request clinical trial initiation or regulatory approval of future CAR-based product candidates by target, regardless of cancer type or origin, which the FDA or other comparable foreign regulatory authorities may have difficulty accepting. The FDA or other comparable foreign regulatory authorities may also require a panel of experts, referred to as an Advisory Committee, to deliberate on the adequacy of the safety and efficacy data to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licensure. The opinion of the Advisory Committee, although not binding, may have a significant impact on our ability to obtain licensure of the product candidates based on the completed clinical trials, as the FDA or comparable foreign regulatory authorities often adheres to the Advisory Committee’s recommendations. Accordingly, the regulatory approval pathway for our product candidates may be uncertain, complex, expensive and lengthy, and approval may not be obtained.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previously experienced a delay in our clinical trials due to a clinical hold, and may experience future delays in completing planned clinical trials for a variety of reasons, including delays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regulatory authorization to begin a trial, if applicable, including regulatory approval of any companion diagnostic, if applicable;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financial resources to commence and complete the planned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reaching agreement on acceptable terms with prospective CROs and clinical trial sites, the terms of which can be subject to extensive negotiation and may vary significantly among different CROs and trial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developing and implementing processes and procedures with collaborators relating to the collection and transfer of patient samples and the timely performance of a companion diagnostic, if applicable, on such samples;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approval at each clinical trial site by an independent IRB or a positive opinion from an Ethics Committee;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regulatory and other approvals to modify the conduct of a clinical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recruiting suitable patients to participate in a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by a collaboration partner in running a companion diagnostic on patient samples;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having patients complete a trial, including having patients enrolled in clinical trials dropping out of the trial prior to treatment, or return for post-treatment follow-up;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trial sites deviating from trial protocol or dropping out of a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addressing any patient safety concerns that arise during the course of a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adding new clinical trial sites;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manufacturing sufficient quantities of qualified materials under cGMPs, releasing product in accordance with specifications, and delivering product candidates for use in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also encounter future delays if physicians encounter unresolved ethical issues associated with enrolling patients in clinical trials of our product candidates in lieu of prescribing existing treatments that have established safety and efficacy profiles, or with respect to the ALPHA3 trial, in lieu of observation alone. Further, a clinical trial may be suspended or terminated by us, the Institutional Review Boards (IRBs) or Ethics Committees for the institutions in which such trials are being conducted or by the FDA or other comparable foreign regulatory authorities due to a number of factors, including failure to conduct the clinical trial in accordance with regulatory requirements or our clinical protocols, inspection of the clinical trial operations or trial site by the FDA or other comparable foreign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any data safety monitoring board or committee. The FDA or other comparable foreign regulatory authorities’ review of our data of our clinical trials may, depending on the data, also result in the delay, suspension or termination of one or more of our clinical trials, which would also delay or prevent the initiation of our other planned clinical trials.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the factors that cause, or lead to, a delay in the commencement or completion of clinical trials may ultimately lead to the denial of regulatory approval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or maintaining any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are developing novel CAR T cell immunotherapy product candidates that are unique biological entities, the regulatory requirements that we will be subject to are not entirely clear. Even with respect to more established products that fit into the categories of gene therapies or cell therapies, the regulatory landscape is still developing and guidance from regulatory authorities may continue to change in the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there is substantial, and sometimes uncoordinated, overlap in those responsible for regulation of existing gene therapy products and cell therapy products. For example, in the United States, the FDA has established the Cellular, Tissue and Gene Therapies Advisory Committee to advise CBER on its review. Gene therapy clinical trials are also subject to review and oversight by an institutional biosafety committee (IBC), a local institutional committee that reviews and oversees basic and clinical research conducted at the institution participating in the clinical trial. Although the FDA decides whether individual gene therapy protocols may proceed,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each clinical trial must be reviewed and approved by an independent IRB at or servicing each institution at which a clinical trial will be conducted. In addition, adverse developments in clinical trials of gene therapy products conducted by others may cause the FDA or other regulatory bodies to change the requirements for approval of any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(CAT) was established within the EMA in accordance with Regulation (EC) No 1394/2007 on advanced-therapy medicinal products (ATMPs) to assess the quality, safety and efficacy of ATMPs, and to follow scientific developments in the field. ATMPs include gene therapy products as well as somatic cell therapy products and tissue engineered products. In this regard, on May 28, 2014, the EMA issued a recommendation that UCART19 be considered a gene therapy product under Regulation (EC) No 1394/2007 on ATMPs. We cannot conclude that our product candidates will receive a similar recommendation.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Because the regulatory landscape for our CAR 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Delay or failure to obtain, or unexpected costs in obtaining, the regulatory approval necessary to bring a potential product to market could decrease our ability to generate sufficient product revenue to maintain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FDA or comparable foreign regulatory authorities may disagree with our regulatory plan and we may fail to obtain regulatory approval of our CAR T cell product candidates.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general approach for FDA or comparable foreign regulatory authorities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We expect ongoing FDA, EMA, or comparable foreign regulatory authorities feedback on our trials, some of which may lead to changes in the trials, which could cause future delays to our trials. In addition, even if we believe the results are sufficiently compelling, such as for the ALPHA3 trial, the FDA, EMA, or comparable foreign</w:t>
      </w:r>
      <w:r>
        <w:rPr>
          <w:color w:val="000000"/>
        </w:rPr>
        <w:t xml:space="preserve"> </w:t>
      </w:r>
      <w:r>
        <w:rPr>
          <w:rFonts w:ascii="Times New Roman;serif" w:hAnsi="Times New Roman;serif"/>
          <w:b w:val="false"/>
          <w:color w:val="000000"/>
          <w:sz w:val="20"/>
        </w:rPr>
        <w:t>regulatory authorities could ultimately require longer-term follow-up results, additional data from our clinical trials or additional trials that could delay or prevent our first BLA or MAA submission. The FDA, EMA, or comparable foreign regulatory authorities may require that we conduct a comparative trial against an approved therapy including potentially an approved autologous T cell therapy, which would significantly delay our development timelines and require substantially more resources. In addition, the FDA, EMA, or comparable foreign regulatory authorities may only allow us to evaluate patients that have failed or who are ineligible for autologous therapy, which are extremely difficult patients to treat and patients with advanced and aggressive cancer, and our product candidates may fail to improve outcomes for such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FDA or European Commission grant accelerated approval for our product candidates, as a condition for accelerated approval, the FDA or the European Commission may require us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or European Commission may ultimately refuse to grant accelerated approval for our product candidates and require a Phase 3 clinical trial prior to approval, particularly since our product candidates represent a novel treatment. In addition, the standard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care may change with the approval of new products in the same indications that we are studying. This may result in the FDA, the European Commission, or other regulatory agencies requesting additional studies to show that our product candidate is superior to the new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 results may also not support approval. In addition, our product candidates could be delayed in receiving approval or fail to receive regulatory approval for many reasons,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inability to resolve any future clinical hold;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FDA, EMA, or comparable foreign regulatory authorities may disagree with the design or implementation of our clinical trials or any changes thereto submitted in protocol amendments;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demonstrate to the satisfaction of the FDA, EMA, or comparable foreign regulatory authorities that our product candidates are safe and effective for any of their proposed indications;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results of clinical trials may not meet the level of statistical significance required by the FDA, EMA, or comparable foreign regulatory authorities for approval, including due to the heterogeneity of patient populations;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demonstrate that our product candidates’ clinical and other benefits outweigh their safety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FDA, EMA, or comparable foreign regulatory authorities may disagree with our interpretation of data from preclinical studies or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data collected from clinical trials of our product candidates may not be sufficient to the satisfaction of the FDA, EMA, or comparable foreign regulatory authorities to support the submission of a BLA or other comparable submission in foreign jurisdictions (e.g., MAA) or to obtain regulatory approval in the United States or elsewhere;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FDA, EMA, or comparable foreign regulatory authorities will review extensive CMC data, our manufacturing process and inspect the relevant commercial manufacturing facility and may not approve our manufacturing process or facility;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approval policies or regulations of the FDA, EU, or comparable foreign regulatory authorities may significantly change in a manner rendering our clinical data insufficient for approval;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agree on any required pediatric investigation plan with regulatory authorities prior to any BLA or MAA filing.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our collaborators, are required by the FDA, or comparable foreign regulatory authorities, to obtain approval (or clearance, or certification) of a companion diagnostic device in connection with approval of one of our product candidates, and we, or our collaborators, do not obtain, or face delays in obtaining, approval (or clearance, or certification) of a companion diagnostic device, we will not be able to commercialize the product candidate, and our ability to generate revenue will be materially impaired.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are collaborating with Foresight Diagnostics as part of our clinical trial enrollment process for ALPHA3 to identify patients with MRD that we believe may be most likely to benefit from treatment with cema-cel. The process of validating such diagnostic can be time consuming and costly.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concurrent with approval of the therapeutic product and before a product can be commercialized. In the EEA, companion diagnostics are deemed to be in vitro diagnostic medical devices (IVDs) and are governed by Regulation 2017/746 (IVDR). IVDs, including companion diagnostics, must conform with the general safety and performance requirements (GSPR) of the IVDR by December 2028.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FDA, or a comparable foreign regulatory authority, requires approval (or certification or clearance) of a companion diagnostic for any of our product candidates, whether before or after the product candidate obtains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or our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ALPHA3 trial design requires the use of an MRD assay, and we are conducting the trial with the use of Foresight Diagnostics’ PhasED-Seq™ Circulating Tumor DNA Platform. Although the Foresight CLARITY™ Investigational Use Only (IUO) MRD test, powered by PhasED-Seq, has received IDE approval from the FDA allowing PhasEd-Seq to be used as part of the ALPHA3 trial, there can be no assurance that Foresight Diagnostic will be able to obtain the necessary regulatory approvals to support ALPHA3 clinical trial sites outside the U.S., or that we would be able to manage logistical challenges associated with timely international shipment of patient samples to Foresight’s U.S. facility for testing, all of which could delay the expansion of our ALPHA3 trial to trial sites outside the U.S.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in order to commercialize cema-cel, if approved based on the outcome of our ALPHA3 trial, we anticipate that an approved MRD assay must be commercially available to identify patients eligible to receive cema-cel. A delay or failure by Foresight Diagnostics to obtain regulatory approval may delay the commercialization of cema-cel, if approved based on the outcome of our ALPHA3 trial.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Regenerative Medicine Advanced Therapy designation and fast track designation may not lead to a faster development or regulatory review or approval process and it does not increase the likelihood that our product candidates will receive marketing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Regenerative Medicine Advanced Therapy (RMAT) designation for cema-cel, ALLO-316, and ALLO-715 and fast track designation for ALLO-316 and ALLO-329. There is no assurance that we will be able to obtain RMAT designation or fast track designation for any of our additional product candidates. RMAT designation and fast track designation do not change the FDA’s standards for product approval, and there is no assurance that such designation will result in expedited review or approval or that the approved indication will not be narrower than the indication covered by the designation. Additionally, RMAT designation and fast track designation can be revoked if the criteria for eligibility cease to be met as clinical data emerges.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plan to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granted orphan drug designation to ALLO-715 for the treatment of multiple myeloma. We plan to seek orphan drug designation for additional product candidates in specific orphan indications in which there is a medically plausible basis for the use of these products, but may never receive such designations. Some of our product candidates target indications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that are not orphan indications. In addition, even with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or if a subsequent applicant demonstrates clinical superiority over our products, if approved.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Negative public opinion and increased regulatory scrutiny of genetic research and therapies involving gene editing may damage public perception of our product candidates or adversely affect our ability to conduct our business or obtain regulatory approvals for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gene-editing technologies that we use are novel. Public perception may be influenced by claims that gene editing is unsafe, and products incorporating gene editing may not gain the acceptance of the public or the medical community. Given the previous clinical hold involved a chromosomal abnormality, our manufacturing or gene editing may be further scrutinized or may be viewed as unsafe, even though our investigation found that the abnormality was not related to our manufacturing or gene editing. In particular, our success will depend upon physicians specializing in our targeted diseases prescribing our product candidates as treatments in lieu of, or in addition to, existing, more familiar, treatments for which greater clinical data may be available. Any increase in negative perceptions of gene editing may result in fewer physicians prescribing our treatments or may reduce the willingness of patients to utilize our treatments or participate in clinical trials for our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given the novel nature of gene-editing and cell therapy technologies, governments may place import, export or other restrictions in order to retain control or limit the use of the technologies. For instance, any limits on exporting certain of our technology to China may adversely affect Overland Therapeutics, a joint venture between us and HBP. Increased negative public opinion or more restrictive government regulations either in the United States or internationally, would have a negative effect on our business or financial condition and may delay or impair the development and commercialization of our product candidates or demand for such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the product candidates we develop will be regulated as biological products, or biologics, and therefore they may be subject to competition sooner than anticipated.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Biologics Price Competition and Innovation Act of 2009 (BPCIA) was enacted as part of the Patient Protection and Affordable Care Act, as amended by the Health Care and Education Reconciliation Act of 2010 (collectively, the</w:t>
      </w:r>
      <w:r>
        <w:rPr>
          <w:color w:val="000000"/>
        </w:rPr>
        <w:t xml:space="preserve"> </w:t>
      </w:r>
      <w:r>
        <w:rPr>
          <w:rFonts w:ascii="Times New Roman;serif" w:hAnsi="Times New Roman;serif"/>
          <w:b w:val="false"/>
          <w:color w:val="000000"/>
          <w:sz w:val="20"/>
        </w:rPr>
        <w:t>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and could have a material adverse effect on the future commercial prospects for our biological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European Union provides opportunities for data and market exclusivity for innovative medicinal products in relation to which marketing authorization is granted. Upon grant of marketing authorization, innovative medicinal products are generally entitled to benefit from eight years of data exclusivity and 10 years of market exclusivity. Data exclusivity, if granted, prevents regulatory authorities in the European Union from referencing the innovator’s data to assess an application for marketing authorization for a generic or a biosimilar for eight years from the date of authorization of the innovative product, after which an application may be made</w:t>
      </w:r>
      <w:r>
        <w:rPr>
          <w:color w:val="000000"/>
        </w:rPr>
        <w:t xml:space="preserve"> </w:t>
      </w:r>
      <w:r>
        <w:rPr>
          <w:rFonts w:ascii="Times New Roman;serif" w:hAnsi="Times New Roman;serif"/>
          <w:b w:val="false"/>
          <w:color w:val="000000"/>
          <w:sz w:val="20"/>
        </w:rPr>
        <w:t>for authorization of a generic or biosimilar, and the innovator’s data may be referenced. The market exclusivity period prevents a successful generic or biosimilar applicant from commercializing its product in the European Union until 10 years have elapsed from the initial marketing authorization of the reference product in the EU. The overall ten-year period may, occasionally,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obtain regulatory approval of our product candidates, the products may not gain market acceptance among physicians, patients, hospitals, cancer treatment centers and others in the medical community.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use of engineered T cells as a potential cancer treatment is a recent development and may not become broadly accepted by physicians, patients, hospitals, cancer treatment centers and others in the medical community.</w:t>
      </w:r>
      <w:r>
        <w:rPr>
          <w:color w:val="000000"/>
        </w:rPr>
        <w:t xml:space="preserve"> </w:t>
      </w:r>
      <w:r>
        <w:rPr>
          <w:rFonts w:ascii="Times New Roman;serif" w:hAnsi="Times New Roman;serif"/>
          <w:b w:val="false"/>
          <w:color w:val="000000"/>
          <w:sz w:val="20"/>
        </w:rPr>
        <w:t>We expect physicians in the large bone marrow transplant centers to be particularly important to the market acceptance of our products and we may not be able to educate them on the benefits of using our product candidates for many reasons. For example, certain of the product candidates that we will be developing target a cell surface marker that may be present on cancer cells as well as non-cancerous cells. It is possible that our product candidates may kill these non-cancerous cells, which may result in unacceptable side effects, including death. Additional factors will influence whether our product candidates are accepted in the market,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clinical indications for which our product candidates are approved;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physicians, hospitals, cancer treatment centers and patients considering our product candidates as a safe and effective treatment;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and perceived advantages of our product candidates over alternative treatments;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prevalence and severity of any side effects;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labeling or product insert requirements of the FDA or other comparable foreign regulatory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limitations or warnings contained in the labeling approved by the FDA or other comparable foreign regulatory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of market introduction of our product candidates as well as competitive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treatment in relation to alternative treatments;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coverage and adequate reimbursement by third-party payors and government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willingness of patients to pay out-of-pocket in the absence of coverage and adequate reimbursement by third-party payors and government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relative convenience and ease of administration, including as compared to alternative treatments and competitive therapies;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effectiveness of our sales and marketing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in certain market segments for our product candidates, which could make it difficult for us to sell our product candidates, if approved, profitably.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advancement of healthcare reform may negatively impact our ability to sell our product candidates, if approved, profitably.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Any reduction in reimbursement from Medicare or other government programs may result in a similar reduction in payments from private payors, which may adversely affect our future profitability.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administration is pursuing policies to reduce regulations and expenditures across government including at the U.S. Department of Health and Human Services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Most-Favored-Nation pricing equal to or lower than those paid in other developed nations, with additional mandates for direct-to-patient discounts and repatriation of foreign revenues. Other recent actions include, for example, directing agencies to reduce agency workforce and cut programs; directing HHS and other agencies to lower prescription drug costs through a variety of initiatives; imposing tariffs on certain imported pharmaceutical products; and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In addition, CMS has proposed the Global Benchmark for Efficient Drug Pricing (GLOBE) Model, a mandatory model that would assess manufacturer rebates for certain drugs payable under Medicare Part B if prices exceed an international benchmark, which, if implemented, could further increase pricing pressure on physician-administered therapies, including certain oncology and autoimmune treatments. If finalized, the proposed rule would apply to 25% of Medicare beneficiaries who reside in certain defined geographic areas. In addition, if implemented, a “Most-Favored-Nation” pricing policy that is determined to apply to us and any of our products that receives regulatory approval based on a reference to the lowest ex-U.S. list price for such products, could significantly reduce the U.S. list price for such products and likewise reduce our annual market opportunity in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could be negatively impacted by environmental, social and corporate governance (ESG) matters or our reporting of such matters.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an increasing focus from certain investors, employees, partners, and other stakeholders concerning ESG matters, and in many cases with conflicting views. While we have had internal efforts directed at ESG matters, we may be perceived by certain stakeholders as not acting responsibly in connection with these matters, which could negatively impact us. The SEC recently adopted rules designed to enhance and standardize climate-related disclosures, which were stayed pending judicial review, and the SEC subsequently voted to cease its defense of the climate-related disclosure rules, effectively halting their implementation. If other climate-related disclosure rules or other ESG rules become effective or become applicable to us, they may significantly increase our compliance and reporting costs and may also result in disclosures that certain investors or other stakeholders deem to negatively impact our reputation and/or that harm our stock price.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dependent on patents, know-how and proprietary technology, both our own and licensed from others. We depend substantially on our license agreements with Pfizer, Servier and Cellectis. These licenses may be terminated upon certain conditions. Any termination of these licenses could result in the loss of significant rights and could harm our ability to commercialize our product candidates. For example, we are dependent on our license with Cellectis for gene-editing technology that is necessary to produce certain of our engineered T cells. In addition, we are reliant on Servier in-licensing from Cellectis some of the intellectual property rights they are licensing to us, including certain intellectual property rights relating to ALLO-501 and cema-cel. To the extent these licensors fail to meet their obligations under their license agreements, which we are not in control of, we may lose the benefits of our license agreements with these licensors. For instance, Cellectis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challenged and may in the future challenge certain performance by Servier, such as its termination of development of products licensed under the Cellectis-Servier Agreement in ALL. There was an arbitration between Cellectis and Servier under which Cellectis sought to terminate the Cellectis-Servier Agreement, which would have automatically terminated our sublicense from Servier. Although the outcome of the arbitration was favorable as it relates to cema-cel, if our license agreement were terminated and we were unable to obtain a new license, we would be required to seek other gene editing technology or abandon our cema-cel or ALLO-316 programs, both of which could materially impact our business and financial position. Further, alternative gene editing technology may not be available to us on reasonable terms, or at all, and advancing other gene editing technology would require significant resources. In the future, we may also enter into additional license agreements that are material to the development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Disputes may also arise between us and our licensors regarding intellectual property subject to a license agreement, including those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and the extent to which our technology and processes may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right to sublicense patent and other rights to third parties under collaborative development relationships;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ownership of inventions and know-how resulting from the joint creation or use of intellectual property by our licensors and us and our partners.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previously we and Servier had different interpretations regarding the respective parties’ respective rights and obligations under the Original Servier Agreement. In May 2024, we entered into the Servier Amendment which clarified each party’s rights and obligations. Additionally, Cellectis and Servier previously had a dispute regarding Servier's withdrawal from UCART19 development, which could have negatively impacted our sublicense from Servier. In December 2025, an arbitration panel ruled substantially in Servier's favor, resulting in our retention of sublicense rights for cema-cel, but the termination of our sublicense rights for ALLO-501, which we had previously discontinued. There can be no assurance that further contract interpretation issues will not arise or that we would be able to amicably resolve such issues. If other issues arise over intellectual property that we have licensed, or license in the future, it could prevent or impair our ability to maintain our current licensing arrangements on acceptable terms, and we may be unable to successfully develop and commercialize the affected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efforts to protect the proprietary nature of the intellectual property related to our technologies are not adequate, we may not be able to compete effectively in our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 secret protection and license agreements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Servier Agreement, we have an exclusive license to develop and commercialize certain anti-CD19 allogeneic CAR T cell product candidates, including cema-cel, and we hold the commercial rights to these product candidates in the United States, the European Union and the United Kingdom. We also have an exclusive worldwide license from Cellectis to its TALEN gene-editing technology for the development of allogeneic T cell product candidates directed against 15 different cancer antigens. The Servier Agreement gives us access to TALEN gene-editing technology for all product candidates under the agreement. Certain intellectual property which is covered by these agreements may have been developed with funding from the U.S. government. If so, our rights in this intellectual property may be subject to certain research and other rights of the government.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patent applications have been filed, and we anticipate additional patent applications will be filed, both in the United States and in other countries, as appropriate. However, we cannot predict: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and when patents will issue;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degree and range of protection any issued patents will afford us against competitors including whether third parties will find ways to invalidate or otherwise circumvent our patents;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covered by our patents and patent applications;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we will need to initiate litigation or administrative proceedings which may be costly whether we win or lose.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Composition of matter patents for biological and pharmaceutical products such as CAR-based product candidates often provide a strong form of intellectual property protection for those types of products, as such patents provide protection without regard to any method of use. We cannot be certain that the claims in our pending patent applications covering compositions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method of use patents, the practice is common and such infringement is difficult to prevent or prosecute.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strength of patents in the biotechnology and pharmaceutical fields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patentability, validity, enforceability or scope thereof, for example through inter partes review (IPR), post-grant review or ex parte reexamination before the USPTO, or oppositions and other comparable proceedings in foreign jurisdictions, which may result in such patents being cancelled, narrowed, invalidated or held unenforceable.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United States patent applications containing at any time a claim not entitled to a priority date before March 16, 2013 are subject to the “first to file” system implemented by the America Invents Act (2011).</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first-to-file system will require us to be cognizant of the time from invention to filing of a patent application. 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For United States applications containing a claim not entitled to priority before March 16, 2013, there is a greater level of uncertainty in the patent law in view of the passage of the America Invents Act, which brought into effect significant changes to the United States patent laws, including new procedures for challenging patent applications and issued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Confidentiality agreements with employees and third parties, including any strategic partners, may not prevent unauthorized disclosure or use of trade secrets and other proprietary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protection afforded by patents, we seek to rely on trade secret protection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however, may be difficult to protect. Although we require all of our employees to assign their inventions to us, and require all of our employees and key consultants who have access to our proprietary know-how, information, or technology to enter into confidentiality agreements, we cannot be certain that our trade secrets and other confidential proprietary information will not be disclosed or inappropriately used,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For example, we have and may continue to transfer technology to Overland Therapeutics or its affiliates in certain developing countries, and we cannot be certain that we or Overland Therapeutics or any of its affiliates will be able to protect or enforce any proprietary rights in these countries.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competitive advantage in our market, which could materially adversely affect our business,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Third-party claims of intellectual property infringement may prevent or delay our product discovery and development efforts and our ability to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avoiding infringement of the patents and proprietary rights of third parties. There is a substantial amount of litigation involving patents and other intellectual property rights in the biotechnology and pharmaceutical industries.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 parties may assert that we or our collaboration partners infringe their patents or are otherwise employing their proprietary technology without authorization and may sue us and/or our collaboration partners. These risks are illustrated by two recent lawsuits. In July 2024 Roche Molecular Systems, Inc. and Roche Sequencing Solutions, Inc. (collectively, the Roche Parties) filed lawsuits in Federal District Courts in California and Delaware against Foresight Diagnostics Inc. (Foresight Diagnostics), who is our collaboration partner, as well as Stanford University and three of Foresight’s founders, alleging misappropriation of trade secrets, unfair competition and breach of contract relating to Foresight Diagnostics’ PhasED-Seq Circulating Tumor DNA Platform which is being used as part of our ALPHA3 clinical trial to identify MRD+ patients. Although Foresight announced on August 29, 2025 that it had entered into a limited licensing agreement with the Roche Parties related to Foresight’s patented PhasED-Seq™ technology, and that the agreement closes the litigation between the parties, with all claims against Foresight, its founders, and Stanford University dismissed with prejudice, if such settlement had not been entered into we may have been required to seek alternative means for gaining access to the PhasED-Seq MRD assay or find an alternative MRD assay to use in the ALPHA3 trial, either of which may not have been available to us on commercially reasonable terms or at all, and/or could have significantly delayed or prevented the completion of the trial or our plans to commercialize cema-cel as part of a 1L consolidation strategy, if approved, which could have materially adversely affected our business, operating results and financial condition. Additionally, on September 26, 2025, Factor Bioscience Inc. (Factor) filed a complaint in the United States District Court for the District of Delaware against Cellectis S.A., and its affiliate Cellectis, Inc., alleging that Cellectis’s TALEN-based gene-editing technology infringed three of Factor’s U.S. patents relating to gene-editing techniques (Factor Litigation). Among other things, Factor alleges that Cellectis copied Factor’s patented mRNA TALEN technology, passed off as Cellectis’s own and entered into license agreements with several licensors, including us, to capitalize on such infringement. Factor’s complaint also names AstraZeneca PLC and certain of its affiliates (collectively, AstraZeneca) as defendants, and alleges direct infringement by AstraZeneca of certain of Factor’s patents by using Cellectis’s allegedly infringing TALEN technology. Cellectis notified us of the patent infringement action on October 6, 2025, and informed us that it disputes Factor’s claims and intends to vigorously defend against them. Although we are not a party to this litigation, we rely on the TALEN gene-editing technology licensed from Cellectis to engineer certain of our allogeneic CAR T cell product candidates, including cema-cel and ALLO-316. Factor may also choose to assert direct claims against us as a commercial user of the disputed technology. If Factor prevails on its claims against the Cellectis TALEN technology, we may be required to seek a license from Factor, which may not be available to us on commercially reasonable terms or at all, and/or could significantly delay or prevent our plans to commercialize our TALEN-based product candidates, including cema-cel and ALLO-316, if approved, which could materially adversely affect our business, operating results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aware of several U.S. patents held by third parties that may be considered by those third parties to be relevant to cell-based therapies. Generally, conducting clinical trials and other development activities in the United States is not considered an act of infringement. If and when any of our product candidates is approved by the FDA, third parties may then seek to enforce their patents by filing a patent infringement lawsuit against us or our collaboration partners. Patents issued in the United States by law enjoy a presumption of validity that can be rebutted only with evidence that is “clear and convincing,” a heightened standard of proof. We may not be able to prove in litigation that any patent enforced against us or one of our collaboration partners is invalid.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alleged to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not infringed, unpatentable, invalid or unenforceable. Similarly, if any third-party patent were held by a court of competent jurisdiction to cover aspects of our formulations, processes for manufacture or methods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use, including combination therapy or patient selection methods, the holders of any such patent may be able to block our ability to develop and commercialize the product candidate unless we obtained a license or until such patent expires or is finally determined to be held not infringed, unpatentable,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LTC asserted that, as a result of its purported termination of certain license agreements with Cellectis, we no longer have rights under certain patents licensed by LTC to Cellectis relating to TALEN technology. Cellectis disputes the purported termination and the claims asserted by LTC. For additional details regarding these matters, see “Risk Factors – We are heavily reliant on our partners, Cellectis and Servier, for access to TALEN gene editing technology for the manufacturing and development of our oncology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Parties, such as Factor, who may make claims against us or our collaboration partners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any of our alleged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obtaining or maintaining necessary rights to product components and processes for our development pipeline through acquisitions and in-licenses.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Presently we have rights to the intellectual property through licenses from third parties and under patent applications that we own or will own, that we believe will facilitate the development of our product candidates. Because our programs may involve additional product technology that may require the use of proprietary rights held by third parties, the growth of our business will likely depend in part on our ability to acquire, in-license or use these proprietary rights.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be unable to acquire or in-license any compositions, methods of use, processes or other third-party intellectual property rights from third parties that we identify, such as the intellectual property that is the subject of the Factor Litigation. We may fail to acquire such rights or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licensors, which could be expensive, time-consuming and unsuccessful.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lives of our patents may not be sufficient to effectively protect our products and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products, our business and results of operations will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licensors may be subject to claims challenging the inventorship of our patents and other 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licensors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or our licensors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or our licensors are successful in defending against such claims, litigation could result in substantial costs and be a distraction to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Issued patents covering our product candidates could be found unpatentable, invalid or unenforceable if challenged in court or the USPTO.</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IPR, ex parte re-examination and post grant review in the United States, and equivalent proceedings in foreign jurisdictions (e.g., opposition proceedings). Such proceedings could result in revocation or amendment to our patents in such a way that they no longer cover and protect our product candidates. The outcome following legal assertions of unpatentability, invalidity and unenforceability is unpredictable.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validity question,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serif" w:hAnsi="Times New Roman;serif"/>
          <w:b w:val="false"/>
          <w:i/>
          <w:color w:val="000000"/>
          <w:sz w:val="20"/>
        </w:rPr>
        <w:t>Assoc. for Molecular Pathology v. Myriad Genetics, Inc.</w:t>
      </w:r>
      <w:r>
        <w:rPr>
          <w:rFonts w:ascii="Times New Roman;serif" w:hAnsi="Times New Roman;serif"/>
          <w:b w:val="false"/>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protect our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where Overland Therapeutics or its affiliates may do business, do not favor the enforcement of patents, trade secrets and other intellectual property protection, particularly those relating to biopharmaceutical products, which could make it difficult for us or Overland Therapeutics or any of its affiliates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price of our stock has been and may continue to be volatile, and you could lose all or part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following our IPO in October 2018 has been and is likely to continue to be highly volatile and could be subject to wide fluctuations in response to various factors, some of which are beyond our control, including limited trading volume. In addition to the factors discussed in this “Risk Factors” section, these factors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commencement, enrollment or results of our clinical trials of our product candidates or any future clinical trials we may conduct, or changes in the development status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results or delays in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failure to commercialize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regulatory decisions;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laws or regulations applicable to our products, including but not limited to clinical trial requirements for approvals;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developments concerning the manufacture or supply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inability to establish collaborations if needed;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additions or departures of key scientific or management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serious safety concerns related to immuno-oncology or related to the use of our product candidates or pre-conditioning regimen;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introduction of new products or services offered by us or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status of one or more of our license or collaboration agreements, including any material disputes, amendments or terminations;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and growth of our initial cancer or autoimmune diseases target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treat additional types of cancers or at different stages, or to treat autoimmune diseases;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actual or anticipated variations in quarterly operating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cash position;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publication of research reports about us or our industry, or immunotherapy in particular, or positive or negative recommendations or withdrawal of research coverage by securities analysts;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our common stock by us or our stockholders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trading volume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accounting practices;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ineffectiveness of our disclosure controls or internal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disagreements with our auditor or termination of an auditor engagement;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business disruptions caused by health epidemics or pandemics, or natural or man-made disasters;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political and economic conditions;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events or factors, many of which are beyond our control.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lineRule="auto" w:line="288" w:before="240" w:after="283"/>
        <w:jc w:val="left"/>
        <w:rPr/>
      </w:pPr>
      <w:r>
        <w:rPr>
          <w:rFonts w:ascii="Times New Roman;serif" w:hAnsi="Times New Roman;serif"/>
          <w:b/>
          <w:i/>
          <w:color w:val="000000"/>
          <w:sz w:val="20"/>
        </w:rPr>
        <w:t>Our failure to establish and maintain effective internal control over financial reporting could result in material misstatements in our financial statements, our failure to meet our reporting obligations and cause investors to lose confidence in our reported financial information, which in turn could cause the trading price of our common stock to decline</w:t>
      </w:r>
      <w:r>
        <w:rPr>
          <w:rFonts w:ascii="Times New Roman;serif" w:hAnsi="Times New Roman;serif"/>
          <w:b w:val="false"/>
          <w:color w:val="000000"/>
          <w:sz w:val="20"/>
        </w:rPr>
        <w: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Maintaining effective disclosure controls and procedures and internal control over financial reporting are necessary for us to produce reliable financial statements. We are required, pursuant to Section 404 (Section 404) of the Sarbanes-Oxley Act of 2002 (Sarbanes-Oxley Act), to furnish a report by management on, among other things, the effectiveness of our internal control over financial reporting. Complying with Section 404 requires a rigorous compliance program as well as adequate time and resources. We may not be able to complete our internal control evaluation, testing and any required remediation in a timely fashion. Additionally, if we or our auditors identify one or more material weaknesses in our internal control over financial reporting, we will not be able to assert that our internal controls are effective.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2021, we implemented a new enterprise resource planning (ERP) system, which required the investment of significant financial and human resources. We plan to continue to implement new ERP modules, which we also expect will require significant resources. Any failure to maintain or implement new or improved internal controls related to our ERP system or otherwise could result in material weaknesses, result in material misstatements in our financial statements and cause us to fail to meet our reporting obligations. This could cause us to lose public confidence and could cause the trading price of our common stock to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the past, we have identified a material weakness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past, we have identified material weaknesses in our internal control over financial reporting. All material weaknesses previously identified were fully remediated in the fourth quarter of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in the future,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anticipate that we will retain any future cash flow or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requirement that special meetings of stockholders be called only by the chair of the board of directors, the chief executive officer, or by a majority of the total number of authorized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Unstable market, economic and geo-political conditions may have serious adverse consequences on our business, financial condition and stock price.</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global credit and financial markets have experienced extreme volatility and disruptions in the past. These disruptions have resulted and may continue to result in severely diminished liquidity and credit availability, elevated inflationary pressures and interest-rate volatility, declines in consumer confidence, </w:t>
      </w:r>
      <w:r>
        <w:rPr>
          <w:rFonts w:ascii="Times New Roman;serif" w:hAnsi="Times New Roman;serif"/>
          <w:b w:val="false"/>
          <w:color w:val="000000"/>
          <w:sz w:val="20"/>
          <w:shd w:fill="FFFFFF" w:val="clear"/>
        </w:rPr>
        <w:t>disruptions in access to bank deposits or lending commitments due to bank failures and uncertainty about economic stability</w:t>
      </w:r>
      <w:r>
        <w:rPr>
          <w:rFonts w:ascii="Times New Roman;serif" w:hAnsi="Times New Roman;serif"/>
          <w:b w:val="false"/>
          <w:color w:val="000000"/>
          <w:sz w:val="20"/>
        </w:rPr>
        <w:t>, declines in economic growth,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would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 Moreover, persistent trade and policy uncertainty, ongoing geopolitical risks, and any deterioration in macroeconomic conditions or financial market volatility could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international and geo-political events could also have a serious adverse impact on our business.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by our existing stockholders in the public market could cause our stock price to fall.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or the perception that these sales might occur, including by any of our directors, officers or larger stockholders, could depress the market price of our common stock and could impair our ability to raise capital through the sale of additional equity securities. We are unable to predict the effect that sales may have on the prevailing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issue an adverse or misleading opinion regarding our stock, our stock price and trading volume could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could be influenced by the research and reports that industry or securities analysts publish about us or our business. If any of the analysts who cover us issue an adverse or misleading opinion regarding us, our business model, our intellectual property or our stock performance, or if the clinical trials and operating results fail to meet the expectations of analysts, our stock price would likely decline. If one or more analysts cease coverage of us or fail to publish reports on us regularly, we could lose visibility in the financial markets, which in turn could cause our stock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848"/>
        <w:gridCol w:w="2589"/>
        <w:gridCol w:w="3690"/>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 (File No. 001-38693), filed with the SEC on October 15, 2018).</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 No. 001-38693), filed with the SEC on June 17, 2022).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 (File No. 001-38693), filed with the SEC on October 15, 2018).</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Reference is made to Exhibits </w:t>
            </w:r>
            <w:hyperlink r:id="rId5">
              <w:r>
                <w:rPr>
                  <w:rStyle w:val="InternetLink"/>
                  <w:rFonts w:ascii="Times New Roman;serif" w:hAnsi="Times New Roman;serif"/>
                  <w:b w:val="false"/>
                  <w:color w:val="0000FF"/>
                  <w:sz w:val="20"/>
                  <w:u w:val="single"/>
                </w:rPr>
                <w:t>3.1</w:t>
              </w:r>
            </w:hyperlink>
            <w:r>
              <w:rPr>
                <w:rFonts w:ascii="Times New Roman;serif" w:hAnsi="Times New Roman;serif"/>
                <w:b w:val="false"/>
                <w:color w:val="000000"/>
                <w:sz w:val="20"/>
              </w:rPr>
              <w:t xml:space="preserve">, </w:t>
            </w:r>
            <w:hyperlink r:id="rId6">
              <w:r>
                <w:rPr>
                  <w:rStyle w:val="InternetLink"/>
                  <w:rFonts w:ascii="Times New Roman;serif" w:hAnsi="Times New Roman;serif"/>
                  <w:b w:val="false"/>
                  <w:color w:val="0000FF"/>
                  <w:sz w:val="20"/>
                  <w:u w:val="single"/>
                </w:rPr>
                <w:t>3.2</w:t>
              </w:r>
            </w:hyperlink>
            <w:r>
              <w:rPr>
                <w:color w:val="000000"/>
              </w:rPr>
              <w:t xml:space="preserve"> </w:t>
            </w:r>
            <w:r>
              <w:rPr>
                <w:rFonts w:ascii="Times New Roman;serif" w:hAnsi="Times New Roman;serif"/>
                <w:b w:val="false"/>
                <w:color w:val="000000"/>
                <w:sz w:val="20"/>
              </w:rPr>
              <w:t xml:space="preserve">and </w:t>
            </w:r>
            <w:hyperlink r:id="rId7">
              <w:r>
                <w:rPr>
                  <w:rStyle w:val="InternetLink"/>
                  <w:rFonts w:ascii="Times New Roman;serif" w:hAnsi="Times New Roman;serif"/>
                  <w:b w:val="false"/>
                  <w:color w:val="0000FF"/>
                  <w:sz w:val="20"/>
                  <w:u w:val="single"/>
                </w:rPr>
                <w:t>3.3</w:t>
              </w:r>
            </w:hyperlink>
            <w:r>
              <w:rPr>
                <w:rFonts w:ascii="Times New Roman;serif" w:hAnsi="Times New Roman;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Common Stock Certificate of the Registrant (incorporated by reference to Exhibit 4.1 to the Registrant’s Registration Statement on Form S-1, as amended (File No. 333-227333), filed with the SEC on October 2, 2018).</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331xex106.htm">
              <w:r>
                <w:rPr>
                  <w:rStyle w:val="InternetLink"/>
                  <w:rFonts w:ascii="Times New Roman;serif" w:hAnsi="Times New Roman;serif"/>
                  <w:b w:val="false"/>
                  <w:color w:val="0000FF"/>
                  <w:sz w:val="20"/>
                  <w:u w:val="single"/>
                </w:rPr>
                <w:t>Consulting Agreement, effective as of August 9, 2018, by and between the Registrant and Bellco Capital LLC, as amended.</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331xex311.htm">
              <w:r>
                <w:rPr>
                  <w:rStyle w:val="InternetLink"/>
                  <w:rFonts w:ascii="Times New Roman;serif" w:hAnsi="Times New Roman;serif"/>
                  <w:b w:val="false"/>
                  <w:color w:val="0000FF"/>
                  <w:sz w:val="20"/>
                  <w:u w:val="single"/>
                </w:rPr>
                <w:t>Certification of Principal Executive Officer pursuant to Rule 13a-14(a) or Rule 15d-14(a) of the Securities Exchange Act of 1934, as amended.</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331xex312.htm">
              <w:r>
                <w:rPr>
                  <w:rStyle w:val="InternetLink"/>
                  <w:rFonts w:ascii="Times New Roman;serif" w:hAnsi="Times New Roman;serif"/>
                  <w:b w:val="false"/>
                  <w:color w:val="0000FF"/>
                  <w:sz w:val="20"/>
                  <w:u w:val="single"/>
                </w:rPr>
                <w:t>Certification of Principal Financial Officer pursuant to Rule 13a-14(a) or Rule 15d-14(a) of the Securities Exchange Act of 1934, as amended.</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331xex321.htm">
              <w:r>
                <w:rPr>
                  <w:rStyle w:val="InternetLink"/>
                  <w:rFonts w:ascii="Times New Roman;serif" w:hAnsi="Times New Roman;serif"/>
                  <w:b w:val="false"/>
                  <w:color w:val="0000FF"/>
                  <w:sz w:val="20"/>
                  <w:u w:val="single"/>
                </w:rPr>
                <w:t>Certification of Principal Executive Officer and Principal Financial Officer pursuant to Rule 13a-14(b) of the Securities Exchange Act of 1934, as amended, and 18 U.S.C. Section 1350, as adopted pursuant to Section 906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Calculation Linkbase Document.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has been formatted in Inline XBRL.</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58e61a10e714873b386bdbeb7020a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353"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936"/>
        <w:gridCol w:w="936"/>
        <w:gridCol w:w="13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David Chang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Chang,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Geoffrey Parker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Parker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10.6</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EXECUTION VERSION</w:t>
      </w:r>
    </w:p>
    <w:p>
      <w:pPr>
        <w:pStyle w:val="TextBody"/>
        <w:bidi w:val="0"/>
        <w:spacing w:lineRule="auto" w:line="264" w:before="0" w:after="240"/>
        <w:jc w:val="center"/>
        <w:rPr>
          <w:rFonts w:ascii="Arial;sans-serif" w:hAnsi="Arial;sans-serif"/>
          <w:b/>
          <w:color w:val="000000"/>
          <w:sz w:val="20"/>
        </w:rPr>
      </w:pPr>
      <w:r>
        <w:rPr>
          <w:rFonts w:ascii="Arial;sans-serif" w:hAnsi="Arial;sans-serif"/>
          <w:b/>
          <w:color w:val="000000"/>
          <w:sz w:val="20"/>
        </w:rPr>
        <w:t>ALLOGENE THERAPEUTICS, INC.</w:t>
      </w:r>
    </w:p>
    <w:p>
      <w:pPr>
        <w:pStyle w:val="TextBody"/>
        <w:bidi w:val="0"/>
        <w:spacing w:lineRule="auto" w:line="264" w:before="0" w:after="240"/>
        <w:jc w:val="center"/>
        <w:rPr>
          <w:rFonts w:ascii="Arial;sans-serif" w:hAnsi="Arial;sans-serif"/>
          <w:b/>
          <w:color w:val="000000"/>
          <w:sz w:val="20"/>
        </w:rPr>
      </w:pPr>
      <w:r>
        <w:rPr>
          <w:rFonts w:ascii="Arial;sans-serif" w:hAnsi="Arial;sans-serif"/>
          <w:b/>
          <w:color w:val="000000"/>
          <w:sz w:val="20"/>
        </w:rPr>
        <w:t>CONSULTING AGREEMENT</w:t>
      </w:r>
    </w:p>
    <w:p>
      <w:pPr>
        <w:pStyle w:val="TextBody"/>
        <w:bidi w:val="0"/>
        <w:spacing w:lineRule="auto" w:line="264" w:before="0" w:after="240"/>
        <w:jc w:val="both"/>
        <w:rPr/>
      </w:pPr>
      <w:r>
        <w:rPr>
          <w:rFonts w:ascii="Arial;sans-serif" w:hAnsi="Arial;sans-serif"/>
          <w:b w:val="false"/>
          <w:color w:val="000000"/>
          <w:sz w:val="20"/>
        </w:rPr>
        <w:t>This agreement (“</w:t>
      </w:r>
      <w:r>
        <w:rPr>
          <w:rFonts w:ascii="Arial;sans-serif" w:hAnsi="Arial;sans-serif"/>
          <w:b/>
          <w:color w:val="000000"/>
          <w:sz w:val="20"/>
        </w:rPr>
        <w:t>Agreement</w:t>
      </w:r>
      <w:r>
        <w:rPr>
          <w:color w:val="000000"/>
        </w:rPr>
        <w:t>”</w:t>
      </w:r>
      <w:r>
        <w:rPr>
          <w:rFonts w:ascii="Arial;sans-serif" w:hAnsi="Arial;sans-serif"/>
          <w:b w:val="false"/>
          <w:color w:val="000000"/>
          <w:sz w:val="20"/>
        </w:rPr>
        <w:t>) is made effective as of August 9, 2018 (“</w:t>
      </w:r>
      <w:r>
        <w:rPr>
          <w:rFonts w:ascii="Arial;sans-serif" w:hAnsi="Arial;sans-serif"/>
          <w:b/>
          <w:color w:val="000000"/>
          <w:sz w:val="20"/>
        </w:rPr>
        <w:t>Effective Date</w:t>
      </w:r>
      <w:r>
        <w:rPr>
          <w:color w:val="000000"/>
        </w:rPr>
        <w:t>”</w:t>
      </w:r>
      <w:r>
        <w:rPr>
          <w:rFonts w:ascii="Arial;sans-serif" w:hAnsi="Arial;sans-serif"/>
          <w:b w:val="false"/>
          <w:color w:val="000000"/>
          <w:sz w:val="20"/>
        </w:rPr>
        <w:t>) by and between Allogene Therapeutics, Inc., a Delaware corporation (together with its affiliates and subsidiaries, “</w:t>
      </w:r>
      <w:r>
        <w:rPr>
          <w:rFonts w:ascii="Arial;sans-serif" w:hAnsi="Arial;sans-serif"/>
          <w:b/>
          <w:color w:val="000000"/>
          <w:sz w:val="20"/>
        </w:rPr>
        <w:t>Allogene</w:t>
      </w:r>
      <w:r>
        <w:rPr>
          <w:color w:val="000000"/>
        </w:rPr>
        <w:t>”</w:t>
      </w:r>
      <w:r>
        <w:rPr>
          <w:rFonts w:ascii="Arial;sans-serif" w:hAnsi="Arial;sans-serif"/>
          <w:b w:val="false"/>
          <w:color w:val="000000"/>
          <w:sz w:val="20"/>
        </w:rPr>
        <w:t>), having a principal place of business at 270 Littlefield Ave, South San Francisco, CA 94080, and Bello Capital, LLC (“</w:t>
      </w:r>
      <w:r>
        <w:rPr>
          <w:rFonts w:ascii="Arial;sans-serif" w:hAnsi="Arial;sans-serif"/>
          <w:b/>
          <w:color w:val="000000"/>
          <w:sz w:val="20"/>
        </w:rPr>
        <w:t>Consultant</w:t>
      </w:r>
      <w:r>
        <w:rPr>
          <w:color w:val="000000"/>
        </w:rPr>
        <w:t>”</w:t>
      </w:r>
      <w:r>
        <w:rPr>
          <w:rFonts w:ascii="Arial;sans-serif" w:hAnsi="Arial;sans-serif"/>
          <w:b w:val="false"/>
          <w:color w:val="000000"/>
          <w:sz w:val="20"/>
        </w:rPr>
        <w:t>), having an address at 2049 Century Park East, Suite 1940, Los Angeles, CA 90067.</w:t>
      </w:r>
    </w:p>
    <w:p>
      <w:pPr>
        <w:pStyle w:val="TextBody"/>
        <w:bidi w:val="0"/>
        <w:spacing w:lineRule="auto" w:line="264" w:before="0" w:after="240"/>
        <w:jc w:val="both"/>
        <w:rPr/>
      </w:pPr>
      <w:r>
        <w:rPr>
          <w:rFonts w:ascii="Arial;sans-serif" w:hAnsi="Arial;sans-serif"/>
          <w:b/>
          <w:color w:val="000000"/>
          <w:sz w:val="20"/>
        </w:rPr>
        <w:t>1.</w:t>
      </w:r>
      <w:r>
        <w:rPr>
          <w:rFonts w:ascii="Arial;sans-serif" w:hAnsi="Arial;sans-serif"/>
          <w:b/>
          <w:color w:val="000000"/>
          <w:sz w:val="20"/>
        </w:rPr>
        <w:t>Nature of Consulting Services</w:t>
      </w:r>
      <w:r>
        <w:rPr>
          <w:rFonts w:ascii="Arial;sans-serif" w:hAnsi="Arial;sans-serif"/>
          <w:b w:val="false"/>
          <w:color w:val="000000"/>
          <w:sz w:val="20"/>
        </w:rPr>
        <w:t>. Consultant will perform the services described in Exhibit A attached hereto and incorporated herein (“</w:t>
      </w:r>
      <w:r>
        <w:rPr>
          <w:rFonts w:ascii="Arial;sans-serif" w:hAnsi="Arial;sans-serif"/>
          <w:b/>
          <w:color w:val="000000"/>
          <w:sz w:val="20"/>
        </w:rPr>
        <w:t>Services</w:t>
      </w:r>
      <w:r>
        <w:rPr>
          <w:color w:val="000000"/>
        </w:rPr>
        <w:t>”</w:t>
      </w:r>
      <w:r>
        <w:rPr>
          <w:rFonts w:ascii="Arial;sans-serif" w:hAnsi="Arial;sans-serif"/>
          <w:b w:val="false"/>
          <w:color w:val="000000"/>
          <w:sz w:val="20"/>
        </w:rPr>
        <w:t>) for Allogene under this Agreement. All Services provided hereunder shall be performed by Arie Belldegrun, M.D. (“</w:t>
      </w:r>
      <w:r>
        <w:rPr>
          <w:rFonts w:ascii="Arial;sans-serif" w:hAnsi="Arial;sans-serif"/>
          <w:b/>
          <w:color w:val="000000"/>
          <w:sz w:val="20"/>
        </w:rPr>
        <w:t>BelIdegrun</w:t>
      </w:r>
      <w:r>
        <w:rPr>
          <w:color w:val="000000"/>
        </w:rPr>
        <w:t>”</w:t>
      </w:r>
      <w:r>
        <w:rPr>
          <w:rFonts w:ascii="Arial;sans-serif" w:hAnsi="Arial;sans-serif"/>
          <w:b w:val="false"/>
          <w:color w:val="000000"/>
          <w:sz w:val="20"/>
        </w:rPr>
        <w:t>). Consultant agrees that during the term of this Agreement Consultant will continue to employ Belldegrun and ensure that Belldegrun provides Services to Allogene under the terms and conditions of this Agreement.</w:t>
      </w:r>
    </w:p>
    <w:p>
      <w:pPr>
        <w:pStyle w:val="TextBody"/>
        <w:bidi w:val="0"/>
        <w:spacing w:lineRule="auto" w:line="264" w:before="0" w:after="240"/>
        <w:jc w:val="both"/>
        <w:rPr/>
      </w:pPr>
      <w:r>
        <w:rPr>
          <w:rFonts w:ascii="Arial;sans-serif" w:hAnsi="Arial;sans-serif"/>
          <w:b/>
          <w:color w:val="000000"/>
          <w:sz w:val="20"/>
        </w:rPr>
        <w:t>2.</w:t>
      </w:r>
      <w:r>
        <w:rPr>
          <w:rFonts w:ascii="Arial;sans-serif" w:hAnsi="Arial;sans-serif"/>
          <w:b/>
          <w:color w:val="000000"/>
          <w:sz w:val="20"/>
        </w:rPr>
        <w:t>Delivery of Consulting Services</w:t>
      </w:r>
    </w:p>
    <w:p>
      <w:pPr>
        <w:pStyle w:val="TextBody"/>
        <w:bidi w:val="0"/>
        <w:spacing w:lineRule="auto" w:line="264" w:before="0" w:after="240"/>
        <w:ind w:left="0" w:right="0" w:firstLine="720"/>
        <w:jc w:val="both"/>
        <w:rPr/>
      </w:pPr>
      <w:r>
        <w:rPr>
          <w:rFonts w:ascii="Arial;sans-serif" w:hAnsi="Arial;sans-serif"/>
          <w:b/>
          <w:color w:val="000000"/>
          <w:sz w:val="20"/>
        </w:rPr>
        <w:t>(a)</w:t>
      </w:r>
      <w:r>
        <w:rPr>
          <w:rFonts w:ascii="Arial;sans-serif" w:hAnsi="Arial;sans-serif"/>
          <w:b w:val="false"/>
          <w:color w:val="000000"/>
          <w:sz w:val="20"/>
        </w:rPr>
        <w:t>Consultant will provide all equipment, supplies and materials required for Consultant’s performance of the Services</w:t>
      </w:r>
    </w:p>
    <w:p>
      <w:pPr>
        <w:pStyle w:val="TextBody"/>
        <w:bidi w:val="0"/>
        <w:spacing w:lineRule="auto" w:line="264" w:before="0" w:after="240"/>
        <w:ind w:left="0" w:right="0" w:firstLine="720"/>
        <w:jc w:val="both"/>
        <w:rPr/>
      </w:pPr>
      <w:r>
        <w:rPr>
          <w:rFonts w:ascii="Arial;sans-serif" w:hAnsi="Arial;sans-serif"/>
          <w:b/>
          <w:color w:val="000000"/>
          <w:sz w:val="20"/>
        </w:rPr>
        <w:t>(b)</w:t>
      </w:r>
      <w:r>
        <w:rPr>
          <w:rFonts w:ascii="Arial;sans-serif" w:hAnsi="Arial;sans-serif"/>
          <w:b w:val="false"/>
          <w:color w:val="000000"/>
          <w:sz w:val="20"/>
        </w:rPr>
        <w:t>Consultant shall use its’ commercially reasonable efforts, and shall instruct Belldegrun, to segregate work performed under this Agreement from work performed by Consultant for any other third party so as to minimize any conflicts with non-disclosure obligations disclosure or ownership of rights under any Work Product (as defined in Section 5 herein) or Confidential Information (as defined in Section 4 herein).</w:t>
      </w:r>
    </w:p>
    <w:p>
      <w:pPr>
        <w:pStyle w:val="TextBody"/>
        <w:bidi w:val="0"/>
        <w:spacing w:lineRule="auto" w:line="264" w:before="0" w:after="240"/>
        <w:jc w:val="both"/>
        <w:rPr/>
      </w:pPr>
      <w:r>
        <w:rPr>
          <w:rFonts w:ascii="Arial;sans-serif" w:hAnsi="Arial;sans-serif"/>
          <w:b/>
          <w:color w:val="000000"/>
          <w:sz w:val="20"/>
        </w:rPr>
        <w:t>3.</w:t>
      </w:r>
      <w:r>
        <w:rPr>
          <w:rFonts w:ascii="Arial;sans-serif" w:hAnsi="Arial;sans-serif"/>
          <w:b/>
          <w:color w:val="000000"/>
          <w:sz w:val="20"/>
        </w:rPr>
        <w:t>Compensation and Reimbursement</w:t>
      </w:r>
    </w:p>
    <w:p>
      <w:pPr>
        <w:pStyle w:val="TextBody"/>
        <w:bidi w:val="0"/>
        <w:spacing w:lineRule="auto" w:line="264" w:before="0" w:after="240"/>
        <w:ind w:left="0" w:right="0" w:firstLine="720"/>
        <w:jc w:val="both"/>
        <w:rPr/>
      </w:pPr>
      <w:r>
        <w:rPr>
          <w:rFonts w:ascii="Arial;sans-serif" w:hAnsi="Arial;sans-serif"/>
          <w:b/>
          <w:color w:val="000000"/>
          <w:sz w:val="20"/>
        </w:rPr>
        <w:t>(a)</w:t>
      </w:r>
      <w:r>
        <w:rPr>
          <w:rFonts w:ascii="Arial;sans-serif" w:hAnsi="Arial;sans-serif"/>
          <w:b w:val="false"/>
          <w:color w:val="000000"/>
          <w:sz w:val="20"/>
        </w:rPr>
        <w:t>Subject to the terms and conditions of this Agreement, Allogene will pay Consultant $26,250.00 per month in arrears beginning June 25, 2018 for performance of the Services, which monthly amount is subject to increase on an annual basis upon written agreement between Consultant and Allogene. Such amount shall be prorated for any month to the extent that Consultant provides the Services for only a portion of such month as a result of the Services commencing or terminating in the middle of a month in accordance with the terms of this Agreement.</w:t>
      </w:r>
    </w:p>
    <w:p>
      <w:pPr>
        <w:pStyle w:val="TextBody"/>
        <w:bidi w:val="0"/>
        <w:spacing w:lineRule="auto" w:line="264" w:before="0" w:after="240"/>
        <w:ind w:left="0" w:right="0" w:firstLine="720"/>
        <w:jc w:val="both"/>
        <w:rPr/>
      </w:pPr>
      <w:r>
        <w:rPr>
          <w:rFonts w:ascii="Arial;sans-serif" w:hAnsi="Arial;sans-serif"/>
          <w:b/>
          <w:color w:val="000000"/>
          <w:sz w:val="20"/>
        </w:rPr>
        <w:t>(b)</w:t>
      </w:r>
      <w:r>
        <w:rPr>
          <w:rFonts w:ascii="Arial;sans-serif" w:hAnsi="Arial;sans-serif"/>
          <w:b w:val="false"/>
          <w:color w:val="000000"/>
          <w:sz w:val="20"/>
        </w:rPr>
        <w:t>In Allogene’s sole discretion, Consultant may earn an annual consultation performance award in an amount for any calendar year equal to a maximum of 60% of the aggregate amount of compensation payable to Consultant pursuant to Section 3(a) in such calendar year (the “</w:t>
      </w:r>
      <w:r>
        <w:rPr>
          <w:rFonts w:ascii="Arial;sans-serif" w:hAnsi="Arial;sans-serif"/>
          <w:b/>
          <w:color w:val="000000"/>
          <w:sz w:val="20"/>
        </w:rPr>
        <w:t>Performance Award</w:t>
      </w:r>
      <w:r>
        <w:rPr>
          <w:color w:val="000000"/>
        </w:rPr>
        <w:t>”</w:t>
      </w:r>
      <w:r>
        <w:rPr>
          <w:rFonts w:ascii="Arial;sans-serif" w:hAnsi="Arial;sans-serif"/>
          <w:b w:val="false"/>
          <w:color w:val="000000"/>
          <w:sz w:val="20"/>
        </w:rPr>
        <w:t>). The Performance Award shall be based upon Allogene’s assessment of Consultant’s performance of the Services and, if awarded, shall be paid to Consultant no later than March 15 of the calendar year immediately following the applicable calendar year for the Performance Award.</w:t>
      </w:r>
    </w:p>
    <w:p>
      <w:pPr>
        <w:pStyle w:val="TextBody"/>
        <w:bidi w:val="0"/>
        <w:spacing w:lineRule="auto" w:line="264" w:before="0" w:after="240"/>
        <w:ind w:left="0" w:right="0" w:firstLine="720"/>
        <w:jc w:val="both"/>
        <w:rPr/>
      </w:pPr>
      <w:r>
        <w:rPr>
          <w:rFonts w:ascii="Arial;sans-serif" w:hAnsi="Arial;sans-serif"/>
          <w:b/>
          <w:color w:val="000000"/>
          <w:sz w:val="20"/>
        </w:rPr>
        <w:t>(c)</w:t>
      </w:r>
      <w:r>
        <w:rPr>
          <w:rFonts w:ascii="Arial;sans-serif" w:hAnsi="Arial;sans-serif"/>
          <w:b w:val="false"/>
          <w:color w:val="000000"/>
          <w:sz w:val="20"/>
        </w:rPr>
        <w:t>Consultant will submit invoices referencing this Agreement to Allogene at the following address (or at such other address as may be notified by Consultant in writing from time to time):</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Allogene Therapeutics, Inc.</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Attention: invoices@allogene.com</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270 Littlefield Ave.</w:t>
      </w:r>
    </w:p>
    <w:p>
      <w:pPr>
        <w:pStyle w:val="TextBody"/>
        <w:bidi w:val="0"/>
        <w:spacing w:lineRule="auto" w:line="264" w:before="0" w:after="240"/>
        <w:jc w:val="left"/>
        <w:rPr>
          <w:rFonts w:ascii="Arial;sans-serif" w:hAnsi="Arial;sans-serif"/>
          <w:b w:val="false"/>
          <w:color w:val="000000"/>
          <w:sz w:val="20"/>
        </w:rPr>
      </w:pPr>
      <w:r>
        <w:rPr>
          <w:rFonts w:ascii="Arial;sans-serif" w:hAnsi="Arial;sans-serif"/>
          <w:b w:val="false"/>
          <w:color w:val="000000"/>
          <w:sz w:val="20"/>
        </w:rPr>
        <w:t>South San Francisco, CA 94080</w:t>
      </w:r>
    </w:p>
    <w:p>
      <w:pPr>
        <w:pStyle w:val="TextBody"/>
        <w:bidi w:val="0"/>
        <w:spacing w:lineRule="auto" w:line="264" w:before="0" w:after="240"/>
        <w:jc w:val="left"/>
        <w:rPr>
          <w:rFonts w:ascii="Arial;sans-serif" w:hAnsi="Arial;sans-serif"/>
          <w:b w:val="false"/>
          <w:color w:val="000000"/>
          <w:sz w:val="20"/>
        </w:rPr>
      </w:pPr>
      <w:r>
        <w:rPr>
          <w:rFonts w:ascii="Arial;sans-serif" w:hAnsi="Arial;sans-serif"/>
          <w:b w:val="false"/>
          <w:color w:val="000000"/>
          <w:sz w:val="20"/>
        </w:rPr>
        <w:t>Consultant shall include in each invoice the amounts for Services performed as described in Section 3(a) and any reimbursable expenses pursuant to Section 3(e) and, if applicable, Section 3(f).</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1 -</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ind w:left="0" w:right="0" w:firstLine="720"/>
        <w:jc w:val="both"/>
        <w:rPr/>
      </w:pPr>
      <w:r>
        <w:rPr>
          <w:rFonts w:ascii="Arial;sans-serif" w:hAnsi="Arial;sans-serif"/>
          <w:b/>
          <w:color w:val="000000"/>
          <w:sz w:val="20"/>
        </w:rPr>
        <w:t>(d)</w:t>
      </w:r>
      <w:r>
        <w:rPr>
          <w:rFonts w:ascii="Arial;sans-serif" w:hAnsi="Arial;sans-serif"/>
          <w:b w:val="false"/>
          <w:color w:val="000000"/>
          <w:sz w:val="20"/>
        </w:rPr>
        <w:t>Allogene will make payments on invoices by check (within thirty (30) days of receipt of invoice, if applicable), payable to Consultant, with reference to this Agreement at the following address (or at such other address as may be notified by Consultant in writing from time to time).</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Bellco Capital, LLC</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Attention. Esther Wynter</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2049 Century Park East</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Suite 1940</w:t>
      </w:r>
    </w:p>
    <w:p>
      <w:pPr>
        <w:pStyle w:val="TextBody"/>
        <w:bidi w:val="0"/>
        <w:spacing w:lineRule="auto" w:line="264" w:before="0" w:after="240"/>
        <w:jc w:val="left"/>
        <w:rPr>
          <w:rFonts w:ascii="Arial;sans-serif" w:hAnsi="Arial;sans-serif"/>
          <w:b w:val="false"/>
          <w:color w:val="000000"/>
          <w:sz w:val="20"/>
        </w:rPr>
      </w:pPr>
      <w:r>
        <w:rPr>
          <w:rFonts w:ascii="Arial;sans-serif" w:hAnsi="Arial;sans-serif"/>
          <w:b w:val="false"/>
          <w:color w:val="000000"/>
          <w:sz w:val="20"/>
        </w:rPr>
        <w:t>Los Angeles, CA 90067</w:t>
      </w:r>
    </w:p>
    <w:p>
      <w:pPr>
        <w:pStyle w:val="TextBody"/>
        <w:bidi w:val="0"/>
        <w:spacing w:lineRule="auto" w:line="264" w:before="0" w:after="240"/>
        <w:ind w:left="0" w:right="0" w:firstLine="720"/>
        <w:jc w:val="both"/>
        <w:rPr/>
      </w:pPr>
      <w:r>
        <w:rPr>
          <w:rFonts w:ascii="Arial;sans-serif" w:hAnsi="Arial;sans-serif"/>
          <w:b/>
          <w:color w:val="000000"/>
          <w:sz w:val="20"/>
        </w:rPr>
        <w:t>(e)</w:t>
      </w:r>
      <w:r>
        <w:rPr>
          <w:rFonts w:ascii="Arial;sans-serif" w:hAnsi="Arial;sans-serif"/>
          <w:b w:val="false"/>
          <w:color w:val="000000"/>
          <w:sz w:val="20"/>
        </w:rPr>
        <w:t>Allogene shall reimburse Consultant for reasonable and documented out of pocket expenses incurred by Consultant or Belldegrun in connection with arranging for, or the performing of, the Services, including, but not limited to, business class airfare, hotel accommodations, meals, mileage reimbursement at Allogene’s standard rate for personal car use. ground transportation, cell phone expenses, office supplies, couriers, telephone calls, and facsimiles Consultant shall provide Allogene evidence in the form of receipts or equivalents. of such out of pocket expenses substantially concurrently with the submission of the relevant invoice</w:t>
      </w:r>
    </w:p>
    <w:p>
      <w:pPr>
        <w:pStyle w:val="TextBody"/>
        <w:bidi w:val="0"/>
        <w:spacing w:lineRule="auto" w:line="264" w:before="0" w:after="240"/>
        <w:ind w:left="0" w:right="0" w:firstLine="720"/>
        <w:jc w:val="both"/>
        <w:rPr/>
      </w:pPr>
      <w:r>
        <w:rPr>
          <w:rFonts w:ascii="Arial;sans-serif" w:hAnsi="Arial;sans-serif"/>
          <w:b/>
          <w:color w:val="000000"/>
          <w:sz w:val="20"/>
        </w:rPr>
        <w:t>(f)</w:t>
      </w:r>
      <w:r>
        <w:rPr>
          <w:rFonts w:ascii="Arial;sans-serif" w:hAnsi="Arial;sans-serif"/>
          <w:b w:val="false"/>
          <w:color w:val="000000"/>
          <w:sz w:val="20"/>
        </w:rPr>
        <w:t>In addition to the reimbursable amounts provided in Section 3(e), on or promptly following January 1, 2020, Allogene and Consultant agree to negotiate in good faith regarding Allogene providing an additional monthly reimbursement to Consultant to cover Belldegrun’s reasonable health insurance costs Any such agreed reimbursement shall apply retroactively to January 1. 2020.</w:t>
      </w:r>
    </w:p>
    <w:p>
      <w:pPr>
        <w:pStyle w:val="TextBody"/>
        <w:bidi w:val="0"/>
        <w:spacing w:lineRule="auto" w:line="264" w:before="0" w:after="240"/>
        <w:ind w:left="0" w:right="0" w:firstLine="720"/>
        <w:jc w:val="both"/>
        <w:rPr/>
      </w:pPr>
      <w:r>
        <w:rPr>
          <w:rFonts w:ascii="Arial;sans-serif" w:hAnsi="Arial;sans-serif"/>
          <w:b/>
          <w:color w:val="000000"/>
          <w:sz w:val="20"/>
        </w:rPr>
        <w:t>(g)</w:t>
      </w:r>
      <w:r>
        <w:rPr>
          <w:rFonts w:ascii="Arial;sans-serif" w:hAnsi="Arial;sans-serif"/>
          <w:b w:val="false"/>
          <w:color w:val="000000"/>
          <w:sz w:val="20"/>
        </w:rPr>
        <w:t>Allogene and Consultant acknowledge and agree that Allogene’s payments to Consultant under this Agreement constitute fair market value for the Services performed by Consultant.</w:t>
      </w:r>
    </w:p>
    <w:p>
      <w:pPr>
        <w:pStyle w:val="TextBody"/>
        <w:bidi w:val="0"/>
        <w:spacing w:lineRule="auto" w:line="264" w:before="0" w:after="240"/>
        <w:ind w:left="0" w:right="0" w:firstLine="720"/>
        <w:jc w:val="both"/>
        <w:rPr/>
      </w:pPr>
      <w:r>
        <w:rPr>
          <w:rFonts w:ascii="Arial;sans-serif" w:hAnsi="Arial;sans-serif"/>
          <w:b/>
          <w:color w:val="000000"/>
          <w:sz w:val="20"/>
        </w:rPr>
        <w:t>(h)</w:t>
      </w:r>
      <w:r>
        <w:rPr>
          <w:rFonts w:ascii="Arial;sans-serif" w:hAnsi="Arial;sans-serif"/>
          <w:b w:val="false"/>
          <w:color w:val="000000"/>
          <w:sz w:val="20"/>
        </w:rPr>
        <w:t>Consultant understands and agrees that Allogene may be required to post or report to government entities all fees and expenses paid to Consultant under this Agreement. Consultant further agrees to provide, at Allogene’s reasonable request any information necessary for Allogene to make such a required posting or reporting</w:t>
      </w:r>
    </w:p>
    <w:p>
      <w:pPr>
        <w:pStyle w:val="TextBody"/>
        <w:bidi w:val="0"/>
        <w:spacing w:lineRule="auto" w:line="264" w:before="0" w:after="240"/>
        <w:jc w:val="both"/>
        <w:rPr/>
      </w:pPr>
      <w:r>
        <w:rPr>
          <w:rFonts w:ascii="Arial;sans-serif" w:hAnsi="Arial;sans-serif"/>
          <w:b/>
          <w:color w:val="000000"/>
          <w:sz w:val="20"/>
        </w:rPr>
        <w:t>4.</w:t>
      </w:r>
      <w:r>
        <w:rPr>
          <w:rFonts w:ascii="Arial;sans-serif" w:hAnsi="Arial;sans-serif"/>
          <w:b/>
          <w:color w:val="000000"/>
          <w:sz w:val="20"/>
        </w:rPr>
        <w:t>Confidentiality</w:t>
      </w:r>
    </w:p>
    <w:p>
      <w:pPr>
        <w:pStyle w:val="TextBody"/>
        <w:bidi w:val="0"/>
        <w:spacing w:lineRule="auto" w:line="264" w:before="0" w:after="240"/>
        <w:ind w:left="0" w:right="0" w:firstLine="720"/>
        <w:jc w:val="both"/>
        <w:rPr/>
      </w:pPr>
      <w:r>
        <w:rPr>
          <w:rFonts w:ascii="Arial;sans-serif" w:hAnsi="Arial;sans-serif"/>
          <w:b/>
          <w:color w:val="000000"/>
          <w:sz w:val="20"/>
        </w:rPr>
        <w:t>(a)</w:t>
      </w:r>
      <w:r>
        <w:rPr>
          <w:color w:val="000000"/>
        </w:rPr>
        <w:t>“</w:t>
      </w:r>
      <w:r>
        <w:rPr>
          <w:rFonts w:ascii="Arial;sans-serif" w:hAnsi="Arial;sans-serif"/>
          <w:b/>
          <w:color w:val="000000"/>
          <w:sz w:val="20"/>
        </w:rPr>
        <w:t>Confidential Information</w:t>
      </w:r>
      <w:r>
        <w:rPr>
          <w:color w:val="000000"/>
        </w:rPr>
        <w:t xml:space="preserve">” </w:t>
      </w:r>
      <w:r>
        <w:rPr>
          <w:rFonts w:ascii="Arial;sans-serif" w:hAnsi="Arial;sans-serif"/>
          <w:b w:val="false"/>
          <w:color w:val="000000"/>
          <w:sz w:val="20"/>
        </w:rPr>
        <w:t>means all nonpublic information related to a party or its representatives disclosed in oral, written, electronic or other tangible form or otherwise learned by the other party under this Agreement, including but not limited to, the existence of this Agreement or any of its terms (including without limitation, the therapeutic areas of interest and the nature of the Services to be performed), and, with respect to Allogene, information relating to Allogene’s research, development preclinical and clinical programs, data and results; pharmaceutical or biologic candidates and products inventions, works of authorship, trade secrets, processes, conceptions, formulas, patents, patent applications, and licenses; Work Product (as defined in Section 5); business, products, marketing, sales. scientific and technical strategies, programs and results, including costs and prices; suppliers, manufacturers, customers, market data, personnel, and consultants; and other confidential matters related to Allogene. ‘Confidential Information” shall not include any information that:</w:t>
      </w:r>
    </w:p>
    <w:p>
      <w:pPr>
        <w:pStyle w:val="TextBody"/>
        <w:bidi w:val="0"/>
        <w:spacing w:lineRule="auto" w:line="264" w:before="0" w:after="240"/>
        <w:ind w:left="0" w:right="0" w:firstLine="1440"/>
        <w:jc w:val="both"/>
        <w:rPr/>
      </w:pPr>
      <w:r>
        <w:rPr>
          <w:rFonts w:ascii="Arial;sans-serif" w:hAnsi="Arial;sans-serif"/>
          <w:b/>
          <w:color w:val="000000"/>
          <w:sz w:val="20"/>
        </w:rPr>
        <w:t>(i)</w:t>
      </w:r>
      <w:r>
        <w:rPr>
          <w:rFonts w:ascii="Arial;sans-serif" w:hAnsi="Arial;sans-serif"/>
          <w:b w:val="false"/>
          <w:color w:val="000000"/>
          <w:sz w:val="20"/>
        </w:rPr>
        <w:t>a party knew prior to learning such Confidential Information under this Agreement, as demonstrated by written records predating the date such Confidential Information was disclosed under this Agreement;</w:t>
      </w:r>
    </w:p>
    <w:p>
      <w:pPr>
        <w:pStyle w:val="TextBody"/>
        <w:bidi w:val="0"/>
        <w:spacing w:lineRule="auto" w:line="264" w:before="0" w:after="240"/>
        <w:ind w:left="0" w:right="0" w:firstLine="1440"/>
        <w:jc w:val="both"/>
        <w:rPr/>
      </w:pPr>
      <w:r>
        <w:rPr>
          <w:rFonts w:ascii="Arial;sans-serif" w:hAnsi="Arial;sans-serif"/>
          <w:b/>
          <w:color w:val="000000"/>
          <w:sz w:val="20"/>
        </w:rPr>
        <w:t>(ii)</w:t>
      </w:r>
      <w:r>
        <w:rPr>
          <w:rFonts w:ascii="Arial;sans-serif" w:hAnsi="Arial;sans-serif"/>
          <w:b w:val="false"/>
          <w:color w:val="000000"/>
          <w:sz w:val="20"/>
        </w:rPr>
        <w:t>is now, or becomes in the future, publicly available other than by an act or omission of a party in violation of this Agreement;</w:t>
      </w:r>
    </w:p>
    <w:p>
      <w:pPr>
        <w:pStyle w:val="TextBody"/>
        <w:bidi w:val="0"/>
        <w:spacing w:lineRule="auto" w:line="264" w:before="0" w:after="240"/>
        <w:ind w:left="0" w:right="0" w:firstLine="1440"/>
        <w:jc w:val="both"/>
        <w:rPr/>
      </w:pPr>
      <w:r>
        <w:rPr>
          <w:rFonts w:ascii="Arial;sans-serif" w:hAnsi="Arial;sans-serif"/>
          <w:b/>
          <w:color w:val="000000"/>
          <w:sz w:val="20"/>
        </w:rPr>
        <w:t>(iii)</w:t>
      </w:r>
      <w:r>
        <w:rPr>
          <w:rFonts w:ascii="Arial;sans-serif" w:hAnsi="Arial;sans-serif"/>
          <w:b w:val="false"/>
          <w:color w:val="000000"/>
          <w:sz w:val="20"/>
        </w:rPr>
        <w:t>a third party discloses to a party, which disclosure such party knew, or should have known, was made without any restriction on disclosure or breach of confidentiality obligations to which such third party is subject; or</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ind w:left="0" w:right="0" w:firstLine="1440"/>
        <w:jc w:val="both"/>
        <w:rPr/>
      </w:pPr>
      <w:r>
        <w:rPr>
          <w:rFonts w:ascii="Arial;sans-serif" w:hAnsi="Arial;sans-serif"/>
          <w:b/>
          <w:color w:val="000000"/>
          <w:sz w:val="20"/>
        </w:rPr>
        <w:t>(iv)</w:t>
      </w:r>
      <w:r>
        <w:rPr>
          <w:rFonts w:ascii="Arial;sans-serif" w:hAnsi="Arial;sans-serif"/>
          <w:b w:val="false"/>
          <w:color w:val="000000"/>
          <w:sz w:val="20"/>
        </w:rPr>
        <w:t>a party independently develops without use of or reference to Confidential Information, as demonstrated by such party’s independent written records contemporaneous with such development.</w:t>
      </w:r>
    </w:p>
    <w:p>
      <w:pPr>
        <w:pStyle w:val="TextBody"/>
        <w:bidi w:val="0"/>
        <w:spacing w:lineRule="auto" w:line="264" w:before="0" w:after="240"/>
        <w:ind w:left="0" w:right="0" w:firstLine="720"/>
        <w:jc w:val="both"/>
        <w:rPr/>
      </w:pPr>
      <w:r>
        <w:rPr>
          <w:rFonts w:ascii="Arial;sans-serif" w:hAnsi="Arial;sans-serif"/>
          <w:b/>
          <w:color w:val="000000"/>
          <w:sz w:val="20"/>
        </w:rPr>
        <w:t>(b)</w:t>
      </w:r>
      <w:r>
        <w:rPr>
          <w:rFonts w:ascii="Arial;sans-serif" w:hAnsi="Arial;sans-serif"/>
          <w:b w:val="false"/>
          <w:color w:val="000000"/>
          <w:sz w:val="20"/>
        </w:rPr>
        <w:t>During the term of this Agreement and until five (5) years after the expiration or termination of this Agreement, each party</w:t>
      </w:r>
    </w:p>
    <w:p>
      <w:pPr>
        <w:pStyle w:val="TextBody"/>
        <w:bidi w:val="0"/>
        <w:spacing w:lineRule="auto" w:line="264" w:before="0" w:after="240"/>
        <w:ind w:left="0" w:right="0" w:firstLine="1440"/>
        <w:jc w:val="both"/>
        <w:rPr/>
      </w:pPr>
      <w:r>
        <w:rPr>
          <w:rFonts w:ascii="Arial;sans-serif" w:hAnsi="Arial;sans-serif"/>
          <w:b/>
          <w:color w:val="000000"/>
          <w:sz w:val="20"/>
        </w:rPr>
        <w:t>(i)</w:t>
      </w:r>
      <w:r>
        <w:rPr>
          <w:rFonts w:ascii="Arial;sans-serif" w:hAnsi="Arial;sans-serif"/>
          <w:b w:val="false"/>
          <w:color w:val="000000"/>
          <w:sz w:val="20"/>
        </w:rPr>
        <w:t>shall not use Confidential Information other than solely as necessary in connection with the Services;</w:t>
      </w:r>
    </w:p>
    <w:p>
      <w:pPr>
        <w:pStyle w:val="TextBody"/>
        <w:bidi w:val="0"/>
        <w:spacing w:lineRule="auto" w:line="264" w:before="0" w:after="240"/>
        <w:ind w:left="0" w:right="0" w:firstLine="1440"/>
        <w:jc w:val="both"/>
        <w:rPr/>
      </w:pPr>
      <w:r>
        <w:rPr>
          <w:rFonts w:ascii="Arial;sans-serif" w:hAnsi="Arial;sans-serif"/>
          <w:b/>
          <w:color w:val="000000"/>
          <w:sz w:val="20"/>
        </w:rPr>
        <w:t>(ii)</w:t>
      </w:r>
      <w:r>
        <w:rPr>
          <w:rFonts w:ascii="Arial;sans-serif" w:hAnsi="Arial;sans-serif"/>
          <w:b w:val="false"/>
          <w:color w:val="000000"/>
          <w:sz w:val="20"/>
        </w:rPr>
        <w:t>will hold Confidential Information in strictest confidence and shall not disclose Confidential Information to others,</w:t>
      </w:r>
    </w:p>
    <w:p>
      <w:pPr>
        <w:pStyle w:val="TextBody"/>
        <w:bidi w:val="0"/>
        <w:spacing w:lineRule="auto" w:line="264" w:before="0" w:after="240"/>
        <w:ind w:left="0" w:right="0" w:firstLine="1440"/>
        <w:jc w:val="both"/>
        <w:rPr/>
      </w:pPr>
      <w:r>
        <w:rPr>
          <w:rFonts w:ascii="Arial;sans-serif" w:hAnsi="Arial;sans-serif"/>
          <w:b/>
          <w:color w:val="000000"/>
          <w:sz w:val="20"/>
        </w:rPr>
        <w:t>(iii)</w:t>
      </w:r>
      <w:r>
        <w:rPr>
          <w:rFonts w:ascii="Arial;sans-serif" w:hAnsi="Arial;sans-serif"/>
          <w:b w:val="false"/>
          <w:color w:val="000000"/>
          <w:sz w:val="20"/>
        </w:rPr>
        <w:t>will protect the confidentiality of Confidential Information using at least the same level of efforts and measures used to protect such party’s own valuable confidential information, and at least commercially reasonable efforts and measures, including without limitation, limiting access to Confidential Information as necessary in connection with the Services, and</w:t>
      </w:r>
    </w:p>
    <w:p>
      <w:pPr>
        <w:pStyle w:val="TextBody"/>
        <w:bidi w:val="0"/>
        <w:spacing w:lineRule="auto" w:line="264" w:before="0" w:after="240"/>
        <w:ind w:left="0" w:right="0" w:firstLine="1440"/>
        <w:jc w:val="both"/>
        <w:rPr/>
      </w:pPr>
      <w:r>
        <w:rPr>
          <w:rFonts w:ascii="Arial;sans-serif" w:hAnsi="Arial;sans-serif"/>
          <w:b/>
          <w:color w:val="000000"/>
          <w:sz w:val="20"/>
        </w:rPr>
        <w:t>(iv)</w:t>
      </w:r>
      <w:r>
        <w:rPr>
          <w:rFonts w:ascii="Arial;sans-serif" w:hAnsi="Arial;sans-serif"/>
          <w:b w:val="false"/>
          <w:color w:val="000000"/>
          <w:sz w:val="20"/>
        </w:rPr>
        <w:t>will notify the other party as promptly as practicable of any unauthorized use or disclosure of Confidential Information of which such party becomes aware.</w:t>
      </w:r>
    </w:p>
    <w:p>
      <w:pPr>
        <w:pStyle w:val="TextBody"/>
        <w:bidi w:val="0"/>
        <w:spacing w:lineRule="auto" w:line="264" w:before="0" w:after="240"/>
        <w:ind w:left="0" w:right="0" w:firstLine="720"/>
        <w:jc w:val="both"/>
        <w:rPr/>
      </w:pPr>
      <w:r>
        <w:rPr>
          <w:rFonts w:ascii="Arial;sans-serif" w:hAnsi="Arial;sans-serif"/>
          <w:b/>
          <w:color w:val="000000"/>
          <w:sz w:val="20"/>
        </w:rPr>
        <w:t>(c)</w:t>
      </w:r>
      <w:r>
        <w:rPr>
          <w:rFonts w:ascii="Arial;sans-serif" w:hAnsi="Arial;sans-serif"/>
          <w:b w:val="false"/>
          <w:color w:val="000000"/>
          <w:sz w:val="20"/>
        </w:rPr>
        <w:t>Notwithstanding Section 4(b) above, each party may disclose Confidential Information to the extent and to the persons or entities required under applicable governmental law, rule, regulation or order, provided that such party (i) first gives prompt written notice of such disclosure requirement to the other party so as to enable the other party to seek any limitations on or exemptions from such disclosure requirement and (ii) reasonably cooperates at the other party’s request in any such efforts by the other party.</w:t>
      </w:r>
    </w:p>
    <w:p>
      <w:pPr>
        <w:pStyle w:val="TextBody"/>
        <w:bidi w:val="0"/>
        <w:spacing w:lineRule="auto" w:line="264" w:before="0" w:after="240"/>
        <w:ind w:left="0" w:right="0" w:firstLine="720"/>
        <w:jc w:val="both"/>
        <w:rPr/>
      </w:pPr>
      <w:r>
        <w:rPr>
          <w:rFonts w:ascii="Arial;sans-serif" w:hAnsi="Arial;sans-serif"/>
          <w:b/>
          <w:color w:val="000000"/>
          <w:sz w:val="20"/>
        </w:rPr>
        <w:t>(d)</w:t>
      </w:r>
      <w:r>
        <w:rPr>
          <w:rFonts w:ascii="Arial;sans-serif" w:hAnsi="Arial;sans-serif"/>
          <w:b w:val="false"/>
          <w:color w:val="000000"/>
          <w:sz w:val="20"/>
        </w:rPr>
        <w:t>Upon the earlier of the completion of this Agreement or either party’s request for any reason, the other party will (i) immediately cease all use of all Confidential Information and (ii) promptly, at the requesting party’s instruction, either return to the requesting party or destroy all Confidential Information, including any copies, extracts, summaries, or derivative works containing Confidential Information, and certify in writing to the requesting party the completion of such return and/or destruction, provided, however, that each party may retain one copy of this Agreement solely for the purpose of monitoring such party’s surviving obligations under this Agreement. Each party shall not be required to delete or destroy any electronic back-up tapes or other electronic back-up files that have been created solely by their automatic or routine archiving and back-up procedures, to the extent created and retained in a manner consistent with its or their standard archiving and back-up procedures.</w:t>
      </w:r>
    </w:p>
    <w:p>
      <w:pPr>
        <w:pStyle w:val="TextBody"/>
        <w:bidi w:val="0"/>
        <w:spacing w:lineRule="auto" w:line="264" w:before="0" w:after="240"/>
        <w:ind w:left="0" w:right="0" w:firstLine="720"/>
        <w:jc w:val="both"/>
        <w:rPr/>
      </w:pPr>
      <w:r>
        <w:rPr>
          <w:rFonts w:ascii="Arial;sans-serif" w:hAnsi="Arial;sans-serif"/>
          <w:b/>
          <w:color w:val="000000"/>
          <w:sz w:val="20"/>
        </w:rPr>
        <w:t>(e)</w:t>
      </w:r>
      <w:r>
        <w:rPr>
          <w:rFonts w:ascii="Arial;sans-serif" w:hAnsi="Arial;sans-serif"/>
          <w:b w:val="false"/>
          <w:color w:val="000000"/>
          <w:sz w:val="20"/>
        </w:rPr>
        <w:t>Each party retains all right, title and interest in and to Confidential Information related to it This Agreement does not and shall not be construed to give either party any right or license, by implication or otherwise, to any Confidential Information or any intellectual property or other rights owned by or licensed to the other party, except the right to use Confidential Information solely in connection with the Services. Each party may freely transfer, disclose and/or use its Confidential Information for its or others purposes.</w:t>
      </w:r>
    </w:p>
    <w:p>
      <w:pPr>
        <w:pStyle w:val="TextBody"/>
        <w:bidi w:val="0"/>
        <w:spacing w:lineRule="auto" w:line="264" w:before="0" w:after="240"/>
        <w:ind w:left="0" w:right="0" w:firstLine="720"/>
        <w:jc w:val="both"/>
        <w:rPr/>
      </w:pPr>
      <w:r>
        <w:rPr>
          <w:rFonts w:ascii="Arial;sans-serif" w:hAnsi="Arial;sans-serif"/>
          <w:b/>
          <w:color w:val="000000"/>
          <w:sz w:val="20"/>
        </w:rPr>
        <w:t>(f)</w:t>
      </w:r>
      <w:r>
        <w:rPr>
          <w:rFonts w:ascii="Arial;sans-serif" w:hAnsi="Arial;sans-serif"/>
          <w:b w:val="false"/>
          <w:color w:val="000000"/>
          <w:sz w:val="20"/>
        </w:rPr>
        <w:t>Each party acknowledges that any actual or threatened breach of this Section 4 will cause the other party immediate and irreparable harm that cannot be adequately compensated by monetary damages, and therefore agrees that it shall not be required to demonstrate irreparable harm in order to seek or obtain temporary equitable relief in aid or arbitration for actual or threatened breach of this Agreement.</w:t>
      </w:r>
    </w:p>
    <w:p>
      <w:pPr>
        <w:pStyle w:val="TextBody"/>
        <w:bidi w:val="0"/>
        <w:spacing w:lineRule="auto" w:line="264" w:before="0" w:after="240"/>
        <w:ind w:left="0" w:right="0" w:firstLine="720"/>
        <w:jc w:val="both"/>
        <w:rPr/>
      </w:pPr>
      <w:r>
        <w:rPr>
          <w:rFonts w:ascii="Arial;sans-serif" w:hAnsi="Arial;sans-serif"/>
          <w:b/>
          <w:color w:val="000000"/>
          <w:sz w:val="20"/>
        </w:rPr>
        <w:t>(g)</w:t>
      </w:r>
      <w:r>
        <w:rPr>
          <w:rFonts w:ascii="Arial;sans-serif" w:hAnsi="Arial;sans-serif"/>
          <w:b w:val="false"/>
          <w:color w:val="000000"/>
          <w:sz w:val="20"/>
        </w:rPr>
        <w:t xml:space="preserve">Each party agrees not to bring to the other party, or to use in connection with the Services, any materials or documents obtained by such from a third party subject to confidentiality obligations, unless such materials or documents are generally available to the public or such party has authorization from such present or former employer or third party for the possession and unrestricted use of such materials. Each party shall not breach any obligation of confidentiality that such party has to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rFonts w:ascii="Arial;sans-serif" w:hAnsi="Arial;sans-serif"/>
          <w:b w:val="false"/>
          <w:color w:val="000000"/>
          <w:sz w:val="20"/>
        </w:rPr>
      </w:pPr>
      <w:r>
        <w:rPr>
          <w:rFonts w:ascii="Arial;sans-serif" w:hAnsi="Arial;sans-serif"/>
          <w:b w:val="false"/>
          <w:color w:val="000000"/>
          <w:sz w:val="20"/>
        </w:rPr>
        <w:t>present or former employers or clients, and agrees to fulfill all such obligations during the term of this Agreement</w:t>
      </w:r>
    </w:p>
    <w:p>
      <w:pPr>
        <w:pStyle w:val="TextBody"/>
        <w:bidi w:val="0"/>
        <w:spacing w:lineRule="auto" w:line="264" w:before="0" w:after="240"/>
        <w:jc w:val="both"/>
        <w:rPr/>
      </w:pPr>
      <w:r>
        <w:rPr>
          <w:rFonts w:ascii="Arial;sans-serif" w:hAnsi="Arial;sans-serif"/>
          <w:b/>
          <w:color w:val="000000"/>
          <w:sz w:val="20"/>
        </w:rPr>
        <w:t>5.</w:t>
      </w:r>
      <w:r>
        <w:rPr>
          <w:rFonts w:ascii="Arial;sans-serif" w:hAnsi="Arial;sans-serif"/>
          <w:b/>
          <w:color w:val="000000"/>
          <w:sz w:val="20"/>
        </w:rPr>
        <w:t>Intellectual Property</w:t>
      </w:r>
      <w:r>
        <w:rPr>
          <w:rFonts w:ascii="Arial;sans-serif" w:hAnsi="Arial;sans-serif"/>
          <w:b w:val="false"/>
          <w:color w:val="000000"/>
          <w:sz w:val="20"/>
        </w:rPr>
        <w:t>. “</w:t>
      </w:r>
      <w:r>
        <w:rPr>
          <w:rFonts w:ascii="Arial;sans-serif" w:hAnsi="Arial;sans-serif"/>
          <w:b/>
          <w:color w:val="000000"/>
          <w:sz w:val="20"/>
        </w:rPr>
        <w:t>Work Product,</w:t>
      </w:r>
      <w:r>
        <w:rPr>
          <w:color w:val="000000"/>
        </w:rPr>
        <w:t xml:space="preserve">” </w:t>
      </w:r>
      <w:r>
        <w:rPr>
          <w:rFonts w:ascii="Arial;sans-serif" w:hAnsi="Arial;sans-serif"/>
          <w:b w:val="false"/>
          <w:color w:val="000000"/>
          <w:sz w:val="20"/>
        </w:rPr>
        <w:t>as used in this Agreement, means, without limitation, all trade secrets, inventions, ideas, processes, formulas, compounds, assays, data, programs, software, works of authorship. know-how: improvements, discoveries, developments, drawings, designs, reports, techniques and other creations (in each case whether or not patentable) that is generated, conceived, made, reduced to practice or otherwise developed by Consultant. whether alone or jointly with others, in the performance of the Services Work Product shall be the sole and exclusive property of Allogene and Consultant disclaims any rights to Work Product Consultant hereby irrevocably assigns to Allogene all right, title and interest worldwide in and to Work Product and all applicable intellectual and proprietary property rights in and to such Work Product, including without limitation, copyrights, trademarks, trade secrets and patents, whether existing now or in the future. Consultant agrees that Consultant has no right to use any Work Product except as necessary to perform the Services. Consultant hereby grants to Allogene an irrevocable power of attorney to execute on Consultant’s behalf patent, trademark or copyright applications and any other documents required to protect enforce or perfect Allogene’s right, title and interest in and to such Work Product.</w:t>
      </w:r>
    </w:p>
    <w:p>
      <w:pPr>
        <w:pStyle w:val="TextBody"/>
        <w:bidi w:val="0"/>
        <w:spacing w:lineRule="auto" w:line="264" w:before="0" w:after="240"/>
        <w:jc w:val="both"/>
        <w:rPr/>
      </w:pPr>
      <w:r>
        <w:rPr>
          <w:rFonts w:ascii="Arial;sans-serif" w:hAnsi="Arial;sans-serif"/>
          <w:b/>
          <w:color w:val="000000"/>
          <w:sz w:val="20"/>
        </w:rPr>
        <w:t>6.</w:t>
      </w:r>
      <w:r>
        <w:rPr>
          <w:rFonts w:ascii="Arial;sans-serif" w:hAnsi="Arial;sans-serif"/>
          <w:b/>
          <w:color w:val="000000"/>
          <w:sz w:val="20"/>
        </w:rPr>
        <w:t>Consultant Representation and Warranties</w:t>
      </w:r>
      <w:r>
        <w:rPr>
          <w:rFonts w:ascii="Arial;sans-serif" w:hAnsi="Arial;sans-serif"/>
          <w:b w:val="false"/>
          <w:color w:val="000000"/>
          <w:sz w:val="20"/>
        </w:rPr>
        <w:t>. Consultant represents and warrants to Allogene that:</w:t>
      </w:r>
    </w:p>
    <w:p>
      <w:pPr>
        <w:pStyle w:val="TextBody"/>
        <w:bidi w:val="0"/>
        <w:spacing w:lineRule="auto" w:line="264" w:before="0" w:after="240"/>
        <w:ind w:left="0" w:right="0" w:firstLine="720"/>
        <w:jc w:val="both"/>
        <w:rPr/>
      </w:pPr>
      <w:r>
        <w:rPr>
          <w:rFonts w:ascii="Arial;sans-serif" w:hAnsi="Arial;sans-serif"/>
          <w:b/>
          <w:color w:val="000000"/>
          <w:sz w:val="20"/>
        </w:rPr>
        <w:t>(a)</w:t>
      </w:r>
      <w:r>
        <w:rPr>
          <w:rFonts w:ascii="Arial;sans-serif" w:hAnsi="Arial;sans-serif"/>
          <w:b w:val="false"/>
          <w:i/>
          <w:color w:val="000000"/>
          <w:sz w:val="20"/>
        </w:rPr>
        <w:t>Authority</w:t>
      </w:r>
      <w:r>
        <w:rPr>
          <w:rFonts w:ascii="Arial;sans-serif" w:hAnsi="Arial;sans-serif"/>
          <w:b w:val="false"/>
          <w:color w:val="000000"/>
          <w:sz w:val="20"/>
        </w:rPr>
        <w:t>. Consultant has the full right, power and authority to enter into this Agreement and perform Consultant’s obligations hereunder without the consent of any third party and without breach of any agreements with. or obligations to any third party</w:t>
      </w:r>
    </w:p>
    <w:p>
      <w:pPr>
        <w:pStyle w:val="TextBody"/>
        <w:bidi w:val="0"/>
        <w:spacing w:lineRule="auto" w:line="264" w:before="0" w:after="240"/>
        <w:ind w:left="0" w:right="0" w:firstLine="720"/>
        <w:jc w:val="both"/>
        <w:rPr/>
      </w:pPr>
      <w:r>
        <w:rPr>
          <w:rFonts w:ascii="Arial;sans-serif" w:hAnsi="Arial;sans-serif"/>
          <w:b/>
          <w:color w:val="000000"/>
          <w:sz w:val="20"/>
        </w:rPr>
        <w:t>(b)</w:t>
      </w:r>
      <w:r>
        <w:rPr>
          <w:rFonts w:ascii="Arial;sans-serif" w:hAnsi="Arial;sans-serif"/>
          <w:b w:val="false"/>
          <w:i/>
          <w:color w:val="000000"/>
          <w:sz w:val="20"/>
        </w:rPr>
        <w:t>Performance of Services</w:t>
      </w:r>
      <w:r>
        <w:rPr>
          <w:rFonts w:ascii="Arial;sans-serif" w:hAnsi="Arial;sans-serif"/>
          <w:b w:val="false"/>
          <w:color w:val="000000"/>
          <w:sz w:val="20"/>
        </w:rPr>
        <w:t>. Consultant will perform the Services to the best of Consultant’s ability (t) in a professional manner consistent with academic, scientific and industry standards; (ii) in accordance with the standard of care customarily observed with regard to such Services; and (iii) in accordance with Allogene’s code of conduct and core values and all federal, state and local laws, rules and regulations which relate to or govern the activities contemplated by this Agreement.</w:t>
      </w:r>
    </w:p>
    <w:p>
      <w:pPr>
        <w:pStyle w:val="TextBody"/>
        <w:bidi w:val="0"/>
        <w:spacing w:lineRule="auto" w:line="264" w:before="0" w:after="240"/>
        <w:ind w:left="0" w:right="0" w:firstLine="720"/>
        <w:jc w:val="both"/>
        <w:rPr/>
      </w:pPr>
      <w:r>
        <w:rPr>
          <w:rFonts w:ascii="Arial;sans-serif" w:hAnsi="Arial;sans-serif"/>
          <w:b/>
          <w:color w:val="000000"/>
          <w:sz w:val="20"/>
        </w:rPr>
        <w:t>(c)</w:t>
      </w:r>
      <w:r>
        <w:rPr>
          <w:rFonts w:ascii="Arial;sans-serif" w:hAnsi="Arial;sans-serif"/>
          <w:b w:val="false"/>
          <w:i/>
          <w:color w:val="000000"/>
          <w:sz w:val="20"/>
        </w:rPr>
        <w:t>Use of Information</w:t>
      </w:r>
      <w:r>
        <w:rPr>
          <w:rFonts w:ascii="Arial;sans-serif" w:hAnsi="Arial;sans-serif"/>
          <w:b w:val="false"/>
          <w:color w:val="000000"/>
          <w:sz w:val="20"/>
        </w:rPr>
        <w:t>. To Consultant’s knowledge, Allogene may freely use, practice. reproduce, distribute, make and sell all Work Product that Consultant conveys or provides hereunder. without restriction and without infringing or misappropriating any third party (e.g., a university or corporation) intellectual property or other rights</w:t>
      </w:r>
    </w:p>
    <w:p>
      <w:pPr>
        <w:pStyle w:val="TextBody"/>
        <w:bidi w:val="0"/>
        <w:spacing w:lineRule="auto" w:line="264" w:before="0" w:after="240"/>
        <w:ind w:left="0" w:right="0" w:firstLine="720"/>
        <w:jc w:val="both"/>
        <w:rPr/>
      </w:pPr>
      <w:r>
        <w:rPr>
          <w:rFonts w:ascii="Arial;sans-serif" w:hAnsi="Arial;sans-serif"/>
          <w:b/>
          <w:color w:val="000000"/>
          <w:sz w:val="20"/>
        </w:rPr>
        <w:t>(d)</w:t>
      </w:r>
      <w:r>
        <w:rPr>
          <w:rFonts w:ascii="Arial;sans-serif" w:hAnsi="Arial;sans-serif"/>
          <w:b w:val="false"/>
          <w:i/>
          <w:color w:val="000000"/>
          <w:sz w:val="20"/>
        </w:rPr>
        <w:t>Transfer of Intellectual Property</w:t>
      </w:r>
      <w:r>
        <w:rPr>
          <w:rFonts w:ascii="Arial;sans-serif" w:hAnsi="Arial;sans-serif"/>
          <w:b w:val="false"/>
          <w:color w:val="000000"/>
          <w:sz w:val="20"/>
        </w:rPr>
        <w:t>. Consultant will not grant, transfer, assign or convey directly or indirectly, any right, title or interest in or to any Work Product to any third party.</w:t>
      </w:r>
    </w:p>
    <w:p>
      <w:pPr>
        <w:pStyle w:val="TextBody"/>
        <w:bidi w:val="0"/>
        <w:spacing w:lineRule="auto" w:line="264" w:before="0" w:after="240"/>
        <w:ind w:left="0" w:right="0" w:firstLine="720"/>
        <w:jc w:val="both"/>
        <w:rPr/>
      </w:pPr>
      <w:r>
        <w:rPr>
          <w:rFonts w:ascii="Arial;sans-serif" w:hAnsi="Arial;sans-serif"/>
          <w:b/>
          <w:color w:val="000000"/>
          <w:sz w:val="20"/>
        </w:rPr>
        <w:t>(e)</w:t>
      </w:r>
      <w:r>
        <w:rPr>
          <w:rFonts w:ascii="Arial;sans-serif" w:hAnsi="Arial;sans-serif"/>
          <w:b w:val="false"/>
          <w:i/>
          <w:color w:val="000000"/>
          <w:sz w:val="20"/>
        </w:rPr>
        <w:t>Fraud and Abuse and Related Sanctions</w:t>
      </w:r>
      <w:r>
        <w:rPr>
          <w:rFonts w:ascii="Arial;sans-serif" w:hAnsi="Arial;sans-serif"/>
          <w:b w:val="false"/>
          <w:color w:val="000000"/>
          <w:sz w:val="20"/>
        </w:rPr>
        <w:t>. Consultant has not been, and during the term of this Agreement shall not be debarred, excluded or suspended from participation in any federal or state health care program. Consultant represents and warrants that Consultant has not been, and during the term of this Agreement shall not be. debarred or convicted of a crime for which a person can be debarred under 21 U S.C. § 335a. nor threatened to be debarred or indicted for a crime or otherwise engaged in conduct for which a person can be debarred.</w:t>
      </w:r>
    </w:p>
    <w:p>
      <w:pPr>
        <w:pStyle w:val="TextBody"/>
        <w:bidi w:val="0"/>
        <w:spacing w:lineRule="auto" w:line="264" w:before="0" w:after="240"/>
        <w:ind w:left="0" w:right="0" w:firstLine="720"/>
        <w:jc w:val="both"/>
        <w:rPr/>
      </w:pPr>
      <w:r>
        <w:rPr>
          <w:rFonts w:ascii="Arial;sans-serif" w:hAnsi="Arial;sans-serif"/>
          <w:b/>
          <w:color w:val="000000"/>
          <w:sz w:val="20"/>
        </w:rPr>
        <w:t>(f)</w:t>
      </w:r>
      <w:r>
        <w:rPr>
          <w:rFonts w:ascii="Arial;sans-serif" w:hAnsi="Arial;sans-serif"/>
          <w:b w:val="false"/>
          <w:i/>
          <w:color w:val="000000"/>
          <w:sz w:val="20"/>
        </w:rPr>
        <w:t>Anticorruption</w:t>
      </w:r>
      <w:r>
        <w:rPr>
          <w:rFonts w:ascii="Arial;sans-serif" w:hAnsi="Arial;sans-serif"/>
          <w:b w:val="false"/>
          <w:color w:val="000000"/>
          <w:sz w:val="20"/>
        </w:rPr>
        <w:t>. Neither Consultant, nor any of its affiliates, nor any of their respective directors, officers, employees or agents (all of the foregoing, including affiliates collectively, “</w:t>
      </w:r>
      <w:r>
        <w:rPr>
          <w:rFonts w:ascii="Arial;sans-serif" w:hAnsi="Arial;sans-serif"/>
          <w:b/>
          <w:color w:val="000000"/>
          <w:sz w:val="20"/>
        </w:rPr>
        <w:t>Consultant’s Representatives</w:t>
      </w:r>
      <w:r>
        <w:rPr>
          <w:color w:val="000000"/>
        </w:rPr>
        <w:t>”</w:t>
      </w:r>
      <w:r>
        <w:rPr>
          <w:rFonts w:ascii="Arial;sans-serif" w:hAnsi="Arial;sans-serif"/>
          <w:b w:val="false"/>
          <w:color w:val="000000"/>
          <w:sz w:val="20"/>
        </w:rPr>
        <w:t xml:space="preserve">) has taken any action, directly or indirectly, that would result in a violation by such persons of the Foreign Corrupt Practices Act of 1977, as amended (such act, including the rules and regulations thereunder, the -FCPA-), the Convention on Combating Bribery of Foreign Public Officials in International Business Transactions adopted by the Negotiating Conference of the Organisation for Economic Co-operation and Development on 21 November 1997 (such convention, including the rules and regulations thereunder, the </w:t>
      </w:r>
      <w:r>
        <w:rPr>
          <w:color w:val="000000"/>
        </w:rPr>
        <w:t>“</w:t>
      </w:r>
      <w:r>
        <w:rPr>
          <w:rFonts w:ascii="Arial;sans-serif" w:hAnsi="Arial;sans-serif"/>
          <w:b/>
          <w:color w:val="000000"/>
          <w:sz w:val="20"/>
        </w:rPr>
        <w:t>OECD Convention”), the U.K. Bribery Act of 2010 (</w:t>
      </w:r>
      <w:r>
        <w:rPr>
          <w:color w:val="000000"/>
        </w:rPr>
        <w:t>“</w:t>
      </w:r>
      <w:r>
        <w:rPr>
          <w:rFonts w:ascii="Arial;sans-serif" w:hAnsi="Arial;sans-serif"/>
          <w:b w:val="false"/>
          <w:color w:val="000000"/>
          <w:sz w:val="20"/>
        </w:rPr>
        <w:t xml:space="preserve">Bribery Act”), or any other applicable anti-bribery or anticorruption laws, rules or regulations (collectively with the FCPA, the OECD Convention and the Bribery Act_ the “Anticorruption Laws”). Consultant and Consultant’s Representatives have conducted and will conduct their businesses in compliance with the Anticorruption Laws. Consultant has and will have necessary procedures in place to prevent bribery and corrupt conduct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90"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rFonts w:ascii="Arial;sans-serif" w:hAnsi="Arial;sans-serif"/>
          <w:b w:val="false"/>
          <w:color w:val="000000"/>
          <w:sz w:val="20"/>
        </w:rPr>
      </w:pPr>
      <w:r>
        <w:rPr>
          <w:rFonts w:ascii="Arial;sans-serif" w:hAnsi="Arial;sans-serif"/>
          <w:b w:val="false"/>
          <w:color w:val="000000"/>
          <w:sz w:val="20"/>
        </w:rPr>
        <w:t>by Consultant’s Representatives. Without limiting any other remedies at law or at equity, Allogene may, at Allogene’s sole discretion, terminate this Agreement for any violation of the Anticorruption Laws, in accordance with Allogene’s contractual rights.</w:t>
      </w:r>
    </w:p>
    <w:p>
      <w:pPr>
        <w:pStyle w:val="TextBody"/>
        <w:bidi w:val="0"/>
        <w:spacing w:lineRule="auto" w:line="264" w:before="0" w:after="240"/>
        <w:ind w:left="0" w:right="0" w:firstLine="720"/>
        <w:jc w:val="both"/>
        <w:rPr/>
      </w:pPr>
      <w:r>
        <w:rPr>
          <w:rFonts w:ascii="Arial;sans-serif" w:hAnsi="Arial;sans-serif"/>
          <w:b/>
          <w:color w:val="000000"/>
          <w:sz w:val="20"/>
        </w:rPr>
        <w:t>(g)</w:t>
      </w:r>
      <w:r>
        <w:rPr>
          <w:rFonts w:ascii="Arial;sans-serif" w:hAnsi="Arial;sans-serif"/>
          <w:b w:val="false"/>
          <w:color w:val="000000"/>
          <w:sz w:val="20"/>
        </w:rPr>
        <w:t>No Other Restrictive Arrangement. Consultant has not entered and will not enter into any agreement with or obligation to a third party (e.g., a university or corporation) materially inconsistent, incompatible, or conflicting with its obligations under this Agreement.</w:t>
      </w:r>
    </w:p>
    <w:p>
      <w:pPr>
        <w:pStyle w:val="TextBody"/>
        <w:bidi w:val="0"/>
        <w:spacing w:lineRule="auto" w:line="264" w:before="0" w:after="240"/>
        <w:ind w:left="0" w:right="0" w:firstLine="720"/>
        <w:jc w:val="both"/>
        <w:rPr/>
      </w:pPr>
      <w:r>
        <w:rPr>
          <w:rFonts w:ascii="Arial;sans-serif" w:hAnsi="Arial;sans-serif"/>
          <w:b/>
          <w:color w:val="000000"/>
          <w:sz w:val="20"/>
        </w:rPr>
        <w:t>(h)</w:t>
      </w:r>
      <w:r>
        <w:rPr>
          <w:rFonts w:ascii="Arial;sans-serif" w:hAnsi="Arial;sans-serif"/>
          <w:b w:val="false"/>
          <w:color w:val="000000"/>
          <w:sz w:val="20"/>
        </w:rPr>
        <w:t>Breach of Representations and Warranties Consultant covenants that Consultant will notify Allogene in the event any representation or warranty by Consultant set forth in this Agreement shall no longer be true. correct or complete within five business days of becoming aware of such representation or warranty no longer being true, correct or complete.</w:t>
      </w:r>
    </w:p>
    <w:p>
      <w:pPr>
        <w:pStyle w:val="TextBody"/>
        <w:bidi w:val="0"/>
        <w:spacing w:lineRule="auto" w:line="264" w:before="0" w:after="240"/>
        <w:jc w:val="both"/>
        <w:rPr/>
      </w:pPr>
      <w:r>
        <w:rPr>
          <w:rFonts w:ascii="Arial;sans-serif" w:hAnsi="Arial;sans-serif"/>
          <w:b/>
          <w:color w:val="000000"/>
          <w:sz w:val="20"/>
        </w:rPr>
        <w:t>7.</w:t>
      </w:r>
      <w:r>
        <w:rPr>
          <w:rFonts w:ascii="Arial;sans-serif" w:hAnsi="Arial;sans-serif"/>
          <w:b/>
          <w:color w:val="000000"/>
          <w:sz w:val="20"/>
        </w:rPr>
        <w:t>Allogene Representation and Warranties</w:t>
      </w:r>
      <w:r>
        <w:rPr>
          <w:rFonts w:ascii="Arial;sans-serif" w:hAnsi="Arial;sans-serif"/>
          <w:b w:val="false"/>
          <w:color w:val="000000"/>
          <w:sz w:val="20"/>
        </w:rPr>
        <w:t>. Allogene represents and warrants to Consultant that:</w:t>
      </w:r>
    </w:p>
    <w:p>
      <w:pPr>
        <w:pStyle w:val="TextBody"/>
        <w:bidi w:val="0"/>
        <w:spacing w:lineRule="auto" w:line="264" w:before="0" w:after="240"/>
        <w:ind w:left="0" w:right="0" w:firstLine="720"/>
        <w:jc w:val="both"/>
        <w:rPr/>
      </w:pPr>
      <w:r>
        <w:rPr>
          <w:rFonts w:ascii="Arial;sans-serif" w:hAnsi="Arial;sans-serif"/>
          <w:b/>
          <w:color w:val="000000"/>
          <w:sz w:val="20"/>
        </w:rPr>
        <w:t>(a)</w:t>
      </w:r>
      <w:r>
        <w:rPr>
          <w:rFonts w:ascii="Arial;sans-serif" w:hAnsi="Arial;sans-serif"/>
          <w:b w:val="false"/>
          <w:color w:val="000000"/>
          <w:sz w:val="20"/>
        </w:rPr>
        <w:t>Authority. Allogene has the full right, power and authority to enter into this Agreement and perform Allogene’s obligations hereunder without the consent of any third party and without breach of any agreements with or obligations to, any third party.</w:t>
      </w:r>
    </w:p>
    <w:p>
      <w:pPr>
        <w:pStyle w:val="TextBody"/>
        <w:bidi w:val="0"/>
        <w:spacing w:lineRule="auto" w:line="264" w:before="0" w:after="240"/>
        <w:ind w:left="0" w:right="0" w:firstLine="720"/>
        <w:jc w:val="both"/>
        <w:rPr/>
      </w:pPr>
      <w:r>
        <w:rPr>
          <w:rFonts w:ascii="Arial;sans-serif" w:hAnsi="Arial;sans-serif"/>
          <w:b/>
          <w:color w:val="000000"/>
          <w:sz w:val="20"/>
        </w:rPr>
        <w:t>(b)</w:t>
      </w:r>
      <w:r>
        <w:rPr>
          <w:rFonts w:ascii="Arial;sans-serif" w:hAnsi="Arial;sans-serif"/>
          <w:b w:val="false"/>
          <w:color w:val="000000"/>
          <w:sz w:val="20"/>
        </w:rPr>
        <w:t>Performance of Services. Allogene covenants that it will use its commercially reasonable efforts to provide Consultant with all documentation access to personnel and information reasonably necessary for Consultant to perform the Services.</w:t>
      </w:r>
    </w:p>
    <w:p>
      <w:pPr>
        <w:pStyle w:val="TextBody"/>
        <w:bidi w:val="0"/>
        <w:spacing w:lineRule="auto" w:line="264" w:before="0" w:after="240"/>
        <w:ind w:left="0" w:right="0" w:firstLine="720"/>
        <w:jc w:val="both"/>
        <w:rPr/>
      </w:pPr>
      <w:r>
        <w:rPr>
          <w:rFonts w:ascii="Arial;sans-serif" w:hAnsi="Arial;sans-serif"/>
          <w:b/>
          <w:color w:val="000000"/>
          <w:sz w:val="20"/>
        </w:rPr>
        <w:t>(c)</w:t>
      </w:r>
      <w:r>
        <w:rPr>
          <w:rFonts w:ascii="Arial;sans-serif" w:hAnsi="Arial;sans-serif"/>
          <w:b w:val="false"/>
          <w:color w:val="000000"/>
          <w:sz w:val="20"/>
        </w:rPr>
        <w:t>Anticorruption. Neither Allogene, nor any of its affiliates, nor any of their respective directors, officers. employees or agents (all of the foregoing, including affiliates collectively, “</w:t>
      </w:r>
      <w:r>
        <w:rPr>
          <w:rFonts w:ascii="Arial;sans-serif" w:hAnsi="Arial;sans-serif"/>
          <w:b/>
          <w:color w:val="000000"/>
          <w:sz w:val="20"/>
        </w:rPr>
        <w:t>Allogene’s Representatives”</w:t>
      </w:r>
      <w:r>
        <w:rPr>
          <w:rFonts w:ascii="Arial;sans-serif" w:hAnsi="Arial;sans-serif"/>
          <w:b w:val="false"/>
          <w:color w:val="000000"/>
          <w:sz w:val="20"/>
        </w:rPr>
        <w:t>) has taken any action, directly or indirectly: that would result in a violation by such persons of the Anticorruption Laws. Allogene and Allogene s Representatives have conducted and will conduct their businesses in compliance with the Anticorruption Laws Allogene has and will have necessary procedures in place to prevent bribery and corrupt conduct by Allogene s Representatives. Without limiting any other remedies at law or at equity, Consultant may: at Consultant’s sole discretion terminate this Agreement for any violation of the Anticorruption Laws in accordance with Consultant’s contractual rights.</w:t>
      </w:r>
    </w:p>
    <w:p>
      <w:pPr>
        <w:pStyle w:val="TextBody"/>
        <w:bidi w:val="0"/>
        <w:spacing w:lineRule="auto" w:line="264" w:before="0" w:after="240"/>
        <w:ind w:left="0" w:right="0" w:firstLine="720"/>
        <w:jc w:val="both"/>
        <w:rPr/>
      </w:pPr>
      <w:r>
        <w:rPr>
          <w:rFonts w:ascii="Arial;sans-serif" w:hAnsi="Arial;sans-serif"/>
          <w:b/>
          <w:color w:val="000000"/>
          <w:sz w:val="20"/>
        </w:rPr>
        <w:t>(d)</w:t>
      </w:r>
      <w:r>
        <w:rPr>
          <w:rFonts w:ascii="Arial;sans-serif" w:hAnsi="Arial;sans-serif"/>
          <w:b w:val="false"/>
          <w:color w:val="000000"/>
          <w:sz w:val="20"/>
        </w:rPr>
        <w:t>No Other Restrictive Arrangement. Allogene has not entered and will not enter into any agreement with or obligation to a third party (e.g., a university or corporation) materially inconsistent, incompatible, or conflicting with its obligations under this Agreement.</w:t>
      </w:r>
    </w:p>
    <w:p>
      <w:pPr>
        <w:pStyle w:val="TextBody"/>
        <w:bidi w:val="0"/>
        <w:spacing w:lineRule="auto" w:line="264" w:before="0" w:after="240"/>
        <w:ind w:left="0" w:right="0" w:firstLine="720"/>
        <w:jc w:val="both"/>
        <w:rPr/>
      </w:pPr>
      <w:r>
        <w:rPr>
          <w:rFonts w:ascii="Arial;sans-serif" w:hAnsi="Arial;sans-serif"/>
          <w:b/>
          <w:color w:val="000000"/>
          <w:sz w:val="20"/>
        </w:rPr>
        <w:t>(e)</w:t>
      </w:r>
      <w:r>
        <w:rPr>
          <w:rFonts w:ascii="Arial;sans-serif" w:hAnsi="Arial;sans-serif"/>
          <w:b w:val="false"/>
          <w:color w:val="000000"/>
          <w:sz w:val="20"/>
        </w:rPr>
        <w:t>Breach of Representations and Warranties. Allogene covenants that Allogene will notify Consultant in the event any representation or warranty by Allogene set forth in this Agreement shall no longer be true, correct or complete within five business days of becoming aware of such representation or warranty no longer being true, correct or complete.</w:t>
      </w:r>
    </w:p>
    <w:p>
      <w:pPr>
        <w:pStyle w:val="TextBody"/>
        <w:bidi w:val="0"/>
        <w:spacing w:lineRule="auto" w:line="264" w:before="0" w:after="240"/>
        <w:jc w:val="both"/>
        <w:rPr/>
      </w:pPr>
      <w:r>
        <w:rPr>
          <w:rFonts w:ascii="Arial;sans-serif" w:hAnsi="Arial;sans-serif"/>
          <w:b/>
          <w:color w:val="000000"/>
          <w:sz w:val="20"/>
        </w:rPr>
        <w:t>8.</w:t>
      </w:r>
      <w:r>
        <w:rPr>
          <w:rFonts w:ascii="Arial;sans-serif" w:hAnsi="Arial;sans-serif"/>
          <w:b/>
          <w:color w:val="000000"/>
          <w:sz w:val="20"/>
        </w:rPr>
        <w:t>Indemnification</w:t>
      </w:r>
      <w:r>
        <w:rPr>
          <w:rFonts w:ascii="Arial;sans-serif" w:hAnsi="Arial;sans-serif"/>
          <w:b w:val="false"/>
          <w:color w:val="000000"/>
          <w:sz w:val="20"/>
        </w:rPr>
        <w:t>. Each party will defend, indemnify and hold harmless the other party, its officers, directors, employees, sublicensees, customers and agents from and against any and all lasses, liabilities, damages, expenses and costs (including reasonable attorney’s fees) (“</w:t>
      </w:r>
      <w:r>
        <w:rPr>
          <w:rFonts w:ascii="Arial;sans-serif" w:hAnsi="Arial;sans-serif"/>
          <w:b/>
          <w:color w:val="000000"/>
          <w:sz w:val="20"/>
        </w:rPr>
        <w:t>Losses</w:t>
      </w:r>
      <w:r>
        <w:rPr>
          <w:color w:val="000000"/>
        </w:rPr>
        <w:t>”</w:t>
      </w:r>
      <w:r>
        <w:rPr>
          <w:rFonts w:ascii="Arial;sans-serif" w:hAnsi="Arial;sans-serif"/>
          <w:b w:val="false"/>
          <w:color w:val="000000"/>
          <w:sz w:val="20"/>
        </w:rPr>
        <w:t>) resulting from third party claims, demands, suits or proceedings arising out of an actual or alleged material breach of this Agreement; provided that the foregoing indemnification rights will not be available to the extent that a final non-appealable judgment of a court of competent jurisdiction has established that such Losses arose on account of the other party’s gross negligence or willful misconduct. Each party will notify the other party promptly upon learning of a claim, demand, suit, or proceeding that might give rise to a Loss: and the potentially indemnifying party may control defense and settlement thereof provided it does so diligently, in good faith, and using reasonably experienced counsel with expertise in the relevant field. The potentially indemnified party will reasonably cooperate in such defense and/or settlement at the potentially indemnifying party’s request and expense and may participate at its own expense using its own counsel.</w:t>
      </w:r>
    </w:p>
    <w:p>
      <w:pPr>
        <w:pStyle w:val="TextBody"/>
        <w:bidi w:val="0"/>
        <w:spacing w:lineRule="auto" w:line="264" w:before="0" w:after="240"/>
        <w:jc w:val="both"/>
        <w:rPr/>
      </w:pPr>
      <w:r>
        <w:rPr>
          <w:rFonts w:ascii="Arial;sans-serif" w:hAnsi="Arial;sans-serif"/>
          <w:b/>
          <w:color w:val="000000"/>
          <w:sz w:val="20"/>
        </w:rPr>
        <w:t>9.</w:t>
      </w:r>
      <w:r>
        <w:rPr>
          <w:rFonts w:ascii="Arial;sans-serif" w:hAnsi="Arial;sans-serif"/>
          <w:b/>
          <w:color w:val="000000"/>
          <w:sz w:val="20"/>
        </w:rPr>
        <w:t>Arbitration</w:t>
      </w:r>
      <w:r>
        <w:rPr>
          <w:rFonts w:ascii="Arial;sans-serif" w:hAnsi="Arial;sans-serif"/>
          <w:b w:val="false"/>
          <w:color w:val="000000"/>
          <w:sz w:val="20"/>
        </w:rPr>
        <w:t>. The parties recognize that disputes may arise between Consultant and Allogene or their related parties, and that those differences may or may not be related to Consultant’s Services under this Agreement. All such disputes will be resolved by means of binding arbitration as set forth below.</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1" name="Frame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ind w:left="0" w:right="0" w:firstLine="720"/>
        <w:jc w:val="both"/>
        <w:rPr/>
      </w:pPr>
      <w:r>
        <w:rPr>
          <w:rFonts w:ascii="Arial;sans-serif" w:hAnsi="Arial;sans-serif"/>
          <w:b/>
          <w:color w:val="000000"/>
          <w:sz w:val="20"/>
        </w:rPr>
        <w:t>(a)</w:t>
      </w:r>
      <w:r>
        <w:rPr>
          <w:rFonts w:ascii="Arial;sans-serif" w:hAnsi="Arial;sans-serif"/>
          <w:b w:val="false"/>
          <w:i/>
          <w:color w:val="000000"/>
          <w:sz w:val="20"/>
        </w:rPr>
        <w:t>Applicable Law</w:t>
      </w:r>
      <w:r>
        <w:rPr>
          <w:rFonts w:ascii="Arial;sans-serif" w:hAnsi="Arial;sans-serif"/>
          <w:b w:val="false"/>
          <w:color w:val="000000"/>
          <w:sz w:val="20"/>
        </w:rPr>
        <w:t>. The Federal Arbitration Act will govern the interpretation and enforcement of the parties’ agreement to arbitrate. To the extent that the Federal Arbitration Act is inapplicable, the arbitration law of the state in which Consultant provides or last provided Services to Allogene will apply.</w:t>
      </w:r>
    </w:p>
    <w:p>
      <w:pPr>
        <w:pStyle w:val="TextBody"/>
        <w:bidi w:val="0"/>
        <w:spacing w:lineRule="auto" w:line="264" w:before="0" w:after="240"/>
        <w:ind w:left="0" w:right="0" w:firstLine="720"/>
        <w:jc w:val="both"/>
        <w:rPr/>
      </w:pPr>
      <w:r>
        <w:rPr>
          <w:rFonts w:ascii="Arial;sans-serif" w:hAnsi="Arial;sans-serif"/>
          <w:b/>
          <w:color w:val="000000"/>
          <w:sz w:val="20"/>
        </w:rPr>
        <w:t>(b)</w:t>
      </w:r>
      <w:r>
        <w:rPr>
          <w:rFonts w:ascii="Arial;sans-serif" w:hAnsi="Arial;sans-serif"/>
          <w:b w:val="false"/>
          <w:i/>
          <w:color w:val="000000"/>
          <w:sz w:val="20"/>
        </w:rPr>
        <w:t>Claims Subject to Arbitration</w:t>
      </w:r>
      <w:r>
        <w:rPr>
          <w:rFonts w:ascii="Arial;sans-serif" w:hAnsi="Arial;sans-serif"/>
          <w:b w:val="false"/>
          <w:color w:val="000000"/>
          <w:sz w:val="20"/>
        </w:rPr>
        <w:t>. Consultant and Allogene agree to arbitrate all claims or controversies (“</w:t>
      </w:r>
      <w:r>
        <w:rPr>
          <w:rFonts w:ascii="Arial;sans-serif" w:hAnsi="Arial;sans-serif"/>
          <w:b/>
          <w:color w:val="000000"/>
          <w:sz w:val="20"/>
        </w:rPr>
        <w:t>Claims</w:t>
      </w:r>
      <w:r>
        <w:rPr>
          <w:color w:val="000000"/>
        </w:rPr>
        <w:t>”</w:t>
      </w:r>
      <w:r>
        <w:rPr>
          <w:rFonts w:ascii="Arial;sans-serif" w:hAnsi="Arial;sans-serif"/>
          <w:b w:val="false"/>
          <w:color w:val="000000"/>
          <w:sz w:val="20"/>
        </w:rPr>
        <w:t>) arising out of Consultant’s Services under this Agreement, that Allogene may have against (i) Consultant; (ii) Consultants officers, directors, employees or agents in their capacity as such or otherwise; (iii) Consultants, parent, subsidiary and affiliated entities; (4) Consultant’s benefit plans or the plans’ sponsors, fiduciaries, administrators, affiliates and agents; and/or (5) all successors and assigns of any of them or that Consultant may have against any of the following: (1) Allogene; (2) Allogene’s officers, directors, employees or agents in their capacity as such or otherwise; (3) Allogene’s parent, subsidiary and affiliated entities (4) Allogene’s benefit plans or the plans’ sponsors, fiduciaries. administrators, affiliates and agents, and/or (5) all successors and assigns of any of them. The only Claims that are arbitrable are those that are justiciable under applicable federal, state or local law. Arbitrable Claims include but are not limited to contract claims. tort claims, and claims for violation of any federal, state, or other governmental law. statute (including anti-discrimination statutes), regulation, or ordinance, except for any claims that are not arbitrable as a matter of law. The parties agree they will not initiate or prosecute any lawsuit in any way related to any claim covered by this agreement to arbitrate. other than one seeking temporary equitable relief in aid of arbitration. For any lawsuit seeking temporary equitable relief in aid of arbitration. where such an action otherwise is available by law, the parties consent to the personal jurisdiction of the state and federal courts located in the county (or comparable governmental unit) in which Consultant last provided Services to Allogene.</w:t>
      </w:r>
    </w:p>
    <w:p>
      <w:pPr>
        <w:pStyle w:val="TextBody"/>
        <w:bidi w:val="0"/>
        <w:spacing w:lineRule="auto" w:line="264" w:before="0" w:after="240"/>
        <w:ind w:left="0" w:right="0" w:firstLine="720"/>
        <w:jc w:val="both"/>
        <w:rPr/>
      </w:pPr>
      <w:r>
        <w:rPr>
          <w:rFonts w:ascii="Arial;sans-serif" w:hAnsi="Arial;sans-serif"/>
          <w:b/>
          <w:color w:val="000000"/>
          <w:sz w:val="20"/>
        </w:rPr>
        <w:t>(c)</w:t>
      </w:r>
      <w:r>
        <w:rPr>
          <w:rFonts w:ascii="Arial;sans-serif" w:hAnsi="Arial;sans-serif"/>
          <w:b w:val="false"/>
          <w:i/>
          <w:color w:val="000000"/>
          <w:sz w:val="20"/>
        </w:rPr>
        <w:t>Single-Claimant Arbitration Only</w:t>
      </w:r>
      <w:r>
        <w:rPr>
          <w:rFonts w:ascii="Arial;sans-serif" w:hAnsi="Arial;sans-serif"/>
          <w:b w:val="false"/>
          <w:color w:val="000000"/>
          <w:sz w:val="20"/>
        </w:rPr>
        <w:t>. To the maximum extent permitted by law, Consultant and Allogene hereby waive any right to bring on behalf of other persons or entities, or to otherwise participate with other persons or entities in, any class, collective, or representative action (including but not limited to any representative action under the California Private Attorneys General Act (“</w:t>
      </w:r>
      <w:r>
        <w:rPr>
          <w:rFonts w:ascii="Arial;sans-serif" w:hAnsi="Arial;sans-serif"/>
          <w:b/>
          <w:color w:val="000000"/>
          <w:sz w:val="20"/>
        </w:rPr>
        <w:t>PAGA</w:t>
      </w:r>
      <w:r>
        <w:rPr>
          <w:color w:val="000000"/>
        </w:rPr>
        <w:t>”</w:t>
      </w:r>
      <w:r>
        <w:rPr>
          <w:rFonts w:ascii="Arial;sans-serif" w:hAnsi="Arial;sans-serif"/>
          <w:b w:val="false"/>
          <w:color w:val="000000"/>
          <w:sz w:val="20"/>
        </w:rPr>
        <w:t>), or other federal, state or local statute or ordinance of similar effect) Consultant understands, however, that to the maximum extent permitted by law Consultant retains the right to bring claims in arbitration. If a court adjudicating a case involving Allogene and Consultant were to determine that there is an unwaivable right to bring a PAGA representative action, any such representative action shall be brought only in court, and not in arbitration.</w:t>
      </w:r>
    </w:p>
    <w:p>
      <w:pPr>
        <w:pStyle w:val="TextBody"/>
        <w:bidi w:val="0"/>
        <w:spacing w:lineRule="auto" w:line="264" w:before="0" w:after="240"/>
        <w:ind w:left="0" w:right="0" w:firstLine="720"/>
        <w:jc w:val="both"/>
        <w:rPr/>
      </w:pPr>
      <w:r>
        <w:rPr>
          <w:rFonts w:ascii="Arial;sans-serif" w:hAnsi="Arial;sans-serif"/>
          <w:b/>
          <w:color w:val="000000"/>
          <w:sz w:val="20"/>
        </w:rPr>
        <w:t>(d)</w:t>
      </w:r>
      <w:r>
        <w:rPr>
          <w:rFonts w:ascii="Arial;sans-serif" w:hAnsi="Arial;sans-serif"/>
          <w:b w:val="false"/>
          <w:i/>
          <w:color w:val="000000"/>
          <w:sz w:val="20"/>
        </w:rPr>
        <w:t>Time Limits for Commencing Arbitration and Required Notice of All Claims</w:t>
      </w:r>
      <w:r>
        <w:rPr>
          <w:rFonts w:ascii="Arial;sans-serif" w:hAnsi="Arial;sans-serif"/>
          <w:b w:val="false"/>
          <w:color w:val="000000"/>
          <w:sz w:val="20"/>
        </w:rPr>
        <w:t>. The party asserting a Claim (the “Claimant”) must give written notice of any claim to the party against whom the Claim is asserted (the “Respondent”) not later than the expiration of the statute of limitations that the law prescribes for the Claim. Otherwise, the Claim will be deemed waived. The filing of a government complaint will not extend the statute of limitations for presenting any Claim to arbitration. The parties acknowledge that they are encouraged to give written notice of any Claim as soon as possible after the event or events in dispute so that arbitration of any differences may take place promptly. The written notice will identify and describe the nature of all Claims asserted, the facts upon which such Claims are based, and the relief or remedy sought. The notice will be sent to the Respondent by certified or registered mail, return receipt requested</w:t>
      </w:r>
    </w:p>
    <w:p>
      <w:pPr>
        <w:pStyle w:val="TextBody"/>
        <w:bidi w:val="0"/>
        <w:spacing w:lineRule="auto" w:line="264" w:before="0" w:after="240"/>
        <w:ind w:left="0" w:right="0" w:firstLine="720"/>
        <w:jc w:val="both"/>
        <w:rPr/>
      </w:pPr>
      <w:r>
        <w:rPr>
          <w:rFonts w:ascii="Arial;sans-serif" w:hAnsi="Arial;sans-serif"/>
          <w:b/>
          <w:color w:val="000000"/>
          <w:sz w:val="20"/>
        </w:rPr>
        <w:t>(e)</w:t>
      </w:r>
      <w:r>
        <w:rPr>
          <w:rFonts w:ascii="Arial;sans-serif" w:hAnsi="Arial;sans-serif"/>
          <w:b w:val="false"/>
          <w:i/>
          <w:color w:val="000000"/>
          <w:sz w:val="20"/>
        </w:rPr>
        <w:t>Place of Arbitration</w:t>
      </w:r>
      <w:r>
        <w:rPr>
          <w:rFonts w:ascii="Arial;sans-serif" w:hAnsi="Arial;sans-serif"/>
          <w:b w:val="false"/>
          <w:color w:val="000000"/>
          <w:sz w:val="20"/>
        </w:rPr>
        <w:t>. The arbitration will take place in the county (or comparable governmental unit) in which Consultant last provided Services to Allogene, and no dispute affecting Consultant’s rights or responsibilities will be adjudicated in any other venue or forum.</w:t>
      </w:r>
    </w:p>
    <w:p>
      <w:pPr>
        <w:pStyle w:val="TextBody"/>
        <w:bidi w:val="0"/>
        <w:spacing w:lineRule="auto" w:line="264" w:before="0" w:after="240"/>
        <w:ind w:left="0" w:right="0" w:firstLine="720"/>
        <w:jc w:val="both"/>
        <w:rPr/>
      </w:pPr>
      <w:r>
        <w:rPr>
          <w:rFonts w:ascii="Arial;sans-serif" w:hAnsi="Arial;sans-serif"/>
          <w:b/>
          <w:color w:val="000000"/>
          <w:sz w:val="20"/>
        </w:rPr>
        <w:t>(f)</w:t>
      </w:r>
      <w:r>
        <w:rPr>
          <w:rFonts w:ascii="Arial;sans-serif" w:hAnsi="Arial;sans-serif"/>
          <w:b w:val="false"/>
          <w:i/>
          <w:color w:val="000000"/>
          <w:sz w:val="20"/>
        </w:rPr>
        <w:t>Arbitration Procedures</w:t>
      </w:r>
      <w:r>
        <w:rPr>
          <w:rFonts w:ascii="Arial;sans-serif" w:hAnsi="Arial;sans-serif"/>
          <w:b w:val="false"/>
          <w:color w:val="000000"/>
          <w:sz w:val="20"/>
        </w:rPr>
        <w:t>. The arbitration will be held under the auspices of Judicial Arbitration &amp; Mediation Services (“</w:t>
      </w:r>
      <w:r>
        <w:rPr>
          <w:rFonts w:ascii="Arial;sans-serif" w:hAnsi="Arial;sans-serif"/>
          <w:b/>
          <w:color w:val="000000"/>
          <w:sz w:val="20"/>
        </w:rPr>
        <w:t>J•A•M•S</w:t>
      </w:r>
      <w:r>
        <w:rPr>
          <w:color w:val="000000"/>
        </w:rPr>
        <w:t>”</w:t>
      </w:r>
      <w:r>
        <w:rPr>
          <w:rFonts w:ascii="Arial;sans-serif" w:hAnsi="Arial;sans-serif"/>
          <w:b w:val="false"/>
          <w:color w:val="000000"/>
          <w:sz w:val="20"/>
        </w:rPr>
        <w:t>). The arbitration shall be held in accordance with its then-current Comprehensive Arbitration Rules &amp; Procedures (and no other J•A•M•S rules), which are currently available at http://www.jamsadr.com/rules-download-rules Consultant understands that, upon request, Allogene will supply Consultant with a copy of the J•A•M•S rules. The Arbitrator shall apply the substantive law (and the law of remedies, if applicable) of the state in which the claim arose, or federal law, or both, as applicable to the claim(s) asserted. The Arbitrator is without jurisdiction to apply any different substantive law or law of remedies.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92" name="Frame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ind w:left="0" w:right="0" w:firstLine="720"/>
        <w:jc w:val="both"/>
        <w:rPr/>
      </w:pPr>
      <w:r>
        <w:rPr>
          <w:rFonts w:ascii="Arial;sans-serif" w:hAnsi="Arial;sans-serif"/>
          <w:b/>
          <w:color w:val="000000"/>
          <w:sz w:val="20"/>
        </w:rPr>
        <w:t>(g)</w:t>
      </w:r>
      <w:r>
        <w:rPr>
          <w:rFonts w:ascii="Arial;sans-serif" w:hAnsi="Arial;sans-serif"/>
          <w:b w:val="false"/>
          <w:i/>
          <w:color w:val="000000"/>
          <w:sz w:val="20"/>
        </w:rPr>
        <w:t>Arbitration Fees and Costs</w:t>
      </w:r>
      <w:r>
        <w:rPr>
          <w:rFonts w:ascii="Arial;sans-serif" w:hAnsi="Arial;sans-serif"/>
          <w:b w:val="false"/>
          <w:color w:val="000000"/>
          <w:sz w:val="20"/>
        </w:rPr>
        <w:t>. Allogene will be responsible for paying any filing fee and the fees and costs of the Arbitrator; provided, however, that if Consultant is the Claimant, Consultant will contribute an amount equal to the filing fee to initiate a claim in the court of general jurisdiction in the state in which Consultant last provided Services to Allogene. Each party will pay in the first instance the party’s own attorneys’ fees and costs, if any. However, if any party prevails on a statutory Claim that affords the prevailing party attorneys’ fees and costs, or if there is a written agreement providing for attorneys’ fees or costs, the Arbitrator will rule upon a motion for attorneys’ fees or costs under the same standards a court would apply under the law applicable to the Claim(s) at issue.</w:t>
      </w:r>
    </w:p>
    <w:p>
      <w:pPr>
        <w:pStyle w:val="TextBody"/>
        <w:bidi w:val="0"/>
        <w:spacing w:lineRule="auto" w:line="264" w:before="0" w:after="240"/>
        <w:ind w:left="0" w:right="0" w:firstLine="720"/>
        <w:jc w:val="both"/>
        <w:rPr/>
      </w:pPr>
      <w:r>
        <w:rPr>
          <w:rFonts w:ascii="Arial;sans-serif" w:hAnsi="Arial;sans-serif"/>
          <w:b/>
          <w:color w:val="000000"/>
          <w:sz w:val="20"/>
        </w:rPr>
        <w:t>(h)</w:t>
      </w:r>
      <w:r>
        <w:rPr>
          <w:rFonts w:ascii="Arial;sans-serif" w:hAnsi="Arial;sans-serif"/>
          <w:b w:val="false"/>
          <w:i/>
          <w:color w:val="000000"/>
          <w:sz w:val="20"/>
        </w:rPr>
        <w:t>Waiver of Right to Jury Trial</w:t>
      </w:r>
      <w:r>
        <w:rPr>
          <w:rFonts w:ascii="Arial;sans-serif" w:hAnsi="Arial;sans-serif"/>
          <w:b w:val="false"/>
          <w:color w:val="000000"/>
          <w:sz w:val="20"/>
        </w:rPr>
        <w:t>. Consultant and Allogene acknowledge that by entering into this Agreement, they are waiving the right to have Claims decided by trial by jury.</w:t>
      </w:r>
    </w:p>
    <w:p>
      <w:pPr>
        <w:pStyle w:val="TextBody"/>
        <w:bidi w:val="0"/>
        <w:spacing w:lineRule="auto" w:line="264" w:before="0" w:after="240"/>
        <w:jc w:val="both"/>
        <w:rPr/>
      </w:pPr>
      <w:r>
        <w:rPr>
          <w:rFonts w:ascii="Arial;sans-serif" w:hAnsi="Arial;sans-serif"/>
          <w:b/>
          <w:color w:val="000000"/>
          <w:sz w:val="20"/>
        </w:rPr>
        <w:t>10.</w:t>
      </w:r>
      <w:r>
        <w:rPr>
          <w:rFonts w:ascii="Arial;sans-serif" w:hAnsi="Arial;sans-serif"/>
          <w:b/>
          <w:color w:val="000000"/>
          <w:sz w:val="20"/>
        </w:rPr>
        <w:t>Term and Termination</w:t>
      </w:r>
      <w:r>
        <w:rPr>
          <w:rFonts w:ascii="Arial;sans-serif" w:hAnsi="Arial;sans-serif"/>
          <w:b w:val="false"/>
          <w:color w:val="000000"/>
          <w:sz w:val="20"/>
        </w:rPr>
        <w:t>.</w:t>
      </w:r>
    </w:p>
    <w:p>
      <w:pPr>
        <w:pStyle w:val="TextBody"/>
        <w:bidi w:val="0"/>
        <w:spacing w:lineRule="auto" w:line="264" w:before="0" w:after="240"/>
        <w:ind w:left="0" w:right="0" w:firstLine="720"/>
        <w:jc w:val="both"/>
        <w:rPr/>
      </w:pPr>
      <w:r>
        <w:rPr>
          <w:rFonts w:ascii="Arial;sans-serif" w:hAnsi="Arial;sans-serif"/>
          <w:b/>
          <w:color w:val="000000"/>
          <w:sz w:val="20"/>
        </w:rPr>
        <w:t>(a)</w:t>
      </w:r>
      <w:r>
        <w:rPr>
          <w:rFonts w:ascii="Arial;sans-serif" w:hAnsi="Arial;sans-serif"/>
          <w:b w:val="false"/>
          <w:color w:val="000000"/>
          <w:sz w:val="20"/>
        </w:rPr>
        <w:t>The term of this Agreement shall commence on the Effective Date and expire when terminated in accordance with this Section 10. Each party agrees that the Services performed by Consultant and Belldegrun prior to the Effective Date shall relate to and be governed by this Agreement.</w:t>
      </w:r>
    </w:p>
    <w:p>
      <w:pPr>
        <w:pStyle w:val="TextBody"/>
        <w:bidi w:val="0"/>
        <w:spacing w:lineRule="auto" w:line="264" w:before="0" w:after="240"/>
        <w:ind w:left="0" w:right="0" w:firstLine="720"/>
        <w:jc w:val="both"/>
        <w:rPr/>
      </w:pPr>
      <w:r>
        <w:rPr>
          <w:rFonts w:ascii="Arial;sans-serif" w:hAnsi="Arial;sans-serif"/>
          <w:b/>
          <w:color w:val="000000"/>
          <w:sz w:val="20"/>
        </w:rPr>
        <w:t>(b)</w:t>
      </w:r>
      <w:r>
        <w:rPr>
          <w:rFonts w:ascii="Arial;sans-serif" w:hAnsi="Arial;sans-serif"/>
          <w:b w:val="false"/>
          <w:color w:val="000000"/>
          <w:sz w:val="20"/>
        </w:rPr>
        <w:t>Either party may terminate this Agreement for a material breach by the other party upon 15 days’ written notice specifying the breach unless such breach is cured within such 15-day period</w:t>
      </w:r>
    </w:p>
    <w:p>
      <w:pPr>
        <w:pStyle w:val="TextBody"/>
        <w:bidi w:val="0"/>
        <w:spacing w:lineRule="auto" w:line="264" w:before="0" w:after="240"/>
        <w:ind w:left="0" w:right="0" w:firstLine="720"/>
        <w:jc w:val="both"/>
        <w:rPr/>
      </w:pPr>
      <w:r>
        <w:rPr>
          <w:rFonts w:ascii="Arial;sans-serif" w:hAnsi="Arial;sans-serif"/>
          <w:b/>
          <w:color w:val="000000"/>
          <w:sz w:val="20"/>
        </w:rPr>
        <w:t>(c)</w:t>
      </w:r>
      <w:r>
        <w:rPr>
          <w:rFonts w:ascii="Arial;sans-serif" w:hAnsi="Arial;sans-serif"/>
          <w:b w:val="false"/>
          <w:color w:val="000000"/>
          <w:sz w:val="20"/>
        </w:rPr>
        <w:t>Either party may terminate this Agreement at any time upon 30 days’ written notice</w:t>
      </w:r>
    </w:p>
    <w:p>
      <w:pPr>
        <w:pStyle w:val="TextBody"/>
        <w:bidi w:val="0"/>
        <w:spacing w:lineRule="auto" w:line="264" w:before="0" w:after="240"/>
        <w:ind w:left="0" w:right="0" w:firstLine="720"/>
        <w:jc w:val="both"/>
        <w:rPr/>
      </w:pPr>
      <w:r>
        <w:rPr>
          <w:rFonts w:ascii="Arial;sans-serif" w:hAnsi="Arial;sans-serif"/>
          <w:b/>
          <w:color w:val="000000"/>
          <w:sz w:val="20"/>
        </w:rPr>
        <w:t>(d)</w:t>
      </w:r>
      <w:r>
        <w:rPr>
          <w:rFonts w:ascii="Arial;sans-serif" w:hAnsi="Arial;sans-serif"/>
          <w:b w:val="false"/>
          <w:color w:val="000000"/>
          <w:sz w:val="20"/>
        </w:rPr>
        <w:t>Allogene agrees to pay any accrued and unpaid amounts under Section 3 within 10 days of the expiration or termination of this Agreement</w:t>
      </w:r>
    </w:p>
    <w:p>
      <w:pPr>
        <w:pStyle w:val="TextBody"/>
        <w:bidi w:val="0"/>
        <w:spacing w:lineRule="auto" w:line="264" w:before="0" w:after="240"/>
        <w:ind w:left="0" w:right="0" w:firstLine="720"/>
        <w:jc w:val="both"/>
        <w:rPr/>
      </w:pPr>
      <w:r>
        <w:rPr>
          <w:rFonts w:ascii="Arial;sans-serif" w:hAnsi="Arial;sans-serif"/>
          <w:b/>
          <w:color w:val="000000"/>
          <w:sz w:val="20"/>
        </w:rPr>
        <w:t>(e)</w:t>
      </w:r>
      <w:r>
        <w:rPr>
          <w:rFonts w:ascii="Arial;sans-serif" w:hAnsi="Arial;sans-serif"/>
          <w:b w:val="false"/>
          <w:color w:val="000000"/>
          <w:sz w:val="20"/>
        </w:rPr>
        <w:t>Expiration or termination of this Agreement shall not affect accrued rights or obligations of the parties. Sections 4, 5, 6(c) 6(d) 6(h) 7(e), 8, 9, 10(d), 10(e) and 11 shall survive termination or expiration of this Agreement</w:t>
      </w:r>
    </w:p>
    <w:p>
      <w:pPr>
        <w:pStyle w:val="TextBody"/>
        <w:bidi w:val="0"/>
        <w:spacing w:lineRule="auto" w:line="264" w:before="0" w:after="240"/>
        <w:ind w:left="0" w:right="0" w:firstLine="720"/>
        <w:jc w:val="both"/>
        <w:rPr/>
      </w:pPr>
      <w:r>
        <w:rPr>
          <w:rFonts w:ascii="Arial;sans-serif" w:hAnsi="Arial;sans-serif"/>
          <w:b/>
          <w:color w:val="000000"/>
          <w:sz w:val="20"/>
        </w:rPr>
        <w:t>(f)</w:t>
      </w:r>
      <w:r>
        <w:rPr>
          <w:rFonts w:ascii="Arial;sans-serif" w:hAnsi="Arial;sans-serif"/>
          <w:b w:val="false"/>
          <w:color w:val="000000"/>
          <w:sz w:val="20"/>
        </w:rPr>
        <w:t>If Consultant and Allogene continue or re-establish consulting after expiration of this Agreement without a subsequent written consulting agreement the terms and conditions of this Agreement shall be construed by course of conduct to have been renewed or reinstated for an additional period equal to the length of such further consulting.</w:t>
      </w:r>
    </w:p>
    <w:p>
      <w:pPr>
        <w:pStyle w:val="TextBody"/>
        <w:bidi w:val="0"/>
        <w:spacing w:lineRule="auto" w:line="264" w:before="0" w:after="240"/>
        <w:jc w:val="both"/>
        <w:rPr/>
      </w:pPr>
      <w:r>
        <w:rPr>
          <w:rFonts w:ascii="Arial;sans-serif" w:hAnsi="Arial;sans-serif"/>
          <w:b/>
          <w:color w:val="000000"/>
          <w:sz w:val="20"/>
        </w:rPr>
        <w:t>11.</w:t>
      </w:r>
      <w:r>
        <w:rPr>
          <w:rFonts w:ascii="Arial;sans-serif" w:hAnsi="Arial;sans-serif"/>
          <w:b/>
          <w:color w:val="000000"/>
          <w:sz w:val="20"/>
        </w:rPr>
        <w:t>General</w:t>
      </w:r>
    </w:p>
    <w:p>
      <w:pPr>
        <w:pStyle w:val="TextBody"/>
        <w:bidi w:val="0"/>
        <w:spacing w:lineRule="auto" w:line="264" w:before="0" w:after="240"/>
        <w:ind w:left="0" w:right="0" w:firstLine="720"/>
        <w:jc w:val="both"/>
        <w:rPr/>
      </w:pPr>
      <w:r>
        <w:rPr>
          <w:rFonts w:ascii="Arial;sans-serif" w:hAnsi="Arial;sans-serif"/>
          <w:b/>
          <w:color w:val="000000"/>
          <w:sz w:val="20"/>
        </w:rPr>
        <w:t>(a)</w:t>
      </w:r>
      <w:r>
        <w:rPr>
          <w:rFonts w:ascii="Arial;sans-serif" w:hAnsi="Arial;sans-serif"/>
          <w:b w:val="false"/>
          <w:color w:val="000000"/>
          <w:sz w:val="20"/>
        </w:rPr>
        <w:t>Except as otherwise provided in this Agreement, this Agreement shall be interpreted and enforced in accordance with the laws of the State of California, regardless of any choice of law principles.</w:t>
      </w:r>
    </w:p>
    <w:p>
      <w:pPr>
        <w:pStyle w:val="TextBody"/>
        <w:bidi w:val="0"/>
        <w:spacing w:lineRule="auto" w:line="264" w:before="0" w:after="240"/>
        <w:ind w:left="0" w:right="0" w:firstLine="720"/>
        <w:jc w:val="both"/>
        <w:rPr/>
      </w:pPr>
      <w:r>
        <w:rPr>
          <w:rFonts w:ascii="Arial;sans-serif" w:hAnsi="Arial;sans-serif"/>
          <w:b/>
          <w:color w:val="000000"/>
          <w:sz w:val="20"/>
        </w:rPr>
        <w:t>(b)</w:t>
      </w:r>
      <w:r>
        <w:rPr>
          <w:rFonts w:ascii="Arial;sans-serif" w:hAnsi="Arial;sans-serif"/>
          <w:b w:val="false"/>
          <w:color w:val="000000"/>
          <w:sz w:val="20"/>
        </w:rPr>
        <w:t>Any purported assignment or delegation by Consultant of this Agreement in whole or in part without the prior written consent of Allogene shall be void. Allogene has the unconditional right to assign this Agreement If there is no resulting material change in the scope of the Services. This Agreement shall be binding upon the parties, their successors and their permitted assigns.</w:t>
      </w:r>
    </w:p>
    <w:p>
      <w:pPr>
        <w:pStyle w:val="TextBody"/>
        <w:bidi w:val="0"/>
        <w:spacing w:lineRule="auto" w:line="264" w:before="0" w:after="240"/>
        <w:ind w:left="0" w:right="0" w:firstLine="720"/>
        <w:jc w:val="both"/>
        <w:rPr/>
      </w:pPr>
      <w:r>
        <w:rPr>
          <w:rFonts w:ascii="Arial;sans-serif" w:hAnsi="Arial;sans-serif"/>
          <w:b/>
          <w:color w:val="000000"/>
          <w:sz w:val="20"/>
        </w:rPr>
        <w:t>(c)</w:t>
      </w:r>
      <w:r>
        <w:rPr>
          <w:rFonts w:ascii="Arial;sans-serif" w:hAnsi="Arial;sans-serif"/>
          <w:b w:val="false"/>
          <w:color w:val="000000"/>
          <w:sz w:val="20"/>
        </w:rPr>
        <w:t>All notices under this Agreement shall be in writing and shall be deemed given upon personal delivery, e-mail, facsimile transmission with electronic confirmation of transmission, delivery by internationally- or nationally-recognized bonded courier service, or seven (7) days after sending by certified or registered mail, postage prepaid and return receipt requested, to the following addresses, e-mail addresses or facsimile numbers of the respective parties or such other address, e-mail address or facsimile number as given by notice under this Section 11(c):</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93" name="Frame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Allogene:    Allogene Therapeutics, Inc.</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Attention: General Counsel</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270 Littlefield Ave.</w:t>
      </w:r>
    </w:p>
    <w:p>
      <w:pPr>
        <w:pStyle w:val="TextBody"/>
        <w:bidi w:val="0"/>
        <w:spacing w:lineRule="auto" w:line="264" w:before="0" w:after="240"/>
        <w:jc w:val="left"/>
        <w:rPr>
          <w:rFonts w:ascii="Arial;sans-serif" w:hAnsi="Arial;sans-serif"/>
          <w:b w:val="false"/>
          <w:color w:val="000000"/>
          <w:sz w:val="20"/>
        </w:rPr>
      </w:pPr>
      <w:r>
        <w:rPr>
          <w:rFonts w:ascii="Arial;sans-serif" w:hAnsi="Arial;sans-serif"/>
          <w:b w:val="false"/>
          <w:color w:val="000000"/>
          <w:sz w:val="20"/>
        </w:rPr>
        <w:t>South San Francisco, CA 94080</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Consultant:    BeIlco Capital, LLC</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Attention: Arie Belldegrun, M.D</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811 Strada Vecchia Rd</w:t>
      </w:r>
    </w:p>
    <w:p>
      <w:pPr>
        <w:pStyle w:val="TextBody"/>
        <w:bidi w:val="0"/>
        <w:spacing w:lineRule="auto" w:line="264" w:before="0" w:after="240"/>
        <w:jc w:val="left"/>
        <w:rPr>
          <w:rFonts w:ascii="Arial;sans-serif" w:hAnsi="Arial;sans-serif"/>
          <w:b w:val="false"/>
          <w:color w:val="000000"/>
          <w:sz w:val="20"/>
        </w:rPr>
      </w:pPr>
      <w:r>
        <w:rPr>
          <w:rFonts w:ascii="Arial;sans-serif" w:hAnsi="Arial;sans-serif"/>
          <w:b w:val="false"/>
          <w:color w:val="000000"/>
          <w:sz w:val="20"/>
        </w:rPr>
        <w:t>Los Angeles, CA 90077</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with a copy to:    Bellco Capital, LLC</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Attention: Joshua Bradley</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2049 Century Park East</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Suite 1940</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Los Angeles, CA 90067</w:t>
      </w:r>
    </w:p>
    <w:p>
      <w:pPr>
        <w:pStyle w:val="TextBody"/>
        <w:bidi w:val="0"/>
        <w:spacing w:lineRule="auto" w:line="264" w:before="0" w:after="240"/>
        <w:jc w:val="left"/>
        <w:rPr>
          <w:rFonts w:ascii="Arial;sans-serif" w:hAnsi="Arial;sans-serif"/>
          <w:b w:val="false"/>
          <w:color w:val="000000"/>
          <w:sz w:val="20"/>
        </w:rPr>
      </w:pPr>
      <w:r>
        <w:rPr>
          <w:rFonts w:ascii="Arial;sans-serif" w:hAnsi="Arial;sans-serif"/>
          <w:b w:val="false"/>
          <w:color w:val="000000"/>
          <w:sz w:val="20"/>
        </w:rPr>
        <w:t>E-mail: josh@bellcocapital.com</w:t>
      </w:r>
    </w:p>
    <w:p>
      <w:pPr>
        <w:pStyle w:val="TextBody"/>
        <w:bidi w:val="0"/>
        <w:spacing w:lineRule="auto" w:line="264" w:before="0" w:after="240"/>
        <w:ind w:left="0" w:right="0" w:firstLine="720"/>
        <w:jc w:val="both"/>
        <w:rPr/>
      </w:pPr>
      <w:r>
        <w:rPr>
          <w:rFonts w:ascii="Arial;sans-serif" w:hAnsi="Arial;sans-serif"/>
          <w:b/>
          <w:color w:val="000000"/>
          <w:sz w:val="20"/>
        </w:rPr>
        <w:t>(d)</w:t>
      </w:r>
      <w:r>
        <w:rPr>
          <w:rFonts w:ascii="Arial;sans-serif" w:hAnsi="Arial;sans-serif"/>
          <w:b w:val="false"/>
          <w:color w:val="000000"/>
          <w:sz w:val="20"/>
        </w:rPr>
        <w:t>Under no circumstances will either party use the name of the other or any of its personnel for promotional materials, literature, press releases, advertising or any other public announcement without such party’s prior written consent, except in connection with submissions to academic and/or medical journals or if required by applicable law, or any professional association of which Consultant is a member.</w:t>
      </w:r>
    </w:p>
    <w:p>
      <w:pPr>
        <w:pStyle w:val="TextBody"/>
        <w:bidi w:val="0"/>
        <w:spacing w:lineRule="auto" w:line="264" w:before="0" w:after="240"/>
        <w:ind w:left="0" w:right="0" w:firstLine="720"/>
        <w:jc w:val="both"/>
        <w:rPr/>
      </w:pPr>
      <w:r>
        <w:rPr>
          <w:rFonts w:ascii="Arial;sans-serif" w:hAnsi="Arial;sans-serif"/>
          <w:b/>
          <w:color w:val="000000"/>
          <w:sz w:val="20"/>
        </w:rPr>
        <w:t>(e)</w:t>
      </w:r>
      <w:r>
        <w:rPr>
          <w:rFonts w:ascii="Arial;sans-serif" w:hAnsi="Arial;sans-serif"/>
          <w:b w:val="false"/>
          <w:color w:val="000000"/>
          <w:sz w:val="20"/>
        </w:rPr>
        <w:t>This Agreement sets forth the complete, final and exclusive agreement between the parties and supersedes and terminates all prior agreements and understandings between the parties. No amendment to, or waiver of right under, this Agreement is effective unless in writing signed by authorized representatives of the parties. No waiver by a party of any breach of this Agreement shall be a waiver of any preceding or succeeding breach. No waiver by a party of any right under this Agreement shall be construed as a waiver of any other right. If any provision of this Agreement is judicially or administratively determined to be unenforceable, the provision will be reformed to most nearly approximate the parties’ original intent, but otherwise this Agreement will continue in full force and effect.</w:t>
      </w:r>
    </w:p>
    <w:p>
      <w:pPr>
        <w:pStyle w:val="TextBody"/>
        <w:bidi w:val="0"/>
        <w:spacing w:lineRule="auto" w:line="264" w:before="0" w:after="240"/>
        <w:ind w:left="0" w:right="0" w:firstLine="720"/>
        <w:jc w:val="both"/>
        <w:rPr/>
      </w:pPr>
      <w:r>
        <w:rPr>
          <w:rFonts w:ascii="Arial;sans-serif" w:hAnsi="Arial;sans-serif"/>
          <w:b/>
          <w:color w:val="000000"/>
          <w:sz w:val="20"/>
        </w:rPr>
        <w:t>(f)</w:t>
      </w:r>
      <w:r>
        <w:rPr>
          <w:rFonts w:ascii="Arial;sans-serif" w:hAnsi="Arial;sans-serif"/>
          <w:b w:val="false"/>
          <w:color w:val="000000"/>
          <w:sz w:val="20"/>
        </w:rPr>
        <w:t>Consultant’s relationship with Allogene will be that of an independent contractor, and nothing in this Agreement shall be construed to create a partnership, joint venture, or employer-employee relationship. Consultant is not the agent of Allogene and is not authorized to make any representation, contract, or commitment of behalf of Allogene. Furthermore, the parties acknowledge and agree that Allogene shall have no right to control the manner, means or method by which Consultant performs the Services. Rather, Allogene shall be authorized only to: (i) direct Consultant as to the elements of the Services to be performed, the result desired to be achieved and when the Services are to be completed; and (ii) supervise and assess the performance of the Services by Consultant for the limited purposes of assuring that the Services have been performed and determining the result of Consultant’s efforts. Consultant shall have the right to perform services for other companies at the same time as it is performing Services for the Company, subject to the confidentiality and other restrictions herein. Consultant and Allogene agree that Allogene will treat Consultant as an independent contractor for tax purposes and that Consultant will be solely responsible for all tax information returns and forms and payments required to be filed with or made to any federal, state or local tax authority with respect to Consultant’s performance of Services and receipt of fees under this Agreement. Consultant accepts exclusive liability for complying with all applicable federal, state and local laws governing employment, including obligations such as payment of federal, state or local income, withholding or other taxes, social security, disability and other contributions based on fees paid to Consultant under this Agreement, and will defend, indemnify and hold harmless Allogene, its officers, directors, employees, contractors, agents and representatives from and against any and all such taxes or contributions, including any and all costs, liabilities, penalties and interest.</w:t>
      </w:r>
    </w:p>
    <w:p>
      <w:pPr>
        <w:pStyle w:val="TextBody"/>
        <w:bidi w:val="0"/>
        <w:spacing w:lineRule="auto" w:line="264" w:before="0" w:after="240"/>
        <w:ind w:left="0" w:right="0" w:firstLine="720"/>
        <w:jc w:val="both"/>
        <w:rPr/>
      </w:pPr>
      <w:r>
        <w:rPr>
          <w:rFonts w:ascii="Arial;sans-serif" w:hAnsi="Arial;sans-serif"/>
          <w:b/>
          <w:color w:val="000000"/>
          <w:sz w:val="20"/>
        </w:rPr>
        <w:t>(g)</w:t>
      </w:r>
      <w:r>
        <w:rPr>
          <w:rFonts w:ascii="Arial;sans-serif" w:hAnsi="Arial;sans-serif"/>
          <w:b w:val="false"/>
          <w:color w:val="000000"/>
          <w:sz w:val="20"/>
        </w:rPr>
        <w:t xml:space="preserve">Consultant hereby acknowledges and agrees that Consultant is not and shall not be entitled to any benefits by Allogene or under any of Allogene’s health, retirement, pension, stock option, stock award, stock purchase, fringe benefit, severance, profit sharing or welfare plans, as a direct result of its performance of Services under this Agreement, and hereby further agrees that should Consultant ever be deemed entitled to any such benefits, Consultant hereby irrevocably waives any present or future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94"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rFonts w:ascii="Arial;sans-serif" w:hAnsi="Arial;sans-serif"/>
          <w:b w:val="false"/>
          <w:color w:val="000000"/>
          <w:sz w:val="20"/>
        </w:rPr>
      </w:pPr>
      <w:r>
        <w:rPr>
          <w:rFonts w:ascii="Arial;sans-serif" w:hAnsi="Arial;sans-serif"/>
          <w:b w:val="false"/>
          <w:color w:val="000000"/>
          <w:sz w:val="20"/>
        </w:rPr>
        <w:t>entitlement thereto, and agrees to hold Allogene harmless against any loss or expense that may result from Consultant’s collection of such benefits for any reason.</w:t>
      </w:r>
    </w:p>
    <w:p>
      <w:pPr>
        <w:pStyle w:val="TextBody"/>
        <w:bidi w:val="0"/>
        <w:spacing w:lineRule="auto" w:line="264" w:before="0" w:after="240"/>
        <w:ind w:left="0" w:right="0" w:firstLine="720"/>
        <w:jc w:val="both"/>
        <w:rPr/>
      </w:pPr>
      <w:r>
        <w:rPr>
          <w:rFonts w:ascii="Arial;sans-serif" w:hAnsi="Arial;sans-serif"/>
          <w:b/>
          <w:color w:val="000000"/>
          <w:sz w:val="20"/>
        </w:rPr>
        <w:t>(h)</w:t>
      </w:r>
      <w:r>
        <w:rPr>
          <w:rFonts w:ascii="Arial;sans-serif" w:hAnsi="Arial;sans-serif"/>
          <w:b w:val="false"/>
          <w:color w:val="000000"/>
          <w:sz w:val="20"/>
        </w:rPr>
        <w:t>Consultant consents to Allogene and Allogene’s selected third party suppliers holding and processing anywhere in the world, both manually and electronically, any data collected by Allogene or such suppliers regarding Consultant for all purposes solely relating to this Agreement and for the purpose of administering and managing Allogene’s or such suppliers’ business and for compliance with applicable procedures, laws and regulations.</w:t>
      </w:r>
    </w:p>
    <w:p>
      <w:pPr>
        <w:pStyle w:val="TextBody"/>
        <w:bidi w:val="0"/>
        <w:spacing w:lineRule="auto" w:line="264" w:before="0" w:after="240"/>
        <w:jc w:val="left"/>
        <w:rPr>
          <w:rFonts w:ascii="Arial;sans-serif" w:hAnsi="Arial;sans-serif"/>
          <w:b w:val="false"/>
          <w:color w:val="000000"/>
          <w:sz w:val="20"/>
        </w:rPr>
      </w:pPr>
      <w:r>
        <w:rPr>
          <w:rFonts w:ascii="Arial;sans-serif" w:hAnsi="Arial;sans-serif"/>
          <w:b w:val="false"/>
          <w:color w:val="000000"/>
          <w:sz w:val="20"/>
        </w:rPr>
        <w:t>The parties hereto have entered into this Agreement as of the Effective Date by their duly authorized representatives.</w:t>
      </w:r>
    </w:p>
    <w:tbl>
      <w:tblPr>
        <w:tblW w:w="6554" w:type="dxa"/>
        <w:jc w:val="left"/>
        <w:tblInd w:w="0" w:type="dxa"/>
        <w:tblLayout w:type="fixed"/>
        <w:tblCellMar>
          <w:top w:w="28" w:type="dxa"/>
          <w:left w:w="28" w:type="dxa"/>
          <w:bottom w:w="28" w:type="dxa"/>
          <w:right w:w="28" w:type="dxa"/>
        </w:tblCellMar>
      </w:tblPr>
      <w:tblGrid>
        <w:gridCol w:w="1086"/>
        <w:gridCol w:w="954"/>
        <w:gridCol w:w="959"/>
        <w:gridCol w:w="1040"/>
        <w:gridCol w:w="1040"/>
        <w:gridCol w:w="1475"/>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BELLCO CAPITAL, LLC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/s/Arie Belldegrun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Arie Belldegrun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Chairman, Bellco Capital    </w:t>
            </w:r>
          </w:p>
        </w:tc>
        <w:tc>
          <w:tcPr>
            <w:tcW w:w="3555"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ALLOGENE THERAPEUTICS, INC.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 David Chang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David Chang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CEO, Allogene Therapeutics    </w:t>
            </w:r>
          </w:p>
        </w:tc>
      </w:tr>
    </w:tbl>
    <w:p>
      <w:pPr>
        <w:pStyle w:val="TextBody"/>
        <w:bidi w:val="0"/>
        <w:spacing w:before="0" w:after="24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5"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A</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SERVICES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Consultant will assign Belldegrun to provide to Allogene: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Advice and analysis with respect to Allogene cell therapy business, including without limitation business strategy and potential opportunities in the field of cell therapy and any other aspect of such cell therapy business as Allogene and Belldegrun may agree from time to time;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Undertake such activities as may be agreed by the parties from time to time during the term of this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6"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FIRST AMENDMENT TO CONSULTING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First Amendment (“Amendment”) to the Consulting Agreement, dated August 9, 2018 (the “Consulting Agreement”), between Bellco Capital LLC, having an address at 2049 Century Park East, Suite 1940, Los Angeles, CA 90067 and Allogene Therapeutics, Inc., a Delaware corporation, having a principal place of business at 210 East Grand Avenue, South San Francisco, CA 94080 is made as of January [ ], 2019 (“Amendment Effective Date”). Capitalized terms used but not defined herein shall have the meaning set forth in the Consulting Agreement.</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Consultant and Allogene have entered into that certain Consulting Agreement, and</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the Parties desire to amend the Consulting Agreement.</w:t>
      </w:r>
    </w:p>
    <w:p>
      <w:pPr>
        <w:pStyle w:val="TextBody"/>
        <w:bidi w:val="0"/>
        <w:spacing w:lineRule="auto" w:line="288" w:before="0" w:after="240"/>
        <w:jc w:val="left"/>
        <w:rPr/>
      </w:pPr>
      <w:r>
        <w:rPr>
          <w:rFonts w:ascii="Arial;sans-serif" w:hAnsi="Arial;sans-serif"/>
          <w:b/>
          <w:color w:val="000000"/>
          <w:sz w:val="20"/>
        </w:rPr>
        <w:t>NOW</w:t>
      </w:r>
      <w:r>
        <w:rPr>
          <w:rFonts w:ascii="Arial;sans-serif" w:hAnsi="Arial;sans-serif"/>
          <w:b w:val="false"/>
          <w:color w:val="000000"/>
          <w:sz w:val="20"/>
        </w:rPr>
        <w:t xml:space="preserve">, </w:t>
      </w:r>
      <w:r>
        <w:rPr>
          <w:rFonts w:ascii="Arial;sans-serif" w:hAnsi="Arial;sans-serif"/>
          <w:b/>
          <w:color w:val="000000"/>
          <w:sz w:val="20"/>
        </w:rPr>
        <w:t>THEREFORE</w:t>
      </w:r>
      <w:r>
        <w:rPr>
          <w:rFonts w:ascii="Arial;sans-serif" w:hAnsi="Arial;sans-serif"/>
          <w:b w:val="false"/>
          <w:color w:val="000000"/>
          <w:sz w:val="20"/>
        </w:rPr>
        <w:t>, Consultant and Allogene hereby agree as follows: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1.The first sentence of Section 3(a) of the Consulting Agreement shall be amended by deleting and replacing the monthly payment of “$26,250.00” with “$33,333.33”, which change shall be effective as of January 1, 2019.</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2.In recognition of extraordinary performance by Consultant and the completion of Allogene’s 2018 corporate goals, the Performance Award for 2018 shall be $122,668.27, notwithstanding anything to the contrary in the Agreement. This Performance Award shall be paid pursuant to the terms of the Agreement.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3.Notwithstanding anything to the contrary in the Agreement, and subject to ratification by the Board of Directors, or an authorized committee thereof, of Allogene (“Ratification”), Consultant shall be entitled to certain of the benefits of Allogene’s Change in Control and Severance Benefit plan, as approved by the Board of Directors on June 25, 2018 (the “Plan”), as may be amended from time to time, as if Consultant were an Eligible Employee as defined under the Plan pursuant to Section 3(b) of the Plan. Consultant shall execute the participation agreement set forth in Exhibit A hereto, which shall become effective upon Ratification.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4.Except as specifically amended above, all terms and conditions of the Consulting Agreement shall remain in full force and effect and are hereby ratified and confirmed. In the event that there are any conflicts between the terms of this Amendment and the terms of the Consulting Agreement, the terms of this Amendment shall control. The terms of this Amendment shall be controlling over any terms of any purchase order, sales acknowledgement, quote, invoice, or other such documents issued by either party.</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Signature page follows</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21995"/>
                <wp:effectExtent l="0" t="0" r="0" b="0"/>
                <wp:wrapNone/>
                <wp:docPr id="97" name="Frame97"/>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318905913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318905913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20"/>
        </w:rPr>
        <w:t>IN WITNESS WHEREOF</w:t>
      </w:r>
      <w:r>
        <w:rPr>
          <w:rFonts w:ascii="Arial;sans-serif" w:hAnsi="Arial;sans-serif"/>
          <w:b w:val="false"/>
          <w:color w:val="000000"/>
          <w:sz w:val="20"/>
        </w:rPr>
        <w:t>, Contractor and Allogene have caused this Amendment to be duly executed and delivered as of the Amendment Effective Date written above.</w:t>
      </w:r>
    </w:p>
    <w:tbl>
      <w:tblPr>
        <w:tblW w:w="5354" w:type="dxa"/>
        <w:jc w:val="left"/>
        <w:tblInd w:w="0" w:type="dxa"/>
        <w:tblLayout w:type="fixed"/>
        <w:tblCellMar>
          <w:top w:w="28" w:type="dxa"/>
          <w:left w:w="28" w:type="dxa"/>
          <w:bottom w:w="28" w:type="dxa"/>
          <w:right w:w="28" w:type="dxa"/>
        </w:tblCellMar>
      </w:tblPr>
      <w:tblGrid>
        <w:gridCol w:w="1053"/>
        <w:gridCol w:w="927"/>
        <w:gridCol w:w="929"/>
        <w:gridCol w:w="714"/>
        <w:gridCol w:w="714"/>
        <w:gridCol w:w="1017"/>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Allogene Therapeutics, Inc.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 David Chang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David Chang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President and CEO    </w:t>
            </w:r>
          </w:p>
          <w:p>
            <w:pPr>
              <w:pStyle w:val="TableContents"/>
              <w:bidi w:val="0"/>
              <w:spacing w:lineRule="auto" w:line="288" w:before="0" w:after="240"/>
              <w:jc w:val="left"/>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January 16, 2019    </w:t>
            </w:r>
          </w:p>
        </w:tc>
        <w:tc>
          <w:tcPr>
            <w:tcW w:w="2445"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Bellco Capital, LLC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 Joshua Bradley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Joshua Bradley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Executive Officer    </w:t>
            </w:r>
          </w:p>
          <w:p>
            <w:pPr>
              <w:pStyle w:val="TableContents"/>
              <w:bidi w:val="0"/>
              <w:spacing w:lineRule="auto" w:line="288" w:before="0" w:after="240"/>
              <w:jc w:val="left"/>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January 16, 2019    </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72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64" w:before="0" w:after="240"/>
        <w:jc w:val="center"/>
        <w:rPr>
          <w:rFonts w:ascii="Times New Roman;serif" w:hAnsi="Times New Roman;serif"/>
          <w:b/>
          <w:color w:val="000000"/>
          <w:sz w:val="22"/>
        </w:rPr>
      </w:pPr>
      <w:r>
        <w:rPr>
          <w:rFonts w:ascii="Times New Roman;serif" w:hAnsi="Times New Roman;serif"/>
          <w:b/>
          <w:color w:val="000000"/>
          <w:sz w:val="22"/>
        </w:rPr>
        <w:t>ALLOGENE THERAPEUTICS, INC.</w:t>
      </w:r>
    </w:p>
    <w:p>
      <w:pPr>
        <w:pStyle w:val="TextBody"/>
        <w:bidi w:val="0"/>
        <w:spacing w:lineRule="auto" w:line="264" w:before="0" w:after="240"/>
        <w:jc w:val="center"/>
        <w:rPr>
          <w:rFonts w:ascii="Times New Roman;serif" w:hAnsi="Times New Roman;serif"/>
          <w:b/>
          <w:color w:val="000000"/>
          <w:sz w:val="22"/>
        </w:rPr>
      </w:pPr>
      <w:r>
        <w:rPr>
          <w:rFonts w:ascii="Times New Roman;serif" w:hAnsi="Times New Roman;serif"/>
          <w:b/>
          <w:color w:val="000000"/>
          <w:sz w:val="22"/>
        </w:rPr>
        <w:t>CHANGE IN CONTROL AND SEVERANCE BENEFIT</w:t>
      </w:r>
    </w:p>
    <w:p>
      <w:pPr>
        <w:pStyle w:val="TextBody"/>
        <w:bidi w:val="0"/>
        <w:spacing w:lineRule="auto" w:line="264" w:before="0" w:after="240"/>
        <w:jc w:val="center"/>
        <w:rPr>
          <w:rFonts w:ascii="Times New Roman;serif" w:hAnsi="Times New Roman;serif"/>
          <w:b/>
          <w:color w:val="000000"/>
          <w:sz w:val="22"/>
        </w:rPr>
      </w:pPr>
      <w:r>
        <w:rPr>
          <w:rFonts w:ascii="Times New Roman;serif" w:hAnsi="Times New Roman;serif"/>
          <w:b/>
          <w:color w:val="000000"/>
          <w:sz w:val="22"/>
        </w:rPr>
        <w:t>PLAN</w:t>
      </w:r>
    </w:p>
    <w:p>
      <w:pPr>
        <w:pStyle w:val="TextBody"/>
        <w:bidi w:val="0"/>
        <w:spacing w:lineRule="auto" w:line="264" w:before="0" w:after="240"/>
        <w:jc w:val="center"/>
        <w:rPr>
          <w:rFonts w:ascii="Times New Roman;serif" w:hAnsi="Times New Roman;serif"/>
          <w:b/>
          <w:color w:val="000000"/>
          <w:sz w:val="22"/>
        </w:rPr>
      </w:pPr>
      <w:r>
        <w:rPr>
          <w:rFonts w:ascii="Times New Roman;serif" w:hAnsi="Times New Roman;serif"/>
          <w:b/>
          <w:color w:val="000000"/>
          <w:sz w:val="22"/>
        </w:rPr>
        <w:t>PARTICIPATION AGREEMENT</w:t>
      </w:r>
    </w:p>
    <w:p>
      <w:pPr>
        <w:pStyle w:val="TextBody"/>
        <w:bidi w:val="0"/>
        <w:spacing w:lineRule="auto" w:line="264" w:before="0" w:after="240"/>
        <w:jc w:val="left"/>
        <w:rPr>
          <w:rFonts w:ascii="Times New Roman;serif" w:hAnsi="Times New Roman;serif"/>
          <w:b/>
          <w:color w:val="000000"/>
          <w:sz w:val="22"/>
        </w:rPr>
      </w:pPr>
      <w:r>
        <w:rPr>
          <w:rFonts w:ascii="Times New Roman;serif" w:hAnsi="Times New Roman;serif"/>
          <w:b/>
          <w:color w:val="000000"/>
          <w:sz w:val="22"/>
        </w:rPr>
        <w:t>Name:    Bellco Capital LLC (“Consultant”)</w:t>
      </w:r>
    </w:p>
    <w:p>
      <w:pPr>
        <w:pStyle w:val="TextBody"/>
        <w:bidi w:val="0"/>
        <w:spacing w:lineRule="auto" w:line="264" w:before="0" w:after="240"/>
        <w:jc w:val="left"/>
        <w:rPr>
          <w:rFonts w:ascii="Times New Roman;serif" w:hAnsi="Times New Roman;serif"/>
          <w:b/>
          <w:color w:val="000000"/>
          <w:sz w:val="22"/>
        </w:rPr>
      </w:pPr>
      <w:r>
        <w:rPr>
          <w:rFonts w:ascii="Times New Roman;serif" w:hAnsi="Times New Roman;serif"/>
          <w:b/>
          <w:color w:val="000000"/>
          <w:sz w:val="22"/>
        </w:rPr>
        <w:t>Section 1.    Eligibility.</w:t>
      </w:r>
    </w:p>
    <w:p>
      <w:pPr>
        <w:pStyle w:val="TextBody"/>
        <w:bidi w:val="0"/>
        <w:spacing w:lineRule="auto" w:line="264" w:before="0" w:after="240"/>
        <w:ind w:left="0" w:right="0" w:firstLine="720"/>
        <w:jc w:val="both"/>
        <w:rPr/>
      </w:pPr>
      <w:r>
        <w:rPr>
          <w:rFonts w:ascii="Times New Roman;serif" w:hAnsi="Times New Roman;serif"/>
          <w:b w:val="false"/>
          <w:color w:val="000000"/>
          <w:sz w:val="22"/>
        </w:rPr>
        <w:t>You have been designated as eligible to participate in the Allogene Therapeutics, Inc. Change in Control and Severance Benefit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 copy of which is attached as Annex I to this Agreement pursuant to Section 3(b) of the Plan. Capitalized terms not explicitly defined in this Agreement but defined in the Plan shall have the same definitions as in the Plan.</w:t>
      </w:r>
    </w:p>
    <w:p>
      <w:pPr>
        <w:pStyle w:val="TextBody"/>
        <w:bidi w:val="0"/>
        <w:spacing w:lineRule="auto" w:line="264" w:before="0" w:after="240"/>
        <w:jc w:val="left"/>
        <w:rPr>
          <w:rFonts w:ascii="Times New Roman;serif" w:hAnsi="Times New Roman;serif"/>
          <w:b/>
          <w:color w:val="000000"/>
          <w:sz w:val="22"/>
        </w:rPr>
      </w:pPr>
      <w:r>
        <w:rPr>
          <w:rFonts w:ascii="Times New Roman;serif" w:hAnsi="Times New Roman;serif"/>
          <w:b/>
          <w:color w:val="000000"/>
          <w:sz w:val="22"/>
        </w:rPr>
        <w:t>Section 2.    Severance Benefits</w:t>
      </w:r>
    </w:p>
    <w:p>
      <w:pPr>
        <w:pStyle w:val="TextBody"/>
        <w:bidi w:val="0"/>
        <w:spacing w:lineRule="auto" w:line="264" w:before="0" w:after="240"/>
        <w:ind w:left="0" w:right="0" w:firstLine="720"/>
        <w:jc w:val="both"/>
        <w:rPr/>
      </w:pPr>
      <w:r>
        <w:rPr>
          <w:rFonts w:ascii="Times New Roman;serif" w:hAnsi="Times New Roman;serif"/>
          <w:b w:val="false"/>
          <w:color w:val="000000"/>
          <w:sz w:val="22"/>
        </w:rPr>
        <w:t>Subject to the terms of the Plan and Section 3 of this Agreement, if you are terminated in a Covered Termination, and meet all the other eligibility requirements set forth in the Plan, you will receive the severance benefits set forth in this Section 2. For clarity, the term “termination of employment” as used in the Plan shall be deemed to refer to the termination of the Consultant Agreement, dated August 8,2018, as amended, between you and Allogene Therapeutics, Inc. (the “</w:t>
      </w:r>
      <w:r>
        <w:rPr>
          <w:rFonts w:ascii="Times New Roman;serif" w:hAnsi="Times New Roman;serif"/>
          <w:b/>
          <w:i/>
          <w:color w:val="000000"/>
          <w:sz w:val="22"/>
        </w:rPr>
        <w:t>Consulting Agreement</w:t>
      </w:r>
      <w:r>
        <w:rPr>
          <w:color w:val="000000"/>
        </w:rPr>
        <w:t>”</w:t>
      </w:r>
      <w:r>
        <w:rPr>
          <w:rFonts w:ascii="Times New Roman;serif" w:hAnsi="Times New Roman;serif"/>
          <w:b w:val="false"/>
          <w:color w:val="000000"/>
          <w:sz w:val="22"/>
        </w:rPr>
        <w:t xml:space="preserve">). The term “employee” as used in the Plan shall be deemed to be the Consultant, and any actions of or services provided by Dr. Arie Belldegrun provided under the Consulting Agreement shall be deemed to be Consultant services. Any actions or inactions by an “employee” as that term is used under the definition of “Cause” in the Plan shall include any actions or inactions by Dr. Arie Belldegrun, whether or not provided or authorized under the Consulting Agreement. If the Consulting Agreement is terminated due to Dr. Arie Belldegrun no longer being employed by or providing services to Consultant, such termination shall not be deemed to be an “Involuntary Termination” under the Plan. </w:t>
      </w:r>
    </w:p>
    <w:p>
      <w:pPr>
        <w:pStyle w:val="TextBody"/>
        <w:bidi w:val="0"/>
        <w:spacing w:lineRule="auto" w:line="264"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hereby agree that one of the conditions of receiving severance benefits shall be the execution of a Release by the Consultant and by Dr. Arie Belldegrun.</w:t>
      </w:r>
    </w:p>
    <w:p>
      <w:pPr>
        <w:pStyle w:val="TextBody"/>
        <w:bidi w:val="0"/>
        <w:spacing w:lineRule="auto" w:line="264"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schedule for provision of severance benefits as set forth below, the provision of any severance benefits under this Section 2 is subject to any delay in payment that may be required under Section 5 of the Plan.</w:t>
      </w:r>
    </w:p>
    <w:p>
      <w:pPr>
        <w:pStyle w:val="TextBody"/>
        <w:bidi w:val="0"/>
        <w:spacing w:lineRule="auto" w:line="264" w:before="0" w:after="240"/>
        <w:ind w:left="0" w:right="0" w:firstLine="1440"/>
        <w:jc w:val="both"/>
        <w:rPr/>
      </w:pPr>
      <w:r>
        <w:rPr>
          <w:rFonts w:ascii="Times New Roman;serif" w:hAnsi="Times New Roman;serif"/>
          <w:b/>
          <w:color w:val="000000"/>
          <w:sz w:val="22"/>
        </w:rPr>
        <w:t>(a)</w:t>
      </w:r>
      <w:r>
        <w:rPr>
          <w:color w:val="000000"/>
        </w:rPr>
        <w:t>    </w:t>
      </w:r>
      <w:r>
        <w:rPr>
          <w:rFonts w:ascii="Times New Roman;serif" w:hAnsi="Times New Roman;serif"/>
          <w:b/>
          <w:color w:val="000000"/>
          <w:sz w:val="22"/>
        </w:rPr>
        <w:t>Regular Termination</w:t>
      </w:r>
      <w:r>
        <w:rPr>
          <w:rFonts w:ascii="Times New Roman;serif" w:hAnsi="Times New Roman;serif"/>
          <w:b w:val="false"/>
          <w:color w:val="000000"/>
          <w:sz w:val="22"/>
        </w:rPr>
        <w:t>. Upon a Regular Termination, you shall be eligible to receive the following severance benefits.</w:t>
      </w:r>
    </w:p>
    <w:p>
      <w:pPr>
        <w:pStyle w:val="TextBody"/>
        <w:bidi w:val="0"/>
        <w:spacing w:lineRule="auto" w:line="264" w:before="0" w:after="240"/>
        <w:ind w:left="0" w:right="0" w:firstLine="2160"/>
        <w:jc w:val="both"/>
        <w:rPr/>
      </w:pPr>
      <w:r>
        <w:rPr>
          <w:rFonts w:ascii="Times New Roman;serif" w:hAnsi="Times New Roman;serif"/>
          <w:b/>
          <w:color w:val="000000"/>
          <w:sz w:val="22"/>
        </w:rPr>
        <w:t>(1)</w:t>
      </w:r>
      <w:r>
        <w:rPr>
          <w:color w:val="000000"/>
        </w:rPr>
        <w:t>    </w:t>
      </w:r>
      <w:r>
        <w:rPr>
          <w:rFonts w:ascii="Times New Roman;serif" w:hAnsi="Times New Roman;serif"/>
          <w:b w:val="false"/>
          <w:i/>
          <w:color w:val="000000"/>
          <w:sz w:val="22"/>
        </w:rPr>
        <w:t>Cash Severance Benefit</w:t>
      </w:r>
      <w:r>
        <w:rPr>
          <w:rFonts w:ascii="Times New Roman;serif" w:hAnsi="Times New Roman;serif"/>
          <w:b w:val="false"/>
          <w:color w:val="000000"/>
          <w:sz w:val="22"/>
        </w:rPr>
        <w:t>. You will be entitled to continue to receive your then-current Consulting Agreement monthly consulting fee for twenty-four (24) months (such period of months, the “Severance Period”) commencing on the first month following the effective date of your Release.</w:t>
      </w:r>
    </w:p>
    <w:p>
      <w:pPr>
        <w:pStyle w:val="TextBody"/>
        <w:bidi w:val="0"/>
        <w:spacing w:lineRule="auto" w:line="264" w:before="0" w:after="240"/>
        <w:jc w:val="both"/>
        <w:rPr/>
      </w:pPr>
      <w:r>
        <w:rPr>
          <w:rFonts w:ascii="Times New Roman;serif" w:hAnsi="Times New Roman;serif"/>
          <w:b w:val="false"/>
          <w:i/>
          <w:color w:val="000000"/>
          <w:sz w:val="22"/>
        </w:rPr>
        <w:t>Reserved</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ind w:left="0" w:right="0" w:firstLine="1440"/>
        <w:jc w:val="both"/>
        <w:rPr/>
      </w:pPr>
      <w:r>
        <w:rPr>
          <w:rFonts w:ascii="Times New Roman;serif" w:hAnsi="Times New Roman;serif"/>
          <w:b/>
          <w:color w:val="000000"/>
          <w:sz w:val="22"/>
        </w:rPr>
        <w:t>(b)</w:t>
      </w:r>
      <w:r>
        <w:rPr>
          <w:color w:val="000000"/>
        </w:rPr>
        <w:t>    </w:t>
      </w:r>
      <w:r>
        <w:rPr>
          <w:rFonts w:ascii="Times New Roman;serif" w:hAnsi="Times New Roman;serif"/>
          <w:b/>
          <w:color w:val="000000"/>
          <w:sz w:val="22"/>
        </w:rPr>
        <w:t>Change in Control Termination</w:t>
      </w:r>
      <w:r>
        <w:rPr>
          <w:rFonts w:ascii="Times New Roman;serif" w:hAnsi="Times New Roman;serif"/>
          <w:b w:val="false"/>
          <w:color w:val="000000"/>
          <w:sz w:val="22"/>
        </w:rPr>
        <w:t>. Upon a Change in Control Termination, you shall be eligible to receive the following severance benefits. For the avoidance of doubt, in no event shall you be entitled to benefits under both Section 2(a) and this Section 2(b). If you are eligible for severance benefits under both Section 2(a) and this Section 2(b), you shall receive the benefits set forth in this Section 2(b) and such benefits shall be reduced by any benefits previously provided to you under Section 2(a).</w:t>
      </w:r>
    </w:p>
    <w:p>
      <w:pPr>
        <w:pStyle w:val="TextBody"/>
        <w:bidi w:val="0"/>
        <w:spacing w:lineRule="auto" w:line="264" w:before="0" w:after="240"/>
        <w:ind w:left="0" w:right="0" w:firstLine="2160"/>
        <w:jc w:val="both"/>
        <w:rPr/>
      </w:pPr>
      <w:r>
        <w:rPr>
          <w:rFonts w:ascii="Times New Roman;serif" w:hAnsi="Times New Roman;serif"/>
          <w:b/>
          <w:color w:val="000000"/>
          <w:sz w:val="22"/>
        </w:rPr>
        <w:t>(1)</w:t>
      </w:r>
      <w:r>
        <w:rPr>
          <w:color w:val="000000"/>
        </w:rPr>
        <w:t>    </w:t>
      </w:r>
      <w:r>
        <w:rPr>
          <w:rFonts w:ascii="Times New Roman;serif" w:hAnsi="Times New Roman;serif"/>
          <w:b w:val="false"/>
          <w:i/>
          <w:color w:val="000000"/>
          <w:sz w:val="22"/>
        </w:rPr>
        <w:t>Cash Severance Benefit</w:t>
      </w:r>
      <w:r>
        <w:rPr>
          <w:rFonts w:ascii="Times New Roman;serif" w:hAnsi="Times New Roman;serif"/>
          <w:b w:val="false"/>
          <w:color w:val="000000"/>
          <w:sz w:val="22"/>
        </w:rPr>
        <w:t>. You will receive the cash severance benefit described in Section 2(a)(1) above, except that:</w:t>
      </w:r>
    </w:p>
    <w:p>
      <w:pPr>
        <w:pStyle w:val="TextBody"/>
        <w:bidi w:val="0"/>
        <w:spacing w:lineRule="auto" w:line="264" w:before="0" w:after="240"/>
        <w:ind w:left="0" w:right="0" w:firstLine="2880"/>
        <w:jc w:val="both"/>
        <w:rPr/>
      </w:pPr>
      <w:r>
        <w:rPr>
          <w:rFonts w:ascii="Times New Roman;serif" w:hAnsi="Times New Roman;serif"/>
          <w:b/>
          <w:color w:val="000000"/>
          <w:sz w:val="22"/>
        </w:rPr>
        <w:t>(i)</w:t>
      </w:r>
      <w:r>
        <w:rPr>
          <w:color w:val="000000"/>
        </w:rPr>
        <w:t>    </w:t>
      </w:r>
      <w:r>
        <w:rPr>
          <w:rFonts w:ascii="Times New Roman;serif" w:hAnsi="Times New Roman;serif"/>
          <w:b w:val="false"/>
          <w:color w:val="000000"/>
          <w:sz w:val="22"/>
        </w:rPr>
        <w:t>your Severance Period will be twenty-four (24) months and the Consulting Agreement monthly consulting fee payments will commence on the first month following the later of (i) the effective date of your Release, or (ii) the effective date of the Closing; and</w:t>
      </w:r>
    </w:p>
    <w:p>
      <w:pPr>
        <w:pStyle w:val="TextBody"/>
        <w:bidi w:val="0"/>
        <w:spacing w:lineRule="auto" w:line="264" w:before="0" w:after="240"/>
        <w:ind w:left="0" w:right="0" w:firstLine="2880"/>
        <w:jc w:val="both"/>
        <w:rPr/>
      </w:pPr>
      <w:r>
        <w:rPr>
          <w:rFonts w:ascii="Times New Roman;serif" w:hAnsi="Times New Roman;serif"/>
          <w:b/>
          <w:color w:val="000000"/>
          <w:sz w:val="22"/>
        </w:rPr>
        <w:t>(ii)</w:t>
      </w:r>
      <w:r>
        <w:rPr>
          <w:color w:val="000000"/>
        </w:rPr>
        <w:t>    </w:t>
      </w:r>
      <w:r>
        <w:rPr>
          <w:rFonts w:ascii="Times New Roman;serif" w:hAnsi="Times New Roman;serif"/>
          <w:b w:val="false"/>
          <w:color w:val="000000"/>
          <w:sz w:val="22"/>
        </w:rPr>
        <w:t>you will additionally be entitled to the maximum amount of your annual consultation performance award set forth in Section 3(b) of the Consulting Agreement for the year in which your Change in Control Termination occurs, in an amount equal to such annual consultation performance award for such year, if any, multiplied by the quotient of the Severance Period divided by twelve (12), which shall be payable in a lump sum payment within ten (10) business days following the later of (i) the effective date of your Release, or (ii) the effective date of the Closing.</w:t>
      </w:r>
    </w:p>
    <w:p>
      <w:pPr>
        <w:pStyle w:val="TextBody"/>
        <w:bidi w:val="0"/>
        <w:spacing w:lineRule="auto" w:line="264" w:before="0" w:after="240"/>
        <w:ind w:left="0" w:right="0" w:firstLine="2160"/>
        <w:jc w:val="both"/>
        <w:rPr/>
      </w:pPr>
      <w:r>
        <w:rPr>
          <w:rFonts w:ascii="Times New Roman;serif" w:hAnsi="Times New Roman;serif"/>
          <w:b/>
          <w:color w:val="000000"/>
          <w:sz w:val="22"/>
        </w:rPr>
        <w:t>(2)</w:t>
      </w:r>
      <w:r>
        <w:rPr>
          <w:color w:val="000000"/>
        </w:rPr>
        <w:t>    </w:t>
      </w:r>
      <w:r>
        <w:rPr>
          <w:rFonts w:ascii="Times New Roman;serif" w:hAnsi="Times New Roman;serif"/>
          <w:b w:val="false"/>
          <w:i/>
          <w:color w:val="000000"/>
          <w:sz w:val="22"/>
        </w:rPr>
        <w:t>Reserved</w:t>
      </w:r>
      <w:r>
        <w:rPr>
          <w:rFonts w:ascii="Times New Roman;serif" w:hAnsi="Times New Roman;serif"/>
          <w:b w:val="false"/>
          <w:color w:val="000000"/>
          <w:sz w:val="22"/>
        </w:rPr>
        <w:t>.</w:t>
      </w:r>
    </w:p>
    <w:p>
      <w:pPr>
        <w:pStyle w:val="TextBody"/>
        <w:bidi w:val="0"/>
        <w:spacing w:lineRule="auto" w:line="264" w:before="0" w:after="240"/>
        <w:ind w:left="0" w:right="0" w:firstLine="2160"/>
        <w:jc w:val="both"/>
        <w:rPr/>
      </w:pPr>
      <w:r>
        <w:rPr>
          <w:rFonts w:ascii="Times New Roman;serif" w:hAnsi="Times New Roman;serif"/>
          <w:b/>
          <w:color w:val="000000"/>
          <w:sz w:val="22"/>
        </w:rPr>
        <w:t>(3)</w:t>
      </w:r>
      <w:r>
        <w:rPr>
          <w:color w:val="000000"/>
        </w:rPr>
        <w:t>    </w:t>
      </w:r>
      <w:r>
        <w:rPr>
          <w:rFonts w:ascii="Times New Roman;serif" w:hAnsi="Times New Roman;serif"/>
          <w:b w:val="false"/>
          <w:i/>
          <w:color w:val="000000"/>
          <w:sz w:val="22"/>
        </w:rPr>
        <w:t>Reserved</w:t>
      </w:r>
      <w:r>
        <w:rPr>
          <w:rFonts w:ascii="Times New Roman;serif" w:hAnsi="Times New Roman;serif"/>
          <w:b w:val="false"/>
          <w:color w:val="000000"/>
          <w:sz w:val="22"/>
        </w:rPr>
        <w:t>.</w:t>
      </w:r>
    </w:p>
    <w:p>
      <w:pPr>
        <w:pStyle w:val="TextBody"/>
        <w:bidi w:val="0"/>
        <w:spacing w:lineRule="auto" w:line="264" w:before="0" w:after="240"/>
        <w:jc w:val="left"/>
        <w:rPr>
          <w:rFonts w:ascii="Times New Roman;serif" w:hAnsi="Times New Roman;serif"/>
          <w:b/>
          <w:color w:val="000000"/>
          <w:sz w:val="22"/>
        </w:rPr>
      </w:pPr>
      <w:r>
        <w:rPr>
          <w:rFonts w:ascii="Times New Roman;serif" w:hAnsi="Times New Roman;serif"/>
          <w:b/>
          <w:color w:val="000000"/>
          <w:sz w:val="22"/>
        </w:rPr>
        <w:t>Section 3.    Requirements During Severance Period.</w:t>
      </w:r>
    </w:p>
    <w:p>
      <w:pPr>
        <w:pStyle w:val="TextBody"/>
        <w:bidi w:val="0"/>
        <w:spacing w:lineRule="auto" w:line="264"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Your eligibility for and receipt of any severance benefits to which you may become entitled as described in Section 2 above is expressly contingent upon your timely execution of an effective Release and your compliance with the terms and conditions of the provisions of the Consulting Agreement. Severance benefits under this Agreement shall immediately cease in the event of your violation of the provisions in this Section 3.</w:t>
      </w:r>
    </w:p>
    <w:p>
      <w:pPr>
        <w:pStyle w:val="TextBody"/>
        <w:bidi w:val="0"/>
        <w:spacing w:lineRule="auto" w:line="264" w:before="0" w:after="240"/>
        <w:jc w:val="left"/>
        <w:rPr>
          <w:rFonts w:ascii="Times New Roman;serif" w:hAnsi="Times New Roman;serif"/>
          <w:b/>
          <w:color w:val="000000"/>
          <w:sz w:val="22"/>
        </w:rPr>
      </w:pPr>
      <w:r>
        <w:rPr>
          <w:rFonts w:ascii="Times New Roman;serif" w:hAnsi="Times New Roman;serif"/>
          <w:b/>
          <w:color w:val="000000"/>
          <w:sz w:val="22"/>
        </w:rPr>
        <w:t>Section 4.    Definitions.</w:t>
      </w:r>
    </w:p>
    <w:p>
      <w:pPr>
        <w:pStyle w:val="TextBody"/>
        <w:bidi w:val="0"/>
        <w:spacing w:lineRule="auto" w:line="264" w:before="0" w:after="240"/>
        <w:ind w:left="0" w:right="0" w:firstLine="1440"/>
        <w:jc w:val="both"/>
        <w:rPr/>
      </w:pPr>
      <w:r>
        <w:rPr>
          <w:rFonts w:ascii="Times New Roman;serif" w:hAnsi="Times New Roman;serif"/>
          <w:b/>
          <w:color w:val="000000"/>
          <w:sz w:val="22"/>
        </w:rPr>
        <w:t>(a)</w:t>
      </w:r>
      <w:r>
        <w:rPr>
          <w:color w:val="000000"/>
        </w:rPr>
        <w:t>    “</w:t>
      </w:r>
      <w:r>
        <w:rPr>
          <w:rFonts w:ascii="Times New Roman;serif" w:hAnsi="Times New Roman;serif"/>
          <w:b/>
          <w:i/>
          <w:color w:val="000000"/>
          <w:sz w:val="22"/>
        </w:rPr>
        <w:t>Equity Plan</w:t>
      </w:r>
      <w:r>
        <w:rPr>
          <w:color w:val="000000"/>
        </w:rPr>
        <w:t xml:space="preserve">” </w:t>
      </w:r>
      <w:r>
        <w:rPr>
          <w:rFonts w:ascii="Times New Roman;serif" w:hAnsi="Times New Roman;serif"/>
          <w:b w:val="false"/>
          <w:color w:val="000000"/>
          <w:sz w:val="22"/>
        </w:rPr>
        <w:t>means the Company’s 2018 Equity Incentive Plan or any successor or other equity incentive plan adopted by the Company which govern your stock awards, as applicable.</w:t>
      </w:r>
    </w:p>
    <w:p>
      <w:pPr>
        <w:pStyle w:val="TextBody"/>
        <w:bidi w:val="0"/>
        <w:spacing w:lineRule="auto" w:line="264" w:before="0" w:after="240"/>
        <w:ind w:left="0" w:right="0" w:firstLine="1440"/>
        <w:jc w:val="both"/>
        <w:rPr/>
      </w:pPr>
      <w:r>
        <w:rPr>
          <w:rFonts w:ascii="Times New Roman;serif" w:hAnsi="Times New Roman;serif"/>
          <w:b/>
          <w:color w:val="000000"/>
          <w:sz w:val="22"/>
        </w:rPr>
        <w:t>(b)</w:t>
      </w:r>
      <w:r>
        <w:rPr>
          <w:color w:val="000000"/>
        </w:rPr>
        <w:t>    “</w:t>
      </w:r>
      <w:r>
        <w:rPr>
          <w:rFonts w:ascii="Times New Roman;serif" w:hAnsi="Times New Roman;serif"/>
          <w:b/>
          <w:i/>
          <w:color w:val="000000"/>
          <w:sz w:val="22"/>
        </w:rPr>
        <w:t>Qualified Plan</w:t>
      </w:r>
      <w:r>
        <w:rPr>
          <w:color w:val="000000"/>
        </w:rPr>
        <w:t xml:space="preserve">” </w:t>
      </w:r>
      <w:r>
        <w:rPr>
          <w:rFonts w:ascii="Times New Roman;serif" w:hAnsi="Times New Roman;serif"/>
          <w:b w:val="false"/>
          <w:color w:val="000000"/>
          <w:sz w:val="22"/>
        </w:rPr>
        <w:t>means a plan sponsored by the Company or an Affiliate that is intended to be qualified under Section 401(a) of the Internal Revenue Code.</w:t>
      </w:r>
    </w:p>
    <w:p>
      <w:pPr>
        <w:pStyle w:val="TextBody"/>
        <w:bidi w:val="0"/>
        <w:spacing w:lineRule="auto" w:line="264" w:before="0" w:after="240"/>
        <w:jc w:val="left"/>
        <w:rPr>
          <w:rFonts w:ascii="Times New Roman;serif" w:hAnsi="Times New Roman;serif"/>
          <w:b/>
          <w:color w:val="000000"/>
          <w:sz w:val="22"/>
        </w:rPr>
      </w:pPr>
      <w:r>
        <w:rPr>
          <w:rFonts w:ascii="Times New Roman;serif" w:hAnsi="Times New Roman;serif"/>
          <w:b/>
          <w:color w:val="000000"/>
          <w:sz w:val="22"/>
        </w:rPr>
        <w:t>Section 5.    Acknowledgements.</w:t>
      </w:r>
    </w:p>
    <w:p>
      <w:pPr>
        <w:pStyle w:val="TextBody"/>
        <w:bidi w:val="0"/>
        <w:spacing w:lineRule="auto" w:line="264"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a condition to participation in the Plan, you hereby acknowledge each of the following:</w:t>
      </w:r>
    </w:p>
    <w:p>
      <w:pPr>
        <w:pStyle w:val="TextBody"/>
        <w:bidi w:val="0"/>
        <w:spacing w:lineRule="auto" w:line="264" w:before="0" w:after="240"/>
        <w:ind w:left="0" w:right="0" w:firstLine="1440"/>
        <w:jc w:val="both"/>
        <w:rPr/>
      </w:pPr>
      <w:r>
        <w:rPr>
          <w:rFonts w:ascii="Times New Roman;serif" w:hAnsi="Times New Roman;serif"/>
          <w:b/>
          <w:color w:val="000000"/>
          <w:sz w:val="22"/>
        </w:rPr>
        <w:t>(a)</w:t>
      </w:r>
      <w:r>
        <w:rPr>
          <w:color w:val="000000"/>
        </w:rPr>
        <w:t>    </w:t>
      </w:r>
      <w:r>
        <w:rPr>
          <w:rFonts w:ascii="Times New Roman;serif" w:hAnsi="Times New Roman;serif"/>
          <w:b w:val="false"/>
          <w:color w:val="000000"/>
          <w:sz w:val="22"/>
        </w:rPr>
        <w:t>The severance benefits that may be provided to you under this Agreement are subject to all of the terms of the Plan which is incorporated into and becomes part of this Agreement, including but not limited to the reductions under Section 3 of the Plan.</w:t>
      </w:r>
    </w:p>
    <w:p>
      <w:pPr>
        <w:pStyle w:val="TextBody"/>
        <w:bidi w:val="0"/>
        <w:spacing w:lineRule="auto" w:line="264" w:before="0" w:after="240"/>
        <w:ind w:left="0" w:right="0" w:firstLine="1440"/>
        <w:jc w:val="both"/>
        <w:rPr/>
      </w:pPr>
      <w:r>
        <w:rPr>
          <w:rFonts w:ascii="Times New Roman;serif" w:hAnsi="Times New Roman;serif"/>
          <w:b/>
          <w:color w:val="000000"/>
          <w:sz w:val="22"/>
        </w:rPr>
        <w:t>(b)</w:t>
      </w:r>
      <w:r>
        <w:rPr>
          <w:color w:val="000000"/>
        </w:rPr>
        <w:t>    </w:t>
      </w:r>
      <w:r>
        <w:rPr>
          <w:rFonts w:ascii="Times New Roman;serif" w:hAnsi="Times New Roman;serif"/>
          <w:b w:val="false"/>
          <w:color w:val="000000"/>
          <w:sz w:val="22"/>
        </w:rPr>
        <w:t xml:space="preserve">This Agreement and the Plan supersedes any severance benefit plan, policy or practice previously maintained by the Company that may have been applicable to you or any individually negotiated employment contract or agreement between you and the Company unless such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2"/>
        </w:rPr>
      </w:pPr>
      <w:r>
        <w:rPr>
          <w:rFonts w:ascii="Times New Roman;serif" w:hAnsi="Times New Roman;serif"/>
          <w:b w:val="false"/>
          <w:color w:val="000000"/>
          <w:sz w:val="22"/>
        </w:rPr>
        <w:t>contract or agreement provides for benefits that are in substance more favorable to you. This Agreement and the Plan do not supersede, replace or otherwise alter the Consulting Agreement.</w:t>
      </w:r>
    </w:p>
    <w:p>
      <w:pPr>
        <w:pStyle w:val="TextBody"/>
        <w:bidi w:val="0"/>
        <w:spacing w:lineRule="auto" w:line="264" w:before="0" w:after="240"/>
        <w:jc w:val="both"/>
        <w:rPr>
          <w:rFonts w:ascii="Times New Roman;serif" w:hAnsi="Times New Roman;serif"/>
          <w:b w:val="false"/>
          <w:color w:val="000000"/>
          <w:sz w:val="22"/>
        </w:rPr>
      </w:pPr>
      <w:r>
        <w:rPr>
          <w:rFonts w:ascii="Times New Roman;serif" w:hAnsi="Times New Roman;serif"/>
          <w:b w:val="false"/>
          <w:color w:val="000000"/>
          <w:sz w:val="22"/>
        </w:rPr>
        <w:t>(c)    You may not sell, transfer, or otherwise assign or pledge your right to benefits under this Agreement and the Plan to either your creditors or to your beneficiary, except to the extent permitted by the Plan Administrator if such action would not result in adverse tax consequences under Section 409A.</w:t>
      </w:r>
    </w:p>
    <w:p>
      <w:pPr>
        <w:pStyle w:val="TextBody"/>
        <w:bidi w:val="0"/>
        <w:spacing w:lineRule="auto" w:line="264" w:before="0" w:after="240"/>
        <w:jc w:val="left"/>
        <w:rPr>
          <w:rFonts w:ascii="Times New Roman;serif" w:hAnsi="Times New Roman;serif"/>
          <w:b w:val="false"/>
          <w:color w:val="000000"/>
          <w:sz w:val="22"/>
        </w:rPr>
      </w:pPr>
      <w:r>
        <w:rPr>
          <w:rFonts w:ascii="Times New Roman;serif" w:hAnsi="Times New Roman;serif"/>
          <w:b w:val="false"/>
          <w:color w:val="000000"/>
          <w:sz w:val="22"/>
        </w:rPr>
        <w:t>To accept the terms of this Agreement and participate in the Plan, please sign and date this Agreement in the space provided below.</w:t>
      </w:r>
    </w:p>
    <w:tbl>
      <w:tblPr>
        <w:tblW w:w="2849" w:type="dxa"/>
        <w:jc w:val="left"/>
        <w:tblInd w:w="0" w:type="dxa"/>
        <w:tblLayout w:type="fixed"/>
        <w:tblCellMar>
          <w:top w:w="28" w:type="dxa"/>
          <w:left w:w="28" w:type="dxa"/>
          <w:bottom w:w="28" w:type="dxa"/>
          <w:right w:w="28" w:type="dxa"/>
        </w:tblCellMar>
      </w:tblPr>
      <w:tblGrid>
        <w:gridCol w:w="911"/>
        <w:gridCol w:w="801"/>
        <w:gridCol w:w="113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Times New Roman;serif" w:hAnsi="Times New Roman;serif"/>
                <w:b/>
                <w:color w:val="000000"/>
                <w:sz w:val="22"/>
              </w:rPr>
            </w:pPr>
            <w:r>
              <w:rPr>
                <w:rFonts w:ascii="Times New Roman;serif" w:hAnsi="Times New Roman;serif"/>
                <w:b/>
                <w:color w:val="000000"/>
                <w:sz w:val="22"/>
              </w:rPr>
              <w:t>Allogene Therapeutics, Inc.</w:t>
            </w:r>
          </w:p>
          <w:p>
            <w:pPr>
              <w:pStyle w:val="TableContents"/>
              <w:bidi w:val="0"/>
              <w:spacing w:lineRule="auto" w:line="288" w:before="0" w:after="24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David Chang    </w:t>
            </w:r>
          </w:p>
          <w:p>
            <w:pPr>
              <w:pStyle w:val="TableContents"/>
              <w:bidi w:val="0"/>
              <w:spacing w:lineRule="auto" w:line="288" w:before="0" w:after="240"/>
              <w:jc w:val="left"/>
              <w:rPr/>
            </w:pPr>
            <w:r>
              <w:rPr>
                <w:rFonts w:ascii="Times New Roman;serif" w:hAnsi="Times New Roman;serif"/>
                <w:b w:val="false"/>
                <w:color w:val="000000"/>
                <w:sz w:val="22"/>
              </w:rPr>
              <w:t>Title:</w:t>
            </w:r>
            <w:r>
              <w:rPr>
                <w:color w:val="000000"/>
                <w:u w:val="single"/>
              </w:rPr>
              <w:t xml:space="preserve"> </w:t>
            </w:r>
            <w:r>
              <w:rPr>
                <w:rFonts w:ascii="Times New Roman;serif" w:hAnsi="Times New Roman;serif"/>
                <w:b w:val="false"/>
                <w:color w:val="000000"/>
                <w:sz w:val="22"/>
                <w:u w:val="single"/>
              </w:rPr>
              <w:t>President and CEO    </w:t>
            </w:r>
          </w:p>
        </w:tc>
      </w:tr>
    </w:tbl>
    <w:p>
      <w:pPr>
        <w:pStyle w:val="TextBody"/>
        <w:bidi w:val="0"/>
        <w:spacing w:before="0" w:after="600"/>
        <w:jc w:val="left"/>
        <w:rPr/>
      </w:pPr>
      <w:r>
        <w:rPr/>
      </w:r>
    </w:p>
    <w:tbl>
      <w:tblPr>
        <w:tblW w:w="3629" w:type="dxa"/>
        <w:jc w:val="left"/>
        <w:tblInd w:w="0" w:type="dxa"/>
        <w:tblLayout w:type="fixed"/>
        <w:tblCellMar>
          <w:top w:w="28" w:type="dxa"/>
          <w:left w:w="28" w:type="dxa"/>
          <w:bottom w:w="28" w:type="dxa"/>
          <w:right w:w="28" w:type="dxa"/>
        </w:tblCellMar>
      </w:tblPr>
      <w:tblGrid>
        <w:gridCol w:w="580"/>
        <w:gridCol w:w="511"/>
        <w:gridCol w:w="513"/>
        <w:gridCol w:w="592"/>
        <w:gridCol w:w="592"/>
        <w:gridCol w:w="84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David Chang    </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January 16, 2019    </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Date</w:t>
            </w:r>
          </w:p>
        </w:tc>
      </w:tr>
    </w:tbl>
    <w:p>
      <w:pPr>
        <w:pStyle w:val="TextBody"/>
        <w:bidi w:val="0"/>
        <w:spacing w:before="0" w:after="240"/>
        <w:jc w:val="left"/>
        <w:rPr/>
      </w:pPr>
      <w:r>
        <w:rPr/>
      </w:r>
    </w:p>
    <w:tbl>
      <w:tblPr>
        <w:tblW w:w="2595" w:type="dxa"/>
        <w:jc w:val="left"/>
        <w:tblInd w:w="0" w:type="dxa"/>
        <w:tblLayout w:type="fixed"/>
        <w:tblCellMar>
          <w:top w:w="28" w:type="dxa"/>
          <w:left w:w="28" w:type="dxa"/>
          <w:bottom w:w="28" w:type="dxa"/>
          <w:right w:w="28" w:type="dxa"/>
        </w:tblCellMar>
      </w:tblPr>
      <w:tblGrid>
        <w:gridCol w:w="830"/>
        <w:gridCol w:w="730"/>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Times New Roman;serif" w:hAnsi="Times New Roman;serif"/>
                <w:b/>
                <w:color w:val="000000"/>
                <w:sz w:val="22"/>
              </w:rPr>
            </w:pPr>
            <w:r>
              <w:rPr>
                <w:rFonts w:ascii="Times New Roman;serif" w:hAnsi="Times New Roman;serif"/>
                <w:b/>
                <w:color w:val="000000"/>
                <w:sz w:val="22"/>
              </w:rPr>
              <w:t>Bellco Capital LLC</w:t>
            </w:r>
          </w:p>
          <w:p>
            <w:pPr>
              <w:pStyle w:val="TableContents"/>
              <w:bidi w:val="0"/>
              <w:spacing w:lineRule="auto" w:line="288" w:before="0" w:after="24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/s/Joshua Bradley    </w:t>
            </w:r>
          </w:p>
          <w:p>
            <w:pPr>
              <w:pStyle w:val="TableContents"/>
              <w:bidi w:val="0"/>
              <w:spacing w:lineRule="auto" w:line="288" w:before="0" w:after="240"/>
              <w:jc w:val="left"/>
              <w:rPr/>
            </w:pPr>
            <w:r>
              <w:rPr>
                <w:rFonts w:ascii="Times New Roman;serif" w:hAnsi="Times New Roman;serif"/>
                <w:b w:val="false"/>
                <w:color w:val="000000"/>
                <w:sz w:val="22"/>
              </w:rPr>
              <w:t>Title:</w:t>
            </w:r>
            <w:r>
              <w:rPr>
                <w:color w:val="000000"/>
                <w:u w:val="single"/>
              </w:rPr>
              <w:t xml:space="preserve"> </w:t>
            </w:r>
            <w:r>
              <w:rPr>
                <w:rFonts w:ascii="Times New Roman;serif" w:hAnsi="Times New Roman;serif"/>
                <w:b w:val="false"/>
                <w:color w:val="000000"/>
                <w:sz w:val="22"/>
                <w:u w:val="single"/>
              </w:rPr>
              <w:t>Executive Officer    </w:t>
            </w:r>
          </w:p>
        </w:tc>
      </w:tr>
    </w:tbl>
    <w:p>
      <w:pPr>
        <w:pStyle w:val="TextBody"/>
        <w:bidi w:val="0"/>
        <w:spacing w:before="0" w:after="600"/>
        <w:jc w:val="left"/>
        <w:rPr/>
      </w:pPr>
      <w:r>
        <w:rPr/>
      </w:r>
    </w:p>
    <w:tbl>
      <w:tblPr>
        <w:tblW w:w="2386" w:type="dxa"/>
        <w:jc w:val="left"/>
        <w:tblInd w:w="0" w:type="dxa"/>
        <w:tblLayout w:type="fixed"/>
        <w:tblCellMar>
          <w:top w:w="28" w:type="dxa"/>
          <w:left w:w="28" w:type="dxa"/>
          <w:bottom w:w="28" w:type="dxa"/>
          <w:right w:w="28" w:type="dxa"/>
        </w:tblCellMar>
      </w:tblPr>
      <w:tblGrid>
        <w:gridCol w:w="652"/>
        <w:gridCol w:w="573"/>
        <w:gridCol w:w="575"/>
        <w:gridCol w:w="171"/>
        <w:gridCol w:w="171"/>
        <w:gridCol w:w="24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Joshua Bradley    </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Date</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SECOND AMENDMENT TO CONSULTING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Second Amendment to the Consulting Agreement (“Amendment”) is made as of January 1, 2020 (“Amendment Effective Date”) by and between Bellco Capital LLC, having an address at 2049 Century Park East, Suite 1940, Los Angeles, CA 90067 (“Consultant”) and Allogene Therapeutics, lnc., a Delaware corporation, having a principal place of business at 210 East Grand Avenue, South San Francisco, CA 94080 (“Allogene”).</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Consultant and Allogene have entered into that certain Consulting Agreement effective August 9, 2018, and as amended by the First Amendment on January 1, 2019 (together, the “Consulting Agreement”), and</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the Parties desire to amend the Consulting Agreement.</w:t>
      </w:r>
    </w:p>
    <w:p>
      <w:pPr>
        <w:pStyle w:val="TextBody"/>
        <w:bidi w:val="0"/>
        <w:spacing w:lineRule="auto" w:line="288" w:before="0" w:after="240"/>
        <w:jc w:val="left"/>
        <w:rPr/>
      </w:pPr>
      <w:r>
        <w:rPr>
          <w:rFonts w:ascii="Arial;sans-serif" w:hAnsi="Arial;sans-serif"/>
          <w:b/>
          <w:color w:val="000000"/>
          <w:sz w:val="20"/>
        </w:rPr>
        <w:t>NOW</w:t>
      </w:r>
      <w:r>
        <w:rPr>
          <w:rFonts w:ascii="Arial;sans-serif" w:hAnsi="Arial;sans-serif"/>
          <w:b w:val="false"/>
          <w:color w:val="000000"/>
          <w:sz w:val="20"/>
        </w:rPr>
        <w:t xml:space="preserve">, </w:t>
      </w:r>
      <w:r>
        <w:rPr>
          <w:rFonts w:ascii="Arial;sans-serif" w:hAnsi="Arial;sans-serif"/>
          <w:b/>
          <w:color w:val="000000"/>
          <w:sz w:val="20"/>
        </w:rPr>
        <w:t>THEREFORE</w:t>
      </w:r>
      <w:r>
        <w:rPr>
          <w:rFonts w:ascii="Arial;sans-serif" w:hAnsi="Arial;sans-serif"/>
          <w:b w:val="false"/>
          <w:color w:val="000000"/>
          <w:sz w:val="20"/>
        </w:rPr>
        <w:t>, Consultant and Allogene hereby agree as follows: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    The first sentence of Section 3(a) of the Consulting Agreement shall be amended by deleting and replacing the monthly payment of “$33,333.33” with “$37,500.00”, which change shall be effective as of January 1, 2020.</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    ln recognition of extraordinary performance by Consultant and the completion of Allogene’s 2019 corporate goals, the Performance Award for 2019 shall be $264,000.00, notwithstanding anything to the contrary in the Agreement. This Performance Award shall be paid pursuant to the terms of the Agreement.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    Except as specifically amended above, all terms and conditions of the Consulting Agreement shall remain in full force and effect and are hereby ratified and confirmed. ln the event that there are any conflicts between the terms of this Amendment and the terms of the Consulting Agreement, the terms of this Amendment shall control. The terms of this Amendment shall be controlling over any terms of any purchase order, sales acknowledgement, quote, invoice, or other such documents issued by either party.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lN WITNESS WHEREOF, Contractor and Allogene have caused this Amendment to be duly executed and delivered as of the Amendment Effective Date written above.</w:t>
      </w:r>
    </w:p>
    <w:tbl>
      <w:tblPr>
        <w:tblW w:w="5924" w:type="dxa"/>
        <w:jc w:val="left"/>
        <w:tblInd w:w="0" w:type="dxa"/>
        <w:tblLayout w:type="fixed"/>
        <w:tblCellMar>
          <w:top w:w="28" w:type="dxa"/>
          <w:left w:w="28" w:type="dxa"/>
          <w:bottom w:w="28" w:type="dxa"/>
          <w:right w:w="28" w:type="dxa"/>
        </w:tblCellMar>
      </w:tblPr>
      <w:tblGrid>
        <w:gridCol w:w="1053"/>
        <w:gridCol w:w="927"/>
        <w:gridCol w:w="929"/>
        <w:gridCol w:w="881"/>
        <w:gridCol w:w="881"/>
        <w:gridCol w:w="1253"/>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Allogene Therapeutics, Inc.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 David Chang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David Chang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President and CEO    </w:t>
            </w:r>
          </w:p>
          <w:p>
            <w:pPr>
              <w:pStyle w:val="TableContents"/>
              <w:bidi w:val="0"/>
              <w:spacing w:lineRule="auto" w:line="288" w:before="0" w:after="240"/>
              <w:jc w:val="left"/>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1/7/2020    </w:t>
            </w:r>
          </w:p>
        </w:tc>
        <w:tc>
          <w:tcPr>
            <w:tcW w:w="3015"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Bellco Capital LLC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/s/Joshua Bradley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Joshua Bradley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Chief Investment Officer    </w:t>
            </w:r>
          </w:p>
          <w:p>
            <w:pPr>
              <w:pStyle w:val="TableContents"/>
              <w:bidi w:val="0"/>
              <w:spacing w:lineRule="auto" w:line="288" w:before="0" w:after="240"/>
              <w:jc w:val="left"/>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January 6, 2020    </w:t>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THIRD AMENDMENT TO CONSULTING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Third Amendment to the Consulting Agreement (“Amendment”) is made as of January 1, 2021 (“Amendment Effective Date”) by and between Bellco Capital LLC, having an address at 2049 Century Park East, Suite 1940, Los Angeles, CA 90067 (“Consultant”) and Allogene Therapeutics, lnc., a Delaware corporation, having a principal place of business at 210 East Grand Avenue, South San Francisco, CA 94080 (“Allogene”).</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Consultant and Allogene have entered into that certain Consulting Agreement effective August 9, 2018, and as amended by the First Amendment on January 1, 2019 and the Second Amendment on January 1, 2020 (together, the “Consulting Agreement”), and</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the Parties desire to amend the Consulting Agreement.</w:t>
      </w:r>
    </w:p>
    <w:p>
      <w:pPr>
        <w:pStyle w:val="TextBody"/>
        <w:bidi w:val="0"/>
        <w:spacing w:lineRule="auto" w:line="288" w:before="0" w:after="240"/>
        <w:jc w:val="left"/>
        <w:rPr/>
      </w:pPr>
      <w:r>
        <w:rPr>
          <w:rFonts w:ascii="Arial;sans-serif" w:hAnsi="Arial;sans-serif"/>
          <w:b/>
          <w:color w:val="000000"/>
          <w:sz w:val="20"/>
        </w:rPr>
        <w:t>NOW</w:t>
      </w:r>
      <w:r>
        <w:rPr>
          <w:rFonts w:ascii="Arial;sans-serif" w:hAnsi="Arial;sans-serif"/>
          <w:b w:val="false"/>
          <w:color w:val="000000"/>
          <w:sz w:val="20"/>
        </w:rPr>
        <w:t xml:space="preserve">, </w:t>
      </w:r>
      <w:r>
        <w:rPr>
          <w:rFonts w:ascii="Arial;sans-serif" w:hAnsi="Arial;sans-serif"/>
          <w:b/>
          <w:color w:val="000000"/>
          <w:sz w:val="20"/>
        </w:rPr>
        <w:t>THEREFORE</w:t>
      </w:r>
      <w:r>
        <w:rPr>
          <w:rFonts w:ascii="Arial;sans-serif" w:hAnsi="Arial;sans-serif"/>
          <w:b w:val="false"/>
          <w:color w:val="000000"/>
          <w:sz w:val="20"/>
        </w:rPr>
        <w:t>, Consultant and Allogene hereby agree as follows: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    The first sentence of Section 3(a) of the Consulting Agreement shall be amended by deleting and replacing the monthly payment of “$37,500.00” with “$38,583.33”, which change shall be effective as of January 1, 2021.</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    ln recognition of extraordinary performance by Consultant and the completion of Allogene’s 2020 corporate goals, the Performance Award for 2020 shall be $337,500.00, notwithstanding anything to the contrary in the Agreement. This Performance Award shall be paid pursuant to the terms of the Agreement.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    Except as specifically amended above, all terms and conditions of the Consulting Agreement shall remain in full force and effect and are hereby ratified and confirmed. ln the event that there are any conflicts between the terms of this Amendment and the terms of the Consulting Agreement, the terms of this Amendment shall control. The terms of this Amendment shall be controlling over any terms of any purchase order, sales acknowledgement, quote, invoice, or other such documents issued by either party.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lN WITNESS WHEREOF, Contractor and Allogene have caused this Amendment to be duly executed and delivered as of the Amendment Effective Date written above.</w:t>
      </w:r>
    </w:p>
    <w:tbl>
      <w:tblPr>
        <w:tblW w:w="5924" w:type="dxa"/>
        <w:jc w:val="left"/>
        <w:tblInd w:w="0" w:type="dxa"/>
        <w:tblLayout w:type="fixed"/>
        <w:tblCellMar>
          <w:top w:w="28" w:type="dxa"/>
          <w:left w:w="28" w:type="dxa"/>
          <w:bottom w:w="28" w:type="dxa"/>
          <w:right w:w="28" w:type="dxa"/>
        </w:tblCellMar>
      </w:tblPr>
      <w:tblGrid>
        <w:gridCol w:w="1053"/>
        <w:gridCol w:w="927"/>
        <w:gridCol w:w="929"/>
        <w:gridCol w:w="881"/>
        <w:gridCol w:w="881"/>
        <w:gridCol w:w="1253"/>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Allogene Therapeutics, Inc.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 David Chang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David Chang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President and CEO    </w:t>
            </w:r>
          </w:p>
          <w:p>
            <w:pPr>
              <w:pStyle w:val="TableContents"/>
              <w:bidi w:val="0"/>
              <w:spacing w:lineRule="auto" w:line="288" w:before="0" w:after="240"/>
              <w:jc w:val="left"/>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1/24/2021    </w:t>
            </w:r>
          </w:p>
        </w:tc>
        <w:tc>
          <w:tcPr>
            <w:tcW w:w="3015"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Bellco Capital LLC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 Josh Bradley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Josh Bradley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Chief Investment Officer    </w:t>
            </w:r>
          </w:p>
          <w:p>
            <w:pPr>
              <w:pStyle w:val="TableContents"/>
              <w:bidi w:val="0"/>
              <w:spacing w:lineRule="auto" w:line="288" w:before="0" w:after="240"/>
              <w:jc w:val="left"/>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January 21, 2021    </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FOURTH AMENDMENT TO CONSULTING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Fourth Amendment to the Consulting Agreement (“Amendment”) is made as of January 1, 2022 (“Amendment Effective Date”) by and between Bellco Capital LLC, having an address at 2049 Century Park East, Suite 1940, Los Angeles, CA 90067 (“Consultant”) and Allogene Therapeutics, lnc., a Delaware corporation, having a principal place of business at 210 East Grand Avenue, South San Francisco, CA 94080 (“Allogene”).</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Consultant and Allogene have entered into that certain Consulting Agreement effective August 9, 2018, and as amended by the First Amendment on January 1, 2019, the Second Amendment on January 1, 2020 and the Third Amendment on January 1, 2021 (together, the “Consulting Agreement”), and</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the Parties desire to amend the Consulting Agreement.</w:t>
      </w:r>
    </w:p>
    <w:p>
      <w:pPr>
        <w:pStyle w:val="TextBody"/>
        <w:bidi w:val="0"/>
        <w:spacing w:lineRule="auto" w:line="288" w:before="0" w:after="240"/>
        <w:jc w:val="left"/>
        <w:rPr/>
      </w:pPr>
      <w:r>
        <w:rPr>
          <w:rFonts w:ascii="Arial;sans-serif" w:hAnsi="Arial;sans-serif"/>
          <w:b/>
          <w:color w:val="000000"/>
          <w:sz w:val="20"/>
        </w:rPr>
        <w:t>NOW</w:t>
      </w:r>
      <w:r>
        <w:rPr>
          <w:rFonts w:ascii="Arial;sans-serif" w:hAnsi="Arial;sans-serif"/>
          <w:b w:val="false"/>
          <w:color w:val="000000"/>
          <w:sz w:val="20"/>
        </w:rPr>
        <w:t xml:space="preserve">, </w:t>
      </w:r>
      <w:r>
        <w:rPr>
          <w:rFonts w:ascii="Arial;sans-serif" w:hAnsi="Arial;sans-serif"/>
          <w:b/>
          <w:color w:val="000000"/>
          <w:sz w:val="20"/>
        </w:rPr>
        <w:t>THEREFORE</w:t>
      </w:r>
      <w:r>
        <w:rPr>
          <w:rFonts w:ascii="Arial;sans-serif" w:hAnsi="Arial;sans-serif"/>
          <w:b w:val="false"/>
          <w:color w:val="000000"/>
          <w:sz w:val="20"/>
        </w:rPr>
        <w:t>, Consultant and Allogene hereby agree as follows: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    The first sentence of Section 3(a) of the Consulting Agreement shall be amended by deleting and replacing the monthly payment of “$38,583.33” with “$40,216.66”, which change shall be effective as of January 1, 2022.</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    ln recognition of extraordinary performance by Consultant and the completion of Allogene’s 2021 corporate goals, the Performance Award for 2021 shall be $263,909.97, notwithstanding anything to the contrary in the Agreement. This Performance Award shall be paid pursuant to the terms of the Agreement.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    Except as specifically amended above, all terms and conditions of the Consulting Agreement shall remain in full force and effect and are hereby ratified and confirmed. ln the event that there are any conflicts between the terms of this Amendment and the terms of the Consulting Agreement, the terms of this Amendment shall control. The terms of this Amendment shall be controlling over any terms of any purchase order, sales acknowledgement, quote, invoice, or other such documents issued by either party.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lN WITNESS WHEREOF, Contractor and Allogene have caused this Amendment to be duly executed and delivered as of the Amendment Effective Date written above.</w:t>
      </w:r>
    </w:p>
    <w:tbl>
      <w:tblPr>
        <w:tblW w:w="5608" w:type="dxa"/>
        <w:jc w:val="left"/>
        <w:tblInd w:w="0" w:type="dxa"/>
        <w:tblLayout w:type="fixed"/>
        <w:tblCellMar>
          <w:top w:w="28" w:type="dxa"/>
          <w:left w:w="28" w:type="dxa"/>
          <w:bottom w:w="28" w:type="dxa"/>
          <w:right w:w="28" w:type="dxa"/>
        </w:tblCellMar>
      </w:tblPr>
      <w:tblGrid>
        <w:gridCol w:w="1053"/>
        <w:gridCol w:w="927"/>
        <w:gridCol w:w="929"/>
        <w:gridCol w:w="790"/>
        <w:gridCol w:w="790"/>
        <w:gridCol w:w="1119"/>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Allogene Therapeutics, Inc.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/s/David Chang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David Chang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President and CEO    </w:t>
            </w:r>
          </w:p>
          <w:p>
            <w:pPr>
              <w:pStyle w:val="TableContents"/>
              <w:bidi w:val="0"/>
              <w:spacing w:lineRule="auto" w:line="288" w:before="0" w:after="240"/>
              <w:jc w:val="left"/>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Jan 31, 2022    </w:t>
            </w:r>
          </w:p>
        </w:tc>
        <w:tc>
          <w:tcPr>
            <w:tcW w:w="2699"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Bellco Capital LLC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/s/Josh Bradley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Josh Bradley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Authorized Signatory    </w:t>
            </w:r>
          </w:p>
          <w:p>
            <w:pPr>
              <w:pStyle w:val="TableContents"/>
              <w:bidi w:val="0"/>
              <w:spacing w:lineRule="auto" w:line="288" w:before="0" w:after="240"/>
              <w:jc w:val="left"/>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Jan 31, 2022    </w:t>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FIFTH AMENDMENT TO CONSULTING AGREEMENT</w:t>
      </w:r>
    </w:p>
    <w:p>
      <w:pPr>
        <w:pStyle w:val="TextBody"/>
        <w:bidi w:val="0"/>
        <w:spacing w:lineRule="auto" w:line="288" w:before="0" w:after="240"/>
        <w:jc w:val="left"/>
        <w:rPr/>
      </w:pPr>
      <w:r>
        <w:rPr>
          <w:rFonts w:ascii="Arial;sans-serif" w:hAnsi="Arial;sans-serif"/>
          <w:b w:val="false"/>
          <w:color w:val="000000"/>
          <w:sz w:val="20"/>
        </w:rPr>
        <w:t>This Fifth Amendment to the Consulting Agreement (“Amendment”) is made as of April 15, 2024 (“Amendment Effective Date”) by and between Bellco Capital LLC, having an address at 10100 Santa Monica Blvd.,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Floor, Los Angeles, CA 90067 (“Consultant”) and Allogene Therapeutics, lnc., a Delaware corporation, having a principal place of business at 210 East Grand Avenue, South San Francisco, CA 94080 (“Allogene”).</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Consultant and Allogene have entered into that certain Consulting Agreement effective August 9, 2018, and as amended by the First Amendment on January 1, 2019, the Second Amendment on January 1, 2020, the Third Amendment on January 1, 2021 and the Fourth Amendment on January 1, 2022 (together, the “Consulting Agreement”), and</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the Parties desire to amend the Consulting Agreement.</w:t>
      </w:r>
    </w:p>
    <w:p>
      <w:pPr>
        <w:pStyle w:val="TextBody"/>
        <w:bidi w:val="0"/>
        <w:spacing w:lineRule="auto" w:line="288" w:before="0" w:after="240"/>
        <w:jc w:val="left"/>
        <w:rPr/>
      </w:pPr>
      <w:r>
        <w:rPr>
          <w:rFonts w:ascii="Arial;sans-serif" w:hAnsi="Arial;sans-serif"/>
          <w:b/>
          <w:color w:val="000000"/>
          <w:sz w:val="20"/>
        </w:rPr>
        <w:t>NOW</w:t>
      </w:r>
      <w:r>
        <w:rPr>
          <w:rFonts w:ascii="Arial;sans-serif" w:hAnsi="Arial;sans-serif"/>
          <w:b w:val="false"/>
          <w:color w:val="000000"/>
          <w:sz w:val="20"/>
        </w:rPr>
        <w:t xml:space="preserve">, </w:t>
      </w:r>
      <w:r>
        <w:rPr>
          <w:rFonts w:ascii="Arial;sans-serif" w:hAnsi="Arial;sans-serif"/>
          <w:b/>
          <w:color w:val="000000"/>
          <w:sz w:val="20"/>
        </w:rPr>
        <w:t>THEREFORE</w:t>
      </w:r>
      <w:r>
        <w:rPr>
          <w:rFonts w:ascii="Arial;sans-serif" w:hAnsi="Arial;sans-serif"/>
          <w:b w:val="false"/>
          <w:color w:val="000000"/>
          <w:sz w:val="20"/>
        </w:rPr>
        <w:t>, Consultant and Allogene hereby agree as follows: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    In recognition of extraordinary performance by Consultant and the completion of Allogene's 2022 corporate goals, a Performance Award in the amount of $231,648.00 was granted to Consultant, notwithstanding anything to the contrary in the Agreement. The parties acknowledge and agree that the 2022 Performance Award has been received by Consultant pursuant to the terms of the Agreement.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    In recognition of extraordinary performance by Consultant and for completion of Allogene's 2023 corporate goals, a Performance Award in the amount of $166,497.00 was granted to Consultant, notwithstanding anything to the contrary in the Agreement. The parties acknowledge and agree that the 2023 Performance Award has been received by Consultant pursuant to the terms of the Agreement.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    Except as specifically amended above, all terms and conditions of the Consulting Agreement shall remain in full force and effect and are hereby ratified and confirmed. ln the event that there are any conflicts between the terms of this Amendment and the terms of the Consulting Agreement, the terms of this Amendment shall control. The terms of this Amendment shall be controlling over any terms of any purchase order, sales acknowledgement, quote, invoice, or other such documents issued by either party.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lN WITNESS WHEREOF, Contractor and Allogene have caused this Amendment to be duly executed and delivered as of the Amendment Effective Date written above.</w:t>
      </w:r>
    </w:p>
    <w:tbl>
      <w:tblPr>
        <w:tblW w:w="5338" w:type="dxa"/>
        <w:jc w:val="left"/>
        <w:tblInd w:w="0" w:type="dxa"/>
        <w:tblLayout w:type="fixed"/>
        <w:tblCellMar>
          <w:top w:w="28" w:type="dxa"/>
          <w:left w:w="28" w:type="dxa"/>
          <w:bottom w:w="28" w:type="dxa"/>
          <w:right w:w="28" w:type="dxa"/>
        </w:tblCellMar>
      </w:tblPr>
      <w:tblGrid>
        <w:gridCol w:w="1053"/>
        <w:gridCol w:w="927"/>
        <w:gridCol w:w="929"/>
        <w:gridCol w:w="710"/>
        <w:gridCol w:w="710"/>
        <w:gridCol w:w="1009"/>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Allogene Therapeutics, Inc.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/s/David Chang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David Chang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CEO    </w:t>
            </w:r>
          </w:p>
        </w:tc>
        <w:tc>
          <w:tcPr>
            <w:tcW w:w="2429"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Bellco Capital LLC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/s/Josh Bradley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Josh Bradley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Authorized Signer    </w:t>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SIXTH AMENDMENT TO CONSULTING AGREEMENT</w:t>
      </w:r>
    </w:p>
    <w:p>
      <w:pPr>
        <w:pStyle w:val="TextBody"/>
        <w:bidi w:val="0"/>
        <w:spacing w:lineRule="auto" w:line="288" w:before="0" w:after="240"/>
        <w:jc w:val="left"/>
        <w:rPr/>
      </w:pPr>
      <w:r>
        <w:rPr>
          <w:rFonts w:ascii="Arial;sans-serif" w:hAnsi="Arial;sans-serif"/>
          <w:b w:val="false"/>
          <w:color w:val="000000"/>
          <w:sz w:val="20"/>
        </w:rPr>
        <w:t>This Sixth Amendment to the Consulting Agreement (“Amendment”) is made as of February 5, 2025 (“Amendment Effective Date”) by and between Bellco Capital LLC, having an address at 10100 Santa Monica Blvd.,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Floor, Los Angeles, CA 90067 (“Consultant”) and Allogene Therapeutics, lnc., a Delaware corporation, having a principal place of business at 210 East Grand Avenue, South San Francisco, CA 94080 (“Allogene”).</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Consultant and Allogene have entered into that certain Consulting Agreement effective August 9, 2018, and as amended by the First Amendment on January 1, 2019, the Second Amendment on January 1, 2020, the Third Amendment on January 1, 2021, the Fourth Amendment on January 1, 2022 and the Fifth Amendment on April 15, 2024 (together, the “Consulting Agreement”), and</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the Parties desire to amend the Consulting Agreement.</w:t>
      </w:r>
    </w:p>
    <w:p>
      <w:pPr>
        <w:pStyle w:val="TextBody"/>
        <w:bidi w:val="0"/>
        <w:spacing w:lineRule="auto" w:line="288" w:before="0" w:after="240"/>
        <w:jc w:val="left"/>
        <w:rPr/>
      </w:pPr>
      <w:r>
        <w:rPr>
          <w:rFonts w:ascii="Arial;sans-serif" w:hAnsi="Arial;sans-serif"/>
          <w:b/>
          <w:color w:val="000000"/>
          <w:sz w:val="20"/>
        </w:rPr>
        <w:t>NOW</w:t>
      </w:r>
      <w:r>
        <w:rPr>
          <w:rFonts w:ascii="Arial;sans-serif" w:hAnsi="Arial;sans-serif"/>
          <w:b w:val="false"/>
          <w:color w:val="000000"/>
          <w:sz w:val="20"/>
        </w:rPr>
        <w:t xml:space="preserve">, </w:t>
      </w:r>
      <w:r>
        <w:rPr>
          <w:rFonts w:ascii="Arial;sans-serif" w:hAnsi="Arial;sans-serif"/>
          <w:b/>
          <w:color w:val="000000"/>
          <w:sz w:val="20"/>
        </w:rPr>
        <w:t>THEREFORE</w:t>
      </w:r>
      <w:r>
        <w:rPr>
          <w:rFonts w:ascii="Arial;sans-serif" w:hAnsi="Arial;sans-serif"/>
          <w:b w:val="false"/>
          <w:color w:val="000000"/>
          <w:sz w:val="20"/>
        </w:rPr>
        <w:t>, Consultant and Allogene hereby agree as follows: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    In recognition of extraordinary performance by Consultant and the completion of Allogene's 2024 corporate goals, a Performance Award in the amount of $202,692.00 was granted to Consultant, notwithstanding anything to the contrary in the Agreement. This Performance Award shall be paid pursuant to the terms of the Agreement.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    Except as specifically amended above, all terms and conditions of the Agreement shall remain in full force and effect and are hereby ratified and confirmed. ln the event that there are any conflicts between the terms of this Amendment and the terms of the Agreement, the terms of this Amendment shall control. The terms of this Amendment shall be controlling over any terms of any purchase order, sales acknowledgement, quote, invoice, or other such documents issued by either party.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lN WITNESS WHEREOF, Contractor and Allogene have caused this Amendment to be duly executed and delivered as of the Amendment Effective Date written above.</w:t>
      </w:r>
    </w:p>
    <w:tbl>
      <w:tblPr>
        <w:tblW w:w="5428" w:type="dxa"/>
        <w:jc w:val="left"/>
        <w:tblInd w:w="0" w:type="dxa"/>
        <w:tblLayout w:type="fixed"/>
        <w:tblCellMar>
          <w:top w:w="28" w:type="dxa"/>
          <w:left w:w="28" w:type="dxa"/>
          <w:bottom w:w="28" w:type="dxa"/>
          <w:right w:w="28" w:type="dxa"/>
        </w:tblCellMar>
      </w:tblPr>
      <w:tblGrid>
        <w:gridCol w:w="1178"/>
        <w:gridCol w:w="1037"/>
        <w:gridCol w:w="1039"/>
        <w:gridCol w:w="635"/>
        <w:gridCol w:w="635"/>
        <w:gridCol w:w="904"/>
      </w:tblGrid>
      <w:tr>
        <w:trPr/>
        <w:tc>
          <w:tcPr>
            <w:tcW w:w="117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Allogene Therapeutics, Inc.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/s/David Chang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David Chang, M.D., Ph.D.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CEO    </w:t>
            </w:r>
          </w:p>
        </w:tc>
        <w:tc>
          <w:tcPr>
            <w:tcW w:w="2174"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Bellco Capital LLC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/s/Josh Bradley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Josh Bradley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CIO    </w:t>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SEVENTH AMENDMENT TO CONSULTING AGREEMENT</w:t>
      </w:r>
    </w:p>
    <w:p>
      <w:pPr>
        <w:pStyle w:val="TextBody"/>
        <w:bidi w:val="0"/>
        <w:spacing w:lineRule="auto" w:line="288" w:before="0" w:after="240"/>
        <w:jc w:val="left"/>
        <w:rPr/>
      </w:pPr>
      <w:r>
        <w:rPr>
          <w:rFonts w:ascii="Arial;sans-serif" w:hAnsi="Arial;sans-serif"/>
          <w:b w:val="false"/>
          <w:color w:val="000000"/>
          <w:sz w:val="20"/>
        </w:rPr>
        <w:t>This Seventh Amendment to the Consulting Agreement (“Amendment”) is made as of April 30, 2026 (“Amendment Effective Date”) by and between Bellco Capital LLC, having an address at 10100 Santa Monica Blvd.,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Floor, Los Angeles, CA 90067 (“Consultant”) and Allogene Therapeutics, lnc., a Delaware corporation, having a principal place of business at 210 East Grand Avenue, South San Francisco, CA 94080 (“Allogene”).</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Consultant and Allogene have entered into that certain Consulting Agreement effective August 9, 2018, and as amended by the First Amendment on January 1, 2019, the Second Amendment on January 1, 2020, the Third Amendment on January 1, 2021, the Fourth Amendment on January 1, 2022, the Fifth Amendment on April 15, 2024, and the Sixth Amendment on February 5, 2025 (together, the “Consulting Agreement”), and</w:t>
      </w:r>
    </w:p>
    <w:p>
      <w:pPr>
        <w:pStyle w:val="TextBody"/>
        <w:bidi w:val="0"/>
        <w:spacing w:lineRule="auto" w:line="288" w:before="0" w:after="240"/>
        <w:jc w:val="left"/>
        <w:rPr/>
      </w:pPr>
      <w:r>
        <w:rPr>
          <w:rFonts w:ascii="Arial;sans-serif" w:hAnsi="Arial;sans-serif"/>
          <w:b/>
          <w:color w:val="000000"/>
          <w:sz w:val="20"/>
        </w:rPr>
        <w:t>WHEREAS</w:t>
      </w:r>
      <w:r>
        <w:rPr>
          <w:rFonts w:ascii="Arial;sans-serif" w:hAnsi="Arial;sans-serif"/>
          <w:b w:val="false"/>
          <w:color w:val="000000"/>
          <w:sz w:val="20"/>
        </w:rPr>
        <w:t>, the Parties desire to amend the Consulting Agreement.</w:t>
      </w:r>
    </w:p>
    <w:p>
      <w:pPr>
        <w:pStyle w:val="TextBody"/>
        <w:bidi w:val="0"/>
        <w:spacing w:lineRule="auto" w:line="288" w:before="0" w:after="240"/>
        <w:jc w:val="left"/>
        <w:rPr/>
      </w:pPr>
      <w:r>
        <w:rPr>
          <w:rFonts w:ascii="Arial;sans-serif" w:hAnsi="Arial;sans-serif"/>
          <w:b/>
          <w:color w:val="000000"/>
          <w:sz w:val="20"/>
        </w:rPr>
        <w:t>NOW</w:t>
      </w:r>
      <w:r>
        <w:rPr>
          <w:rFonts w:ascii="Arial;sans-serif" w:hAnsi="Arial;sans-serif"/>
          <w:b w:val="false"/>
          <w:color w:val="000000"/>
          <w:sz w:val="20"/>
        </w:rPr>
        <w:t xml:space="preserve">, </w:t>
      </w:r>
      <w:r>
        <w:rPr>
          <w:rFonts w:ascii="Arial;sans-serif" w:hAnsi="Arial;sans-serif"/>
          <w:b/>
          <w:color w:val="000000"/>
          <w:sz w:val="20"/>
        </w:rPr>
        <w:t>THEREFORE</w:t>
      </w:r>
      <w:r>
        <w:rPr>
          <w:rFonts w:ascii="Arial;sans-serif" w:hAnsi="Arial;sans-serif"/>
          <w:b w:val="false"/>
          <w:color w:val="000000"/>
          <w:sz w:val="20"/>
        </w:rPr>
        <w:t>, Consultant and Allogene hereby agree as follows: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    The first sentence of Section 3(a) of the Consulting Agreement shall be amended by deleting and replacing the monthly payment of “$40,216.66,” with “$41,021.00” which change shall be effective as of January 1, 2026.</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    In recognition of extraordinary performance by Consultant and the completion of Allogene's 2025 corporate goals, a Performance Award in the amount of $246,126.00 was granted to Consultant, notwithstanding anything to the contrary in the Agreement. This Performance Award shall be paid pursuant to the terms of the Agreement.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    Except as specifically amended above, all terms and conditions of the Agreement shall remain in full force and effect and are hereby ratified and confirmed. ln the event that there are any conflicts between the terms of this Amendment and the terms of the Agreement, the terms of this Amendment shall control. The terms of this Amendment shall be controlling over any terms of any purchase order, sales acknowledgement, quote, invoice, or other such documents issued by either party.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lN WITNESS WHEREOF, Contractor and Allogene have caused this Amendment to be duly executed and delivered as of the Amendment Effective Date written above.</w:t>
      </w:r>
    </w:p>
    <w:tbl>
      <w:tblPr>
        <w:tblW w:w="5428" w:type="dxa"/>
        <w:jc w:val="left"/>
        <w:tblInd w:w="0" w:type="dxa"/>
        <w:tblLayout w:type="fixed"/>
        <w:tblCellMar>
          <w:top w:w="28" w:type="dxa"/>
          <w:left w:w="28" w:type="dxa"/>
          <w:bottom w:w="28" w:type="dxa"/>
          <w:right w:w="28" w:type="dxa"/>
        </w:tblCellMar>
      </w:tblPr>
      <w:tblGrid>
        <w:gridCol w:w="1178"/>
        <w:gridCol w:w="1037"/>
        <w:gridCol w:w="1039"/>
        <w:gridCol w:w="635"/>
        <w:gridCol w:w="635"/>
        <w:gridCol w:w="904"/>
      </w:tblGrid>
      <w:tr>
        <w:trPr/>
        <w:tc>
          <w:tcPr>
            <w:tcW w:w="117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Allogene Therapeutics, Inc.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/s/David Chang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David Chang, M.D., Ph.D.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CEO    </w:t>
            </w:r>
          </w:p>
        </w:tc>
        <w:tc>
          <w:tcPr>
            <w:tcW w:w="2174" w:type="dxa"/>
            <w:gridSpan w:val="3"/>
            <w:tcBorders/>
            <w:tcMar>
              <w:top w:w="0" w:type="dxa"/>
              <w:left w:w="0" w:type="dxa"/>
              <w:bottom w:w="0" w:type="dxa"/>
              <w:right w:w="0" w:type="dxa"/>
            </w:tcMar>
            <w:vAlign w:val="center"/>
          </w:tcPr>
          <w:p>
            <w:pPr>
              <w:pStyle w:val="TableContents"/>
              <w:bidi w:val="0"/>
              <w:spacing w:lineRule="auto" w:line="288" w:before="600" w:after="240"/>
              <w:jc w:val="left"/>
              <w:rPr>
                <w:rFonts w:ascii="Arial;sans-serif" w:hAnsi="Arial;sans-serif"/>
                <w:b/>
                <w:color w:val="000000"/>
                <w:sz w:val="20"/>
              </w:rPr>
            </w:pPr>
            <w:r>
              <w:rPr>
                <w:rFonts w:ascii="Arial;sans-serif" w:hAnsi="Arial;sans-serif"/>
                <w:b/>
                <w:color w:val="000000"/>
                <w:sz w:val="20"/>
              </w:rPr>
              <w:t>Bellco Capital LLC    </w:t>
            </w:r>
          </w:p>
          <w:p>
            <w:pPr>
              <w:pStyle w:val="TableContents"/>
              <w:bidi w:val="0"/>
              <w:spacing w:lineRule="auto" w:line="288" w:before="0" w:after="24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/s/Josh Bradley     </w:t>
            </w:r>
          </w:p>
          <w:p>
            <w:pPr>
              <w:pStyle w:val="TableContents"/>
              <w:bidi w:val="0"/>
              <w:spacing w:lineRule="auto" w:line="288" w:before="0" w:after="240"/>
              <w:jc w:val="left"/>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Josh Bradley    </w:t>
            </w:r>
          </w:p>
          <w:p>
            <w:pPr>
              <w:pStyle w:val="TableContents"/>
              <w:bidi w:val="0"/>
              <w:spacing w:lineRule="auto" w:line="288" w:before="0" w:after="240"/>
              <w:jc w:val="left"/>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CIO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David Chang, M.D., Ph.D.,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Allogene Therapeutics,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49" w:type="dxa"/>
        <w:jc w:val="left"/>
        <w:tblInd w:w="0" w:type="dxa"/>
        <w:tblLayout w:type="fixed"/>
        <w:tblCellMar>
          <w:top w:w="28" w:type="dxa"/>
          <w:left w:w="28" w:type="dxa"/>
          <w:bottom w:w="28" w:type="dxa"/>
          <w:right w:w="28" w:type="dxa"/>
        </w:tblCellMar>
      </w:tblPr>
      <w:tblGrid>
        <w:gridCol w:w="629"/>
        <w:gridCol w:w="554"/>
        <w:gridCol w:w="557"/>
        <w:gridCol w:w="936"/>
        <w:gridCol w:w="936"/>
        <w:gridCol w:w="13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David Chang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Chang, M.D., Ph.D.</w:t>
              <w:br/>
              <w:t>President and Chief Executive Officer</w:t>
              <w:b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Geoffrey Parker,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Allogene Therapeutics,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54" w:type="dxa"/>
        <w:jc w:val="left"/>
        <w:tblInd w:w="0" w:type="dxa"/>
        <w:tblLayout w:type="fixed"/>
        <w:tblCellMar>
          <w:top w:w="28" w:type="dxa"/>
          <w:left w:w="28" w:type="dxa"/>
          <w:bottom w:w="28" w:type="dxa"/>
          <w:right w:w="28" w:type="dxa"/>
        </w:tblCellMar>
      </w:tblPr>
      <w:tblGrid>
        <w:gridCol w:w="629"/>
        <w:gridCol w:w="554"/>
        <w:gridCol w:w="557"/>
        <w:gridCol w:w="704"/>
        <w:gridCol w:w="704"/>
        <w:gridCol w:w="100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Geoffrey Parker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Parker</w:t>
              <w:b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w:t>
      </w:r>
    </w:p>
    <w:p>
      <w:pPr>
        <w:pStyle w:val="TextBody"/>
        <w:bidi w:val="0"/>
        <w:spacing w:lineRule="auto" w:line="288" w:before="240" w:after="283"/>
        <w:ind w:left="0" w:right="0" w:firstLine="94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Allogene Therapeutics, Inc. (the “Company”) on Form 10-Q for the quarter ended March 31, 2026 as filed with the Securities and Exchange Commission on the date hereof (the “Report”), I, David Chang, M.D., Ph.D., President and Chief Executive Officer of the Company, and I, Geoffrey Parker, Chief Financial Officer of the Company, certify, pursuant to 18 U.S.C. Section 1350, as adopted pursuant to Section 906 of the Sarbanes-Oxley Act of 2002, that, to my knowledge: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(the “Exchange Act”);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w:t>
      </w:r>
    </w:p>
    <w:tbl>
      <w:tblPr>
        <w:tblW w:w="4949" w:type="dxa"/>
        <w:jc w:val="left"/>
        <w:tblInd w:w="0" w:type="dxa"/>
        <w:tblLayout w:type="fixed"/>
        <w:tblCellMar>
          <w:top w:w="28" w:type="dxa"/>
          <w:left w:w="28" w:type="dxa"/>
          <w:bottom w:w="28" w:type="dxa"/>
          <w:right w:w="28" w:type="dxa"/>
        </w:tblCellMar>
      </w:tblPr>
      <w:tblGrid>
        <w:gridCol w:w="629"/>
        <w:gridCol w:w="554"/>
        <w:gridCol w:w="557"/>
        <w:gridCol w:w="936"/>
        <w:gridCol w:w="936"/>
        <w:gridCol w:w="13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David Chang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Chang,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Geoffrey Parker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Parker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240" w:after="283"/>
        <w:ind w:left="0" w:right="0" w:firstLine="945"/>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7287/000119312518299356/d622265dex31.htm" TargetMode="External"/><Relationship Id="rId3" Type="http://schemas.openxmlformats.org/officeDocument/2006/relationships/hyperlink" Target="https://www.sec.gov/Archives/edgar/data/1737287/000173728722000039/allo-20220617x8kxexhibit31.htm" TargetMode="External"/><Relationship Id="rId4" Type="http://schemas.openxmlformats.org/officeDocument/2006/relationships/hyperlink" Target="https://www.sec.gov/Archives/edgar/data/1737287/000119312518299356/d622265dex32.htm" TargetMode="External"/><Relationship Id="rId5" Type="http://schemas.openxmlformats.org/officeDocument/2006/relationships/hyperlink" Target="https://www.sec.gov/Archives/edgar/data/1737287/000119312518299356/d622265dex31.htm" TargetMode="External"/><Relationship Id="rId6" Type="http://schemas.openxmlformats.org/officeDocument/2006/relationships/hyperlink" Target="https://www.sec.gov/Archives/edgar/data/1737287/000173728722000039/allo-20220617x8kxexhibit31.htm" TargetMode="External"/><Relationship Id="rId7" Type="http://schemas.openxmlformats.org/officeDocument/2006/relationships/hyperlink" Target="https://www.sec.gov/Archives/edgar/data/1737287/000119312518299356/d622265dex32.htm" TargetMode="External"/><Relationship Id="rId8" Type="http://schemas.openxmlformats.org/officeDocument/2006/relationships/hyperlink" Target="https://www.sec.gov/Archives/edgar/data/1737287/000119312518290441/d548088dex4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71967</Words>
  <Characters>408015</Characters>
  <CharactersWithSpaces>478710</CharactersWithSpaces>
  <Paragraphs>2544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