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gif" ContentType="image/gif"/>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312"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312"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319"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center"/>
        <w:rPr/>
      </w:pPr>
      <w:r>
        <w:rPr/>
      </w:r>
    </w:p>
    <w:p>
      <w:pPr>
        <w:pStyle w:val="TextBody"/>
        <w:bidi w:val="0"/>
        <w:spacing w:lineRule="auto" w:line="288" w:before="20" w:after="283"/>
        <w:jc w:val="center"/>
        <w:rPr>
          <w:rFonts w:ascii="Arial;sans-serif" w:hAnsi="Arial;sans-serif"/>
          <w:b/>
          <w:color w:val="000000"/>
          <w:sz w:val="36"/>
        </w:rPr>
      </w:pPr>
      <w:r>
        <w:rPr>
          <w:rFonts w:ascii="Arial;sans-serif" w:hAnsi="Arial;sans-serif"/>
          <w:b/>
          <w:color w:val="000000"/>
          <w:sz w:val="36"/>
        </w:rPr>
        <w:t>SCHEDULE 14A</w:t>
      </w:r>
    </w:p>
    <w:p>
      <w:pPr>
        <w:pStyle w:val="TextBody"/>
        <w:bidi w:val="0"/>
        <w:spacing w:lineRule="auto" w:line="333" w:before="120" w:after="283"/>
        <w:jc w:val="center"/>
        <w:rPr>
          <w:rFonts w:ascii="Arial;sans-serif" w:hAnsi="Arial;sans-serif"/>
          <w:b/>
          <w:color w:val="000000"/>
          <w:sz w:val="24"/>
        </w:rPr>
      </w:pPr>
      <w:r>
        <w:rPr>
          <w:rFonts w:ascii="Arial;sans-serif" w:hAnsi="Arial;sans-serif"/>
          <w:b/>
          <w:color w:val="000000"/>
          <w:sz w:val="24"/>
        </w:rPr>
        <w:t>Proxy Statement Pursuant to Section 14(a) of the</w:t>
      </w:r>
    </w:p>
    <w:p>
      <w:pPr>
        <w:pStyle w:val="TextBody"/>
        <w:bidi w:val="0"/>
        <w:spacing w:lineRule="auto" w:line="333"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333" w:before="0" w:after="0"/>
        <w:jc w:val="center"/>
        <w:rPr/>
      </w:pPr>
      <w:r>
        <w:rPr>
          <w:rFonts w:ascii="Arial;sans-serif" w:hAnsi="Arial;sans-serif"/>
          <w:b/>
          <w:color w:val="000000"/>
          <w:sz w:val="24"/>
        </w:rPr>
        <w:t xml:space="preserve">(Amendment No.    )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333" w:before="120" w:after="283"/>
        <w:jc w:val="center"/>
        <w:rPr>
          <w:rFonts w:ascii="Arial;sans-serif" w:hAnsi="Arial;sans-serif"/>
          <w:b w:val="false"/>
          <w:color w:val="000000"/>
          <w:sz w:val="20"/>
        </w:rPr>
      </w:pPr>
      <w:r>
        <w:rPr>
          <w:rFonts w:ascii="Arial;sans-serif" w:hAnsi="Arial;sans-serif"/>
          <w:b w:val="false"/>
          <w:color w:val="000000"/>
          <w:sz w:val="20"/>
        </w:rPr>
        <w:t>Filed by the Registrant  ☒                              Filed by a party other than the Registrant  ☐</w:t>
      </w:r>
    </w:p>
    <w:p>
      <w:pPr>
        <w:pStyle w:val="TextBody"/>
        <w:bidi w:val="0"/>
        <w:spacing w:lineRule="auto" w:line="333" w:before="120" w:after="283"/>
        <w:jc w:val="left"/>
        <w:rPr>
          <w:rFonts w:ascii="Arial;sans-serif" w:hAnsi="Arial;sans-serif"/>
          <w:b w:val="false"/>
          <w:color w:val="000000"/>
          <w:sz w:val="20"/>
        </w:rPr>
      </w:pPr>
      <w:r>
        <w:rPr>
          <w:rFonts w:ascii="Arial;sans-serif" w:hAnsi="Arial;sans-serif"/>
          <w:b w:val="false"/>
          <w:color w:val="000000"/>
          <w:sz w:val="20"/>
        </w:rPr>
        <w:t>Check the appropriate box:</w:t>
      </w:r>
    </w:p>
    <w:p>
      <w:pPr>
        <w:pStyle w:val="TextBody"/>
        <w:bidi w:val="0"/>
        <w:spacing w:before="0" w:after="0"/>
        <w:jc w:val="left"/>
        <w:rPr/>
      </w:pPr>
      <w:r>
        <w:rPr/>
      </w:r>
    </w:p>
    <w:tbl>
      <w:tblPr>
        <w:tblW w:w="7811" w:type="dxa"/>
        <w:jc w:val="left"/>
        <w:tblInd w:w="0" w:type="dxa"/>
        <w:tblLayout w:type="fixed"/>
        <w:tblCellMar>
          <w:top w:w="28" w:type="dxa"/>
          <w:left w:w="28" w:type="dxa"/>
          <w:bottom w:w="28" w:type="dxa"/>
          <w:right w:w="28" w:type="dxa"/>
        </w:tblCellMar>
      </w:tblPr>
      <w:tblGrid>
        <w:gridCol w:w="124"/>
        <w:gridCol w:w="109"/>
        <w:gridCol w:w="109"/>
        <w:gridCol w:w="2183"/>
        <w:gridCol w:w="2183"/>
        <w:gridCol w:w="3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 240.14a-12</w:t>
            </w:r>
          </w:p>
        </w:tc>
      </w:tr>
    </w:tbl>
    <w:p>
      <w:pPr>
        <w:pStyle w:val="TextBody"/>
        <w:bidi w:val="0"/>
        <w:spacing w:before="120" w:after="283"/>
        <w:jc w:val="left"/>
        <w:rPr/>
      </w:pPr>
      <w:r>
        <w:rPr/>
      </w:r>
    </w:p>
    <w:p>
      <w:pPr>
        <w:pStyle w:val="TextBody"/>
        <w:bidi w:val="0"/>
        <w:spacing w:lineRule="auto" w:line="333" w:before="120" w:after="283"/>
        <w:jc w:val="center"/>
        <w:rPr>
          <w:rFonts w:ascii="Arial;sans-serif" w:hAnsi="Arial;sans-serif"/>
          <w:b/>
          <w:color w:val="000000"/>
          <w:sz w:val="44"/>
        </w:rPr>
      </w:pPr>
      <w:r>
        <w:rPr>
          <w:rFonts w:ascii="Arial;sans-serif" w:hAnsi="Arial;sans-serif"/>
          <w:b/>
          <w:color w:val="000000"/>
          <w:sz w:val="44"/>
        </w:rPr>
        <w:t>ALLOGENE THERAPEUTICS, INC.</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(Name of Registrant as Specified In Its Charter)</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333" w:before="0" w:after="0"/>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p>
      <w:pPr>
        <w:pStyle w:val="TextBody"/>
        <w:bidi w:val="0"/>
        <w:spacing w:before="0" w:after="0"/>
        <w:jc w:val="center"/>
        <w:rPr/>
      </w:pPr>
      <w:r>
        <w:rPr/>
      </w:r>
    </w:p>
    <w:p>
      <w:pPr>
        <w:pStyle w:val="TextBody"/>
        <w:bidi w:val="0"/>
        <w:spacing w:lineRule="auto" w:line="333" w:before="120" w:after="283"/>
        <w:jc w:val="left"/>
        <w:rPr>
          <w:rFonts w:ascii="Arial;sans-serif" w:hAnsi="Arial;sans-serif"/>
          <w:b w:val="false"/>
          <w:color w:val="000000"/>
          <w:sz w:val="20"/>
        </w:rPr>
      </w:pPr>
      <w:r>
        <w:rPr>
          <w:rFonts w:ascii="Arial;sans-serif" w:hAnsi="Arial;sans-serif"/>
          <w:b w:val="false"/>
          <w:color w:val="000000"/>
          <w:sz w:val="20"/>
        </w:rPr>
        <w:t xml:space="preserve">Payment of Filing Fee (Check all boxes that apply) </w:t>
      </w:r>
    </w:p>
    <w:tbl>
      <w:tblPr>
        <w:tblW w:w="9263" w:type="dxa"/>
        <w:jc w:val="left"/>
        <w:tblInd w:w="0" w:type="dxa"/>
        <w:tblLayout w:type="fixed"/>
        <w:tblCellMar>
          <w:top w:w="28" w:type="dxa"/>
          <w:left w:w="28" w:type="dxa"/>
          <w:bottom w:w="28" w:type="dxa"/>
          <w:right w:w="28" w:type="dxa"/>
        </w:tblCellMar>
      </w:tblPr>
      <w:tblGrid>
        <w:gridCol w:w="124"/>
        <w:gridCol w:w="109"/>
        <w:gridCol w:w="109"/>
        <w:gridCol w:w="1385"/>
        <w:gridCol w:w="1385"/>
        <w:gridCol w:w="1385"/>
        <w:gridCol w:w="1385"/>
        <w:gridCol w:w="1385"/>
        <w:gridCol w:w="19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7772400" cy="47434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4743450"/>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drawing>
          <wp:inline distT="0" distB="0" distL="0" distR="0">
            <wp:extent cx="2743200" cy="11430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743200" cy="11430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drawing>
          <wp:inline distT="0" distB="0" distL="0" distR="0">
            <wp:extent cx="2743200" cy="11430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743200" cy="1143000"/>
                    </a:xfrm>
                    <a:prstGeom prst="rect">
                      <a:avLst/>
                    </a:prstGeom>
                  </pic:spPr>
                </pic:pic>
              </a:graphicData>
            </a:graphic>
          </wp:inline>
        </w:drawing>
      </w:r>
      <w:bookmarkStart w:id="2" w:name="i-3"/>
      <w:bookmarkEnd w:id="2"/>
    </w:p>
    <w:p>
      <w:pPr>
        <w:pStyle w:val="TextBody"/>
        <w:bidi w:val="0"/>
        <w:spacing w:lineRule="auto" w:line="333" w:before="120" w:after="283"/>
        <w:jc w:val="center"/>
        <w:rPr>
          <w:rFonts w:ascii="Arial;sans-serif" w:hAnsi="Arial;sans-serif"/>
          <w:b/>
          <w:color w:val="000000"/>
          <w:sz w:val="20"/>
        </w:rPr>
      </w:pPr>
      <w:r>
        <w:rPr>
          <w:rFonts w:ascii="Arial;sans-serif" w:hAnsi="Arial;sans-serif"/>
          <w:b/>
          <w:color w:val="000000"/>
          <w:sz w:val="20"/>
        </w:rPr>
        <w:t>NOTICE OF ANNUAL MEETING OF STOCKHOLDERS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To Be Held on June 18, 2026</w:t>
      </w:r>
    </w:p>
    <w:p>
      <w:pPr>
        <w:pStyle w:val="TextBody"/>
        <w:bidi w:val="0"/>
        <w:spacing w:lineRule="auto" w:line="300" w:before="0" w:after="120"/>
        <w:jc w:val="left"/>
        <w:rPr>
          <w:rFonts w:ascii="Arial;sans-serif" w:hAnsi="Arial;sans-serif"/>
          <w:b w:val="false"/>
          <w:color w:val="000000"/>
          <w:sz w:val="20"/>
        </w:rPr>
      </w:pPr>
      <w:r>
        <w:rPr>
          <w:rFonts w:ascii="Arial;sans-serif" w:hAnsi="Arial;sans-serif"/>
          <w:b w:val="false"/>
          <w:color w:val="000000"/>
          <w:sz w:val="20"/>
        </w:rPr>
        <w:t>Dear Stockholder:</w:t>
      </w:r>
    </w:p>
    <w:p>
      <w:pPr>
        <w:pStyle w:val="TextBody"/>
        <w:bidi w:val="0"/>
        <w:spacing w:lineRule="auto" w:line="300" w:before="0" w:after="120"/>
        <w:jc w:val="left"/>
        <w:rPr>
          <w:rFonts w:ascii="Arial;sans-serif" w:hAnsi="Arial;sans-serif"/>
          <w:b w:val="false"/>
          <w:color w:val="000000"/>
          <w:sz w:val="20"/>
        </w:rPr>
      </w:pPr>
      <w:r>
        <w:rPr>
          <w:rFonts w:ascii="Arial;sans-serif" w:hAnsi="Arial;sans-serif"/>
          <w:b w:val="false"/>
          <w:color w:val="000000"/>
          <w:sz w:val="20"/>
        </w:rPr>
        <w:t>You are cordially invited to attend the 2026 Annual Meeting of Stockholders ("Annual Meeting") of Allogene Therapeutics, Inc., a Delaware corporation (the "Company"). The meeting will be held on June 18, 2026 at 8:00 a.m., Pacific Time. The Annual Meeting will be a completely virtual meeting of stockholders. You can attend the Annual Meeting by visiting www.virtualshareholdermeeting.com/ALLO2026 where you will be able to listen to the meeting live, submit questions and vote online. We are holding the Annual Meeting for the following purposes, as more fully described in the accompanying Proxy Statement:</w:t>
      </w:r>
    </w:p>
    <w:p>
      <w:pPr>
        <w:pStyle w:val="TextBody"/>
        <w:bidi w:val="0"/>
        <w:spacing w:lineRule="auto" w:line="300"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1.To elect the Board of Directors’ three nominees for director named herein to hold office until the 2029 Annual Meeting of Stockholders.</w:t>
      </w:r>
    </w:p>
    <w:p>
      <w:pPr>
        <w:pStyle w:val="TextBody"/>
        <w:bidi w:val="0"/>
        <w:spacing w:lineRule="auto" w:line="300"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2.To approve, on an advisory basis, the compensation of the Company’s named executive officers, as disclosed in the Proxy Statement accompanying this notice.</w:t>
      </w:r>
    </w:p>
    <w:p>
      <w:pPr>
        <w:pStyle w:val="TextBody"/>
        <w:bidi w:val="0"/>
        <w:spacing w:lineRule="auto" w:line="300"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3.To approve, on an advisory basis, the preferred frequency of stockholder advisory votes on the compensation of the Company's named executive officers.</w:t>
      </w:r>
    </w:p>
    <w:p>
      <w:pPr>
        <w:pStyle w:val="TextBody"/>
        <w:bidi w:val="0"/>
        <w:spacing w:lineRule="auto" w:line="300"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4.To approve an amendment to our Certificate of Incorporation to increase the number of authorized shares of common stock from 400,000,000 shares to 800,000,000 shares.</w:t>
      </w:r>
    </w:p>
    <w:p>
      <w:pPr>
        <w:pStyle w:val="TextBody"/>
        <w:bidi w:val="0"/>
        <w:spacing w:lineRule="auto" w:line="300"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5.To ratify the selection by the Audit Committee of the Board of Directors of Ernst &amp; Young LLP as the independent registered public accounting firm of the Company for its fiscal year ending December 31, 2026.</w:t>
      </w:r>
    </w:p>
    <w:p>
      <w:pPr>
        <w:pStyle w:val="TextBody"/>
        <w:bidi w:val="0"/>
        <w:spacing w:lineRule="auto" w:line="300" w:before="0" w:after="120"/>
        <w:ind w:left="0" w:right="0" w:hanging="360"/>
        <w:jc w:val="left"/>
        <w:rPr>
          <w:rFonts w:ascii="Arial;sans-serif" w:hAnsi="Arial;sans-serif"/>
          <w:b w:val="false"/>
          <w:color w:val="000000"/>
          <w:sz w:val="20"/>
        </w:rPr>
      </w:pPr>
      <w:r>
        <w:rPr>
          <w:rFonts w:ascii="Arial;sans-serif" w:hAnsi="Arial;sans-serif"/>
          <w:b w:val="false"/>
          <w:color w:val="000000"/>
          <w:sz w:val="20"/>
        </w:rPr>
        <w:t>6.To conduct any other business properly brought before the meeting.</w:t>
      </w:r>
    </w:p>
    <w:p>
      <w:pPr>
        <w:pStyle w:val="TextBody"/>
        <w:bidi w:val="0"/>
        <w:spacing w:lineRule="auto" w:line="300" w:before="0" w:after="120"/>
        <w:jc w:val="left"/>
        <w:rPr>
          <w:rFonts w:ascii="Arial;sans-serif" w:hAnsi="Arial;sans-serif"/>
          <w:b w:val="false"/>
          <w:color w:val="000000"/>
          <w:sz w:val="20"/>
        </w:rPr>
      </w:pPr>
      <w:r>
        <w:rPr>
          <w:rFonts w:ascii="Arial;sans-serif" w:hAnsi="Arial;sans-serif"/>
          <w:b w:val="false"/>
          <w:color w:val="000000"/>
          <w:sz w:val="20"/>
        </w:rPr>
        <w:t>These items of business are more fully described in the Proxy Statement accompanying this notice.</w:t>
      </w:r>
    </w:p>
    <w:p>
      <w:pPr>
        <w:pStyle w:val="TextBody"/>
        <w:bidi w:val="0"/>
        <w:spacing w:lineRule="auto" w:line="300" w:before="0" w:after="120"/>
        <w:jc w:val="left"/>
        <w:rPr>
          <w:rFonts w:ascii="Arial;sans-serif" w:hAnsi="Arial;sans-serif"/>
          <w:b w:val="false"/>
          <w:color w:val="000000"/>
          <w:sz w:val="20"/>
        </w:rPr>
      </w:pPr>
      <w:r>
        <w:rPr>
          <w:rFonts w:ascii="Arial;sans-serif" w:hAnsi="Arial;sans-serif"/>
          <w:b w:val="false"/>
          <w:color w:val="000000"/>
          <w:sz w:val="20"/>
        </w:rPr>
        <w:t>The record date for the Annual Meeting is April 20, 2026. Only stockholders of record at the close of business on that date may vote at the meeting or any adjournment thereof.</w:t>
      </w:r>
    </w:p>
    <w:p>
      <w:pPr>
        <w:pStyle w:val="TextBody"/>
        <w:bidi w:val="0"/>
        <w:spacing w:lineRule="auto" w:line="300" w:before="0" w:after="12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before="0" w:after="0"/>
        <w:jc w:val="left"/>
        <w:rPr/>
      </w:pPr>
      <w:r>
        <w:rPr/>
        <w:drawing>
          <wp:inline distT="0" distB="0" distL="0" distR="0">
            <wp:extent cx="1371600" cy="3524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371600" cy="352425"/>
                    </a:xfrm>
                    <a:prstGeom prst="rect">
                      <a:avLst/>
                    </a:prstGeom>
                  </pic:spPr>
                </pic:pic>
              </a:graphicData>
            </a:graphic>
          </wp:inline>
        </w:drawing>
      </w:r>
      <w:bookmarkStart w:id="3" w:name="i-4"/>
      <w:bookmarkEnd w:id="3"/>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Earl Douglas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Senior Vice President, General Counsel and Corporate Secretary</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South San Francisco, California</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April 30, 2026</w:t>
      </w:r>
    </w:p>
    <w:tbl>
      <w:tblPr>
        <w:tblW w:w="10205" w:type="dxa"/>
        <w:jc w:val="left"/>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55" w:after="30"/>
              <w:jc w:val="left"/>
              <w:rPr>
                <w:rFonts w:ascii="Arial;sans-serif" w:hAnsi="Arial;sans-serif"/>
                <w:b/>
                <w:color w:val="000000"/>
                <w:sz w:val="20"/>
              </w:rPr>
            </w:pPr>
            <w:r>
              <w:rPr>
                <w:rFonts w:ascii="Arial;sans-serif" w:hAnsi="Arial;sans-serif"/>
                <w:b/>
                <w:color w:val="000000"/>
                <w:sz w:val="20"/>
              </w:rPr>
              <w:t xml:space="preserve">YOUR VOTE IS IMPORTANT. You are cordially invited to attend the meeting online. Whether or not you plan to attend the Annual Meeting, we urge you to submit your vote via the internet, telephone or mail as soon as possible to ensure your shares are represented. For additional instructions on voting by telephone or the internet, please refer to your Notice of Internet Availability of Proxy Materials or proxy card that may be mailed to you. Returning the proxy does not deprive you of your right to attend the Annual Meeting and to vote your shares at the Annual Meeting. </w:t>
            </w:r>
          </w:p>
        </w:tc>
      </w:tr>
    </w:tbl>
    <w:p>
      <w:pPr>
        <w:pStyle w:val="TextBody"/>
        <w:bidi w:val="0"/>
        <w:spacing w:before="0" w:after="0"/>
        <w:jc w:val="right"/>
        <w:rPr/>
      </w:pPr>
      <w:r>
        <w:rPr/>
        <w:drawing>
          <wp:inline distT="0" distB="0" distL="0" distR="0">
            <wp:extent cx="4572000" cy="4381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4572000" cy="438150"/>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5686F"/>
          <w:sz w:val="24"/>
        </w:rPr>
      </w:pPr>
      <w:r>
        <w:rPr>
          <w:rFonts w:ascii="Arial;sans-serif" w:hAnsi="Arial;sans-serif"/>
          <w:b/>
          <w:color w:val="05686F"/>
          <w:sz w:val="24"/>
        </w:rPr>
        <w:t>Table of Contents</w:t>
      </w:r>
    </w:p>
    <w:p>
      <w:pPr>
        <w:pStyle w:val="TextBody"/>
        <w:bidi w:val="0"/>
        <w:spacing w:before="0" w:after="0"/>
        <w:jc w:val="left"/>
        <w:rPr/>
      </w:pPr>
      <w:r>
        <w:rPr/>
      </w:r>
    </w:p>
    <w:tbl>
      <w:tblPr>
        <w:tblW w:w="7241" w:type="dxa"/>
        <w:jc w:val="left"/>
        <w:tblInd w:w="0" w:type="dxa"/>
        <w:tblLayout w:type="fixed"/>
        <w:tblCellMar>
          <w:top w:w="28" w:type="dxa"/>
          <w:left w:w="28" w:type="dxa"/>
          <w:bottom w:w="28" w:type="dxa"/>
          <w:right w:w="28" w:type="dxa"/>
        </w:tblCellMar>
      </w:tblPr>
      <w:tblGrid>
        <w:gridCol w:w="2487"/>
        <w:gridCol w:w="2184"/>
        <w:gridCol w:w="2198"/>
        <w:gridCol w:w="109"/>
        <w:gridCol w:w="109"/>
        <w:gridCol w:w="154"/>
      </w:tblGrid>
      <w:tr>
        <w:trPr/>
        <w:tc>
          <w:tcPr>
            <w:tcW w:w="2487"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9">
              <w:r>
                <w:rPr>
                  <w:rStyle w:val="InternetLink"/>
                  <w:rFonts w:ascii="Arial;sans-serif" w:hAnsi="Arial;sans-serif"/>
                  <w:b/>
                  <w:color w:val="0000FF"/>
                  <w:sz w:val="20"/>
                  <w:u w:val="single"/>
                </w:rPr>
                <w:t>Questions and Answers about These Proxy Materials and Voting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9">
              <w:r>
                <w:rPr>
                  <w:rStyle w:val="InternetLink"/>
                  <w:rFonts w:ascii="Arial;sans-serif" w:hAnsi="Arial;sans-serif"/>
                  <w:b w:val="false"/>
                  <w:color w:val="0000FF"/>
                  <w:sz w:val="20"/>
                  <w:u w:val="single"/>
                </w:rPr>
                <w:t>1</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2">
              <w:r>
                <w:rPr>
                  <w:rStyle w:val="InternetLink"/>
                  <w:rFonts w:ascii="Arial;sans-serif" w:hAnsi="Arial;sans-serif"/>
                  <w:b/>
                  <w:color w:val="0000FF"/>
                  <w:sz w:val="20"/>
                  <w:u w:val="single"/>
                </w:rPr>
                <w:t>Proposal 1 - Election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2">
              <w:r>
                <w:rPr>
                  <w:rStyle w:val="InternetLink"/>
                  <w:rFonts w:ascii="Arial;sans-serif" w:hAnsi="Arial;sans-serif"/>
                  <w:b w:val="false"/>
                  <w:color w:val="0000FF"/>
                  <w:sz w:val="20"/>
                  <w:u w:val="single"/>
                </w:rPr>
                <w:t>9</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5">
              <w:r>
                <w:rPr>
                  <w:rStyle w:val="InternetLink"/>
                  <w:rFonts w:ascii="Arial;sans-serif" w:hAnsi="Arial;sans-serif"/>
                  <w:b w:val="false"/>
                  <w:color w:val="0000FF"/>
                  <w:sz w:val="20"/>
                  <w:u w:val="single"/>
                </w:rPr>
                <w:t>Our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5">
              <w:r>
                <w:rPr>
                  <w:rStyle w:val="InternetLink"/>
                  <w:rFonts w:ascii="Arial;sans-serif" w:hAnsi="Arial;sans-serif"/>
                  <w:b w:val="false"/>
                  <w:color w:val="0000FF"/>
                  <w:sz w:val="20"/>
                  <w:u w:val="single"/>
                </w:rPr>
                <w:t>10</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8">
              <w:r>
                <w:rPr>
                  <w:rStyle w:val="InternetLink"/>
                  <w:rFonts w:ascii="Arial;sans-serif" w:hAnsi="Arial;sans-serif"/>
                  <w:b w:val="false"/>
                  <w:color w:val="0000FF"/>
                  <w:sz w:val="20"/>
                  <w:u w:val="single"/>
                </w:rPr>
                <w:t>Nominees for Election at the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8">
              <w:r>
                <w:rPr>
                  <w:rStyle w:val="InternetLink"/>
                  <w:rFonts w:ascii="Arial;sans-serif" w:hAnsi="Arial;sans-serif"/>
                  <w:b w:val="false"/>
                  <w:color w:val="0000FF"/>
                  <w:sz w:val="20"/>
                  <w:u w:val="single"/>
                </w:rPr>
                <w:t>10</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31">
              <w:r>
                <w:rPr>
                  <w:rStyle w:val="InternetLink"/>
                  <w:rFonts w:ascii="Arial;sans-serif" w:hAnsi="Arial;sans-serif"/>
                  <w:b w:val="false"/>
                  <w:color w:val="0000FF"/>
                  <w:sz w:val="20"/>
                  <w:u w:val="single"/>
                </w:rPr>
                <w:t>Directors Continuing in Office Until the 2027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31">
              <w:r>
                <w:rPr>
                  <w:rStyle w:val="InternetLink"/>
                  <w:rFonts w:ascii="Arial;sans-serif" w:hAnsi="Arial;sans-serif"/>
                  <w:b w:val="false"/>
                  <w:color w:val="0000FF"/>
                  <w:sz w:val="20"/>
                  <w:u w:val="single"/>
                </w:rPr>
                <w:t>11</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34">
              <w:r>
                <w:rPr>
                  <w:rStyle w:val="InternetLink"/>
                  <w:rFonts w:ascii="Arial;sans-serif" w:hAnsi="Arial;sans-serif"/>
                  <w:b w:val="false"/>
                  <w:color w:val="0000FF"/>
                  <w:sz w:val="20"/>
                  <w:u w:val="single"/>
                </w:rPr>
                <w:t>Directors Continuing in Office Until the 2028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34">
              <w:r>
                <w:rPr>
                  <w:rStyle w:val="InternetLink"/>
                  <w:rFonts w:ascii="Arial;sans-serif" w:hAnsi="Arial;sans-serif"/>
                  <w:b w:val="false"/>
                  <w:color w:val="0000FF"/>
                  <w:sz w:val="20"/>
                  <w:u w:val="single"/>
                </w:rPr>
                <w:t>14</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37">
              <w:r>
                <w:rPr>
                  <w:rStyle w:val="InternetLink"/>
                  <w:rFonts w:ascii="Arial;sans-serif" w:hAnsi="Arial;sans-serif"/>
                  <w:b/>
                  <w:color w:val="0000FF"/>
                  <w:sz w:val="20"/>
                  <w:u w:val="single"/>
                </w:rPr>
                <w:t>Information Regarding the Board of Directors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37">
              <w:r>
                <w:rPr>
                  <w:rStyle w:val="InternetLink"/>
                  <w:rFonts w:ascii="Arial;sans-serif" w:hAnsi="Arial;sans-serif"/>
                  <w:b w:val="false"/>
                  <w:color w:val="0000FF"/>
                  <w:sz w:val="20"/>
                  <w:u w:val="single"/>
                </w:rPr>
                <w:t>16</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40">
              <w:r>
                <w:rPr>
                  <w:rStyle w:val="InternetLink"/>
                  <w:rFonts w:ascii="Arial;sans-serif" w:hAnsi="Arial;sans-serif"/>
                  <w:b w:val="false"/>
                  <w:color w:val="0000FF"/>
                  <w:sz w:val="20"/>
                  <w:u w:val="single"/>
                </w:rPr>
                <w:t>General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40">
              <w:r>
                <w:rPr>
                  <w:rStyle w:val="InternetLink"/>
                  <w:rFonts w:ascii="Arial;sans-serif" w:hAnsi="Arial;sans-serif"/>
                  <w:b w:val="false"/>
                  <w:color w:val="0000FF"/>
                  <w:sz w:val="20"/>
                  <w:u w:val="single"/>
                </w:rPr>
                <w:t>16</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43">
              <w:r>
                <w:rPr>
                  <w:rStyle w:val="InternetLink"/>
                  <w:rFonts w:ascii="Arial;sans-serif" w:hAnsi="Arial;sans-serif"/>
                  <w:b w:val="false"/>
                  <w:color w:val="0000FF"/>
                  <w:sz w:val="20"/>
                  <w:u w:val="single"/>
                </w:rPr>
                <w:t>Corporate Governance Guidelines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43">
              <w:r>
                <w:rPr>
                  <w:rStyle w:val="InternetLink"/>
                  <w:rFonts w:ascii="Arial;sans-serif" w:hAnsi="Arial;sans-serif"/>
                  <w:b w:val="false"/>
                  <w:color w:val="0000FF"/>
                  <w:sz w:val="20"/>
                  <w:u w:val="single"/>
                </w:rPr>
                <w:t>16</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46">
              <w:r>
                <w:rPr>
                  <w:rStyle w:val="InternetLink"/>
                  <w:rFonts w:ascii="Arial;sans-serif" w:hAnsi="Arial;sans-serif"/>
                  <w:b w:val="false"/>
                  <w:color w:val="0000FF"/>
                  <w:sz w:val="20"/>
                  <w:u w:val="single"/>
                </w:rPr>
                <w:t>Independence of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46">
              <w:r>
                <w:rPr>
                  <w:rStyle w:val="InternetLink"/>
                  <w:rFonts w:ascii="Arial;sans-serif" w:hAnsi="Arial;sans-serif"/>
                  <w:b w:val="false"/>
                  <w:color w:val="0000FF"/>
                  <w:sz w:val="20"/>
                  <w:u w:val="single"/>
                </w:rPr>
                <w:t>17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49">
              <w:r>
                <w:rPr>
                  <w:rStyle w:val="InternetLink"/>
                  <w:rFonts w:ascii="Arial;sans-serif" w:hAnsi="Arial;sans-serif"/>
                  <w:b w:val="false"/>
                  <w:color w:val="0000FF"/>
                  <w:sz w:val="20"/>
                  <w:u w:val="single"/>
                </w:rPr>
                <w:t>Board Leadership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49">
              <w:r>
                <w:rPr>
                  <w:rStyle w:val="InternetLink"/>
                  <w:rFonts w:ascii="Arial;sans-serif" w:hAnsi="Arial;sans-serif"/>
                  <w:b w:val="false"/>
                  <w:color w:val="0000FF"/>
                  <w:sz w:val="20"/>
                  <w:u w:val="single"/>
                </w:rPr>
                <w:t>17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52">
              <w:r>
                <w:rPr>
                  <w:rStyle w:val="InternetLink"/>
                  <w:rFonts w:ascii="Arial;sans-serif" w:hAnsi="Arial;sans-serif"/>
                  <w:b w:val="false"/>
                  <w:color w:val="0000FF"/>
                  <w:sz w:val="20"/>
                  <w:u w:val="single"/>
                </w:rPr>
                <w:t>Distinctive Role of the Executive Chair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52">
              <w:r>
                <w:rPr>
                  <w:rStyle w:val="InternetLink"/>
                  <w:rFonts w:ascii="Arial;sans-serif" w:hAnsi="Arial;sans-serif"/>
                  <w:b w:val="false"/>
                  <w:color w:val="0000FF"/>
                  <w:sz w:val="20"/>
                  <w:u w:val="single"/>
                </w:rPr>
                <w:t>18</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55">
              <w:r>
                <w:rPr>
                  <w:rStyle w:val="InternetLink"/>
                  <w:rFonts w:ascii="Arial;sans-serif" w:hAnsi="Arial;sans-serif"/>
                  <w:b w:val="false"/>
                  <w:color w:val="0000FF"/>
                  <w:sz w:val="20"/>
                  <w:u w:val="single"/>
                </w:rPr>
                <w:t>Classified Board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55">
              <w:r>
                <w:rPr>
                  <w:rStyle w:val="InternetLink"/>
                  <w:rFonts w:ascii="Arial;sans-serif" w:hAnsi="Arial;sans-serif"/>
                  <w:b w:val="false"/>
                  <w:color w:val="0000FF"/>
                  <w:sz w:val="20"/>
                  <w:u w:val="single"/>
                </w:rPr>
                <w:t>19</w:t>
              </w:r>
            </w:hyperlink>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58">
              <w:r>
                <w:rPr>
                  <w:rStyle w:val="InternetLink"/>
                  <w:rFonts w:ascii="Arial;sans-serif" w:hAnsi="Arial;sans-serif"/>
                  <w:b w:val="false"/>
                  <w:color w:val="0000FF"/>
                  <w:sz w:val="20"/>
                  <w:u w:val="single"/>
                </w:rPr>
                <w:t>Board Qualifications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58">
              <w:r>
                <w:rPr>
                  <w:rStyle w:val="InternetLink"/>
                  <w:rFonts w:ascii="Arial;sans-serif" w:hAnsi="Arial;sans-serif"/>
                  <w:b w:val="false"/>
                  <w:color w:val="0000FF"/>
                  <w:sz w:val="20"/>
                  <w:u w:val="single"/>
                </w:rPr>
                <w:t>20</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61">
              <w:r>
                <w:rPr>
                  <w:rStyle w:val="InternetLink"/>
                  <w:rFonts w:ascii="Arial;sans-serif" w:hAnsi="Arial;sans-serif"/>
                  <w:b w:val="false"/>
                  <w:color w:val="0000FF"/>
                  <w:sz w:val="20"/>
                  <w:u w:val="single"/>
                </w:rPr>
                <w:t>Board Self-Evaluation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61">
              <w:r>
                <w:rPr>
                  <w:rStyle w:val="InternetLink"/>
                  <w:rFonts w:ascii="Arial;sans-serif" w:hAnsi="Arial;sans-serif"/>
                  <w:b w:val="false"/>
                  <w:color w:val="0000FF"/>
                  <w:sz w:val="20"/>
                  <w:u w:val="single"/>
                </w:rPr>
                <w:t>20</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64">
              <w:r>
                <w:rPr>
                  <w:rStyle w:val="InternetLink"/>
                  <w:rFonts w:ascii="Arial;sans-serif" w:hAnsi="Arial;sans-serif"/>
                  <w:b w:val="false"/>
                  <w:color w:val="0000FF"/>
                  <w:sz w:val="20"/>
                  <w:u w:val="single"/>
                </w:rPr>
                <w:t>Role of the Board in Risk Oversight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64">
              <w:r>
                <w:rPr>
                  <w:rStyle w:val="InternetLink"/>
                  <w:rFonts w:ascii="Arial;sans-serif" w:hAnsi="Arial;sans-serif"/>
                  <w:b w:val="false"/>
                  <w:color w:val="0000FF"/>
                  <w:sz w:val="20"/>
                  <w:u w:val="single"/>
                </w:rPr>
                <w:t>21</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67">
              <w:r>
                <w:rPr>
                  <w:rStyle w:val="InternetLink"/>
                  <w:rFonts w:ascii="Arial;sans-serif" w:hAnsi="Arial;sans-serif"/>
                  <w:b w:val="false"/>
                  <w:color w:val="000080"/>
                  <w:sz w:val="20"/>
                  <w:u w:val="single"/>
                </w:rPr>
                <w:t xml:space="preserve">Meetings of </w:t>
              </w:r>
            </w:hyperlink>
            <w:hyperlink w:anchor="id121fd34db0844cbbff352b55b073a2c_67">
              <w:r>
                <w:rPr>
                  <w:rStyle w:val="InternetLink"/>
                  <w:rFonts w:ascii="Arial;sans-serif" w:hAnsi="Arial;sans-serif"/>
                  <w:b w:val="false"/>
                  <w:color w:val="000080"/>
                  <w:sz w:val="20"/>
                  <w:u w:val="single"/>
                </w:rPr>
                <w:t>t</w:t>
              </w:r>
            </w:hyperlink>
            <w:hyperlink w:anchor="id121fd34db0844cbbff352b55b073a2c_67">
              <w:r>
                <w:rPr>
                  <w:rStyle w:val="InternetLink"/>
                  <w:rFonts w:ascii="Arial;sans-serif" w:hAnsi="Arial;sans-serif"/>
                  <w:b w:val="false"/>
                  <w:color w:val="000080"/>
                  <w:sz w:val="20"/>
                  <w:u w:val="single"/>
                </w:rPr>
                <w: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67">
              <w:r>
                <w:rPr>
                  <w:rStyle w:val="InternetLink"/>
                  <w:rFonts w:ascii="Arial;sans-serif" w:hAnsi="Arial;sans-serif"/>
                  <w:b w:val="false"/>
                  <w:color w:val="0000FF"/>
                  <w:sz w:val="20"/>
                  <w:u w:val="single"/>
                </w:rPr>
                <w:t>21</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70">
              <w:r>
                <w:rPr>
                  <w:rStyle w:val="InternetLink"/>
                  <w:rFonts w:ascii="Arial;sans-serif" w:hAnsi="Arial;sans-serif"/>
                  <w:b w:val="false"/>
                  <w:color w:val="0000FF"/>
                  <w:sz w:val="20"/>
                  <w:u w:val="single"/>
                </w:rPr>
                <w:t>Information Regarding Committees of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70">
              <w:r>
                <w:rPr>
                  <w:rStyle w:val="InternetLink"/>
                  <w:rFonts w:ascii="Arial;sans-serif" w:hAnsi="Arial;sans-serif"/>
                  <w:b w:val="false"/>
                  <w:color w:val="0000FF"/>
                  <w:sz w:val="20"/>
                  <w:u w:val="single"/>
                </w:rPr>
                <w:t>22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73">
              <w:r>
                <w:rPr>
                  <w:rStyle w:val="InternetLink"/>
                  <w:rFonts w:ascii="Arial;sans-serif" w:hAnsi="Arial;sans-serif"/>
                  <w:b w:val="false"/>
                  <w:color w:val="0000FF"/>
                  <w:sz w:val="20"/>
                  <w:u w:val="single"/>
                </w:rPr>
                <w:t>Audit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73">
              <w:r>
                <w:rPr>
                  <w:rStyle w:val="InternetLink"/>
                  <w:rFonts w:ascii="Arial;sans-serif" w:hAnsi="Arial;sans-serif"/>
                  <w:b w:val="false"/>
                  <w:color w:val="0000FF"/>
                  <w:sz w:val="20"/>
                  <w:u w:val="single"/>
                </w:rPr>
                <w:t>22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76">
              <w:r>
                <w:rPr>
                  <w:rStyle w:val="InternetLink"/>
                  <w:rFonts w:ascii="Arial;sans-serif" w:hAnsi="Arial;sans-serif"/>
                  <w:b w:val="false"/>
                  <w:color w:val="0000FF"/>
                  <w:sz w:val="20"/>
                  <w:u w:val="single"/>
                </w:rPr>
                <w:t>Compensation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76">
              <w:r>
                <w:rPr>
                  <w:rStyle w:val="InternetLink"/>
                  <w:rFonts w:ascii="Arial;sans-serif" w:hAnsi="Arial;sans-serif"/>
                  <w:b w:val="false"/>
                  <w:color w:val="0000FF"/>
                  <w:sz w:val="20"/>
                  <w:u w:val="single"/>
                </w:rPr>
                <w:t>23</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79">
              <w:r>
                <w:rPr>
                  <w:rStyle w:val="InternetLink"/>
                  <w:rFonts w:ascii="Arial;sans-serif" w:hAnsi="Arial;sans-serif"/>
                  <w:b w:val="false"/>
                  <w:color w:val="0000FF"/>
                  <w:sz w:val="20"/>
                  <w:u w:val="single"/>
                </w:rPr>
                <w:t>Nominating and Corporate Governance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79">
              <w:r>
                <w:rPr>
                  <w:rStyle w:val="InternetLink"/>
                  <w:rFonts w:ascii="Arial;sans-serif" w:hAnsi="Arial;sans-serif"/>
                  <w:b w:val="false"/>
                  <w:color w:val="0000FF"/>
                  <w:sz w:val="20"/>
                  <w:u w:val="single"/>
                </w:rPr>
                <w:t>25</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82">
              <w:r>
                <w:rPr>
                  <w:rStyle w:val="InternetLink"/>
                  <w:rFonts w:ascii="Arial;sans-serif" w:hAnsi="Arial;sans-serif"/>
                  <w:b w:val="false"/>
                  <w:color w:val="0000FF"/>
                  <w:sz w:val="20"/>
                  <w:u w:val="single"/>
                </w:rPr>
                <w:t>International and Business Development Oversight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82">
              <w:r>
                <w:rPr>
                  <w:rStyle w:val="InternetLink"/>
                  <w:rFonts w:ascii="Arial;sans-serif" w:hAnsi="Arial;sans-serif"/>
                  <w:b w:val="false"/>
                  <w:color w:val="0000FF"/>
                  <w:sz w:val="20"/>
                  <w:u w:val="single"/>
                </w:rPr>
                <w:t>26</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85">
              <w:r>
                <w:rPr>
                  <w:rStyle w:val="InternetLink"/>
                  <w:rFonts w:ascii="Arial;sans-serif" w:hAnsi="Arial;sans-serif"/>
                  <w:b w:val="false"/>
                  <w:color w:val="0000FF"/>
                  <w:sz w:val="20"/>
                  <w:u w:val="single"/>
                </w:rPr>
                <w:t>Research and Development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85">
              <w:r>
                <w:rPr>
                  <w:rStyle w:val="InternetLink"/>
                  <w:rFonts w:ascii="Arial;sans-serif" w:hAnsi="Arial;sans-serif"/>
                  <w:b w:val="false"/>
                  <w:color w:val="0000FF"/>
                  <w:sz w:val="20"/>
                  <w:u w:val="single"/>
                </w:rPr>
                <w:t>27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88">
              <w:r>
                <w:rPr>
                  <w:rStyle w:val="InternetLink"/>
                  <w:rFonts w:ascii="Arial;sans-serif" w:hAnsi="Arial;sans-serif"/>
                  <w:b w:val="false"/>
                  <w:color w:val="0000FF"/>
                  <w:sz w:val="20"/>
                  <w:u w:val="single"/>
                </w:rPr>
                <w:t>Stockholder Communications with 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88">
              <w:r>
                <w:rPr>
                  <w:rStyle w:val="InternetLink"/>
                  <w:rFonts w:ascii="Arial;sans-serif" w:hAnsi="Arial;sans-serif"/>
                  <w:b w:val="false"/>
                  <w:color w:val="0000FF"/>
                  <w:sz w:val="20"/>
                  <w:u w:val="single"/>
                </w:rPr>
                <w:t>27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91">
              <w:r>
                <w:rPr>
                  <w:rStyle w:val="InternetLink"/>
                  <w:rFonts w:ascii="Arial;sans-serif" w:hAnsi="Arial;sans-serif"/>
                  <w:b w:val="false"/>
                  <w:color w:val="0000FF"/>
                  <w:sz w:val="20"/>
                  <w:u w:val="single"/>
                </w:rPr>
                <w:t>Stockholder Engagement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91">
              <w:r>
                <w:rPr>
                  <w:rStyle w:val="InternetLink"/>
                  <w:rFonts w:ascii="Arial;sans-serif" w:hAnsi="Arial;sans-serif"/>
                  <w:b w:val="false"/>
                  <w:color w:val="0000FF"/>
                  <w:sz w:val="20"/>
                  <w:u w:val="single"/>
                </w:rPr>
                <w:t>27</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94">
              <w:r>
                <w:rPr>
                  <w:rStyle w:val="InternetLink"/>
                  <w:rFonts w:ascii="Arial;sans-serif" w:hAnsi="Arial;sans-serif"/>
                  <w:b w:val="false"/>
                  <w:color w:val="0000FF"/>
                  <w:sz w:val="20"/>
                  <w:u w:val="single"/>
                </w:rPr>
                <w:t>Code of Ethics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94">
              <w:r>
                <w:rPr>
                  <w:rStyle w:val="InternetLink"/>
                  <w:rFonts w:ascii="Arial;sans-serif" w:hAnsi="Arial;sans-serif"/>
                  <w:b w:val="false"/>
                  <w:color w:val="0000FF"/>
                  <w:sz w:val="20"/>
                  <w:u w:val="single"/>
                </w:rPr>
                <w:t>28</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97">
              <w:r>
                <w:rPr>
                  <w:rStyle w:val="InternetLink"/>
                  <w:rFonts w:ascii="Arial;sans-serif" w:hAnsi="Arial;sans-serif"/>
                  <w:b w:val="false"/>
                  <w:color w:val="0000FF"/>
                  <w:sz w:val="20"/>
                  <w:u w:val="single"/>
                </w:rPr>
                <w:t>Environmental, Social &amp; Governance (ESG) Practices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97">
              <w:r>
                <w:rPr>
                  <w:rStyle w:val="InternetLink"/>
                  <w:rFonts w:ascii="Arial;sans-serif" w:hAnsi="Arial;sans-serif"/>
                  <w:b w:val="false"/>
                  <w:color w:val="0000FF"/>
                  <w:sz w:val="20"/>
                  <w:u w:val="single"/>
                </w:rPr>
                <w:t>28</w:t>
              </w:r>
            </w:hyperlink>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00">
              <w:r>
                <w:rPr>
                  <w:rStyle w:val="InternetLink"/>
                  <w:rFonts w:ascii="Arial;sans-serif" w:hAnsi="Arial;sans-serif"/>
                  <w:b/>
                  <w:color w:val="0000FF"/>
                  <w:sz w:val="20"/>
                  <w:u w:val="single"/>
                </w:rPr>
                <w:t>Proposal 2 - Advisory Vote on 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00">
              <w:r>
                <w:rPr>
                  <w:rStyle w:val="InternetLink"/>
                  <w:rFonts w:ascii="Arial;sans-serif" w:hAnsi="Arial;sans-serif"/>
                  <w:b w:val="false"/>
                  <w:color w:val="0000FF"/>
                  <w:sz w:val="20"/>
                  <w:u w:val="single"/>
                </w:rPr>
                <w:t>30</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03">
              <w:r>
                <w:rPr>
                  <w:rStyle w:val="InternetLink"/>
                  <w:rFonts w:ascii="Arial;sans-serif" w:hAnsi="Arial;sans-serif"/>
                  <w:b w:val="false"/>
                  <w:color w:val="0000FF"/>
                  <w:sz w:val="20"/>
                  <w:u w:val="single"/>
                </w:rPr>
                <w:t>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03">
              <w:r>
                <w:rPr>
                  <w:rStyle w:val="InternetLink"/>
                  <w:rFonts w:ascii="Arial;sans-serif" w:hAnsi="Arial;sans-serif"/>
                  <w:b w:val="false"/>
                  <w:color w:val="0000FF"/>
                  <w:sz w:val="20"/>
                  <w:u w:val="single"/>
                </w:rPr>
                <w:t>31</w:t>
              </w:r>
            </w:hyperlink>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06">
              <w:r>
                <w:rPr>
                  <w:rStyle w:val="InternetLink"/>
                  <w:rFonts w:ascii="Arial;sans-serif" w:hAnsi="Arial;sans-serif"/>
                  <w:b/>
                  <w:color w:val="0000FF"/>
                  <w:sz w:val="20"/>
                  <w:u w:val="single"/>
                </w:rPr>
                <w:t>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06">
              <w:r>
                <w:rPr>
                  <w:rStyle w:val="InternetLink"/>
                  <w:rFonts w:ascii="Arial;sans-serif" w:hAnsi="Arial;sans-serif"/>
                  <w:b w:val="false"/>
                  <w:color w:val="0000FF"/>
                  <w:sz w:val="20"/>
                  <w:u w:val="single"/>
                </w:rPr>
                <w:t>32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09">
              <w:r>
                <w:rPr>
                  <w:rStyle w:val="InternetLink"/>
                  <w:rFonts w:ascii="Arial;sans-serif" w:hAnsi="Arial;sans-serif"/>
                  <w:b w:val="false"/>
                  <w:color w:val="0000FF"/>
                  <w:sz w:val="20"/>
                  <w:u w:val="single"/>
                </w:rPr>
                <w:t>Discussion of Named Executive Officer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09">
              <w:r>
                <w:rPr>
                  <w:rStyle w:val="InternetLink"/>
                  <w:rFonts w:ascii="Arial;sans-serif" w:hAnsi="Arial;sans-serif"/>
                  <w:b w:val="false"/>
                  <w:color w:val="0000FF"/>
                  <w:sz w:val="20"/>
                  <w:u w:val="single"/>
                </w:rPr>
                <w:t>32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12">
              <w:r>
                <w:rPr>
                  <w:rStyle w:val="InternetLink"/>
                  <w:rFonts w:ascii="Arial;sans-serif" w:hAnsi="Arial;sans-serif"/>
                  <w:b w:val="false"/>
                  <w:color w:val="0000FF"/>
                  <w:sz w:val="20"/>
                  <w:u w:val="single"/>
                </w:rPr>
                <w:t>Overview</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12">
              <w:r>
                <w:rPr>
                  <w:rStyle w:val="InternetLink"/>
                  <w:rFonts w:ascii="Arial;sans-serif" w:hAnsi="Arial;sans-serif"/>
                  <w:b w:val="false"/>
                  <w:color w:val="0000FF"/>
                  <w:sz w:val="20"/>
                  <w:u w:val="single"/>
                </w:rPr>
                <w:t>32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6"/>
        <w:gridCol w:w="3103"/>
        <w:gridCol w:w="3112"/>
        <w:gridCol w:w="109"/>
        <w:gridCol w:w="109"/>
        <w:gridCol w:w="156"/>
      </w:tblGrid>
      <w:tr>
        <w:trPr/>
        <w:tc>
          <w:tcPr>
            <w:tcW w:w="3616"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15">
              <w:r>
                <w:rPr>
                  <w:rStyle w:val="InternetLink"/>
                  <w:rFonts w:ascii="Arial;sans-serif" w:hAnsi="Arial;sans-serif"/>
                  <w:b w:val="false"/>
                  <w:color w:val="0000FF"/>
                  <w:sz w:val="20"/>
                  <w:u w:val="single"/>
                </w:rPr>
                <w:t>Corporate Highlights for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15">
              <w:r>
                <w:rPr>
                  <w:rStyle w:val="InternetLink"/>
                  <w:rFonts w:ascii="Arial;sans-serif" w:hAnsi="Arial;sans-serif"/>
                  <w:b w:val="false"/>
                  <w:color w:val="0000FF"/>
                  <w:sz w:val="20"/>
                  <w:u w:val="single"/>
                </w:rPr>
                <w:t>33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18">
              <w:r>
                <w:rPr>
                  <w:rStyle w:val="InternetLink"/>
                  <w:rFonts w:ascii="Arial;sans-serif" w:hAnsi="Arial;sans-serif"/>
                  <w:b w:val="false"/>
                  <w:color w:val="0000FF"/>
                  <w:sz w:val="20"/>
                  <w:u w:val="single"/>
                </w:rPr>
                <w:t>Compensation Highlights for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18">
              <w:r>
                <w:rPr>
                  <w:rStyle w:val="InternetLink"/>
                  <w:rFonts w:ascii="Arial;sans-serif" w:hAnsi="Arial;sans-serif"/>
                  <w:b w:val="false"/>
                  <w:color w:val="0000FF"/>
                  <w:sz w:val="20"/>
                  <w:u w:val="single"/>
                </w:rPr>
                <w:t>34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21">
              <w:r>
                <w:rPr>
                  <w:rStyle w:val="InternetLink"/>
                  <w:rFonts w:ascii="Arial;sans-serif" w:hAnsi="Arial;sans-serif"/>
                  <w:b w:val="false"/>
                  <w:color w:val="0000FF"/>
                  <w:sz w:val="20"/>
                  <w:u w:val="single"/>
                </w:rPr>
                <w:t>Executive Compensation Governance Practices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21">
              <w:r>
                <w:rPr>
                  <w:rStyle w:val="InternetLink"/>
                  <w:rFonts w:ascii="Arial;sans-serif" w:hAnsi="Arial;sans-serif"/>
                  <w:b w:val="false"/>
                  <w:color w:val="0000FF"/>
                  <w:sz w:val="20"/>
                  <w:u w:val="single"/>
                </w:rPr>
                <w:t>35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24">
              <w:r>
                <w:rPr>
                  <w:rStyle w:val="InternetLink"/>
                  <w:rFonts w:ascii="Arial;sans-serif" w:hAnsi="Arial;sans-serif"/>
                  <w:b w:val="false"/>
                  <w:color w:val="0000FF"/>
                  <w:sz w:val="20"/>
                  <w:u w:val="single"/>
                </w:rPr>
                <w:t>Response to Advisory Vote on Executive Compensation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24">
              <w:r>
                <w:rPr>
                  <w:rStyle w:val="InternetLink"/>
                  <w:rFonts w:ascii="Arial;sans-serif" w:hAnsi="Arial;sans-serif"/>
                  <w:b w:val="false"/>
                  <w:color w:val="0000FF"/>
                  <w:sz w:val="20"/>
                  <w:u w:val="single"/>
                </w:rPr>
                <w:t>36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27">
              <w:r>
                <w:rPr>
                  <w:rStyle w:val="InternetLink"/>
                  <w:rFonts w:ascii="Arial;sans-serif" w:hAnsi="Arial;sans-serif"/>
                  <w:b w:val="false"/>
                  <w:color w:val="0000FF"/>
                  <w:sz w:val="20"/>
                  <w:u w:val="single"/>
                </w:rPr>
                <w:t>Executive Compensation Philosophy and Overview</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27">
              <w:r>
                <w:rPr>
                  <w:rStyle w:val="InternetLink"/>
                  <w:rFonts w:ascii="Arial;sans-serif" w:hAnsi="Arial;sans-serif"/>
                  <w:b w:val="false"/>
                  <w:color w:val="0000FF"/>
                  <w:sz w:val="20"/>
                  <w:u w:val="single"/>
                </w:rPr>
                <w:t>36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30">
              <w:r>
                <w:rPr>
                  <w:rStyle w:val="InternetLink"/>
                  <w:rFonts w:ascii="Arial;sans-serif" w:hAnsi="Arial;sans-serif"/>
                  <w:b w:val="false"/>
                  <w:color w:val="0000FF"/>
                  <w:sz w:val="20"/>
                  <w:u w:val="single"/>
                </w:rPr>
                <w:t>2025 Summary Compensation Table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30">
              <w:r>
                <w:rPr>
                  <w:rStyle w:val="InternetLink"/>
                  <w:rFonts w:ascii="Arial;sans-serif" w:hAnsi="Arial;sans-serif"/>
                  <w:b w:val="false"/>
                  <w:color w:val="0000FF"/>
                  <w:sz w:val="20"/>
                  <w:u w:val="single"/>
                </w:rPr>
                <w:t>37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33">
              <w:r>
                <w:rPr>
                  <w:rStyle w:val="InternetLink"/>
                  <w:rFonts w:ascii="Arial;sans-serif" w:hAnsi="Arial;sans-serif"/>
                  <w:b w:val="false"/>
                  <w:color w:val="0000FF"/>
                  <w:sz w:val="20"/>
                  <w:u w:val="single"/>
                </w:rPr>
                <w:t>Narrative to Summary Compensation Table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33">
              <w:r>
                <w:rPr>
                  <w:rStyle w:val="InternetLink"/>
                  <w:rFonts w:ascii="Arial;sans-serif" w:hAnsi="Arial;sans-serif"/>
                  <w:b w:val="false"/>
                  <w:color w:val="0000FF"/>
                  <w:sz w:val="20"/>
                  <w:u w:val="single"/>
                </w:rPr>
                <w:t>37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36">
              <w:r>
                <w:rPr>
                  <w:rStyle w:val="InternetLink"/>
                  <w:rFonts w:ascii="Arial;sans-serif" w:hAnsi="Arial;sans-serif"/>
                  <w:b w:val="false"/>
                  <w:color w:val="0000FF"/>
                  <w:sz w:val="20"/>
                  <w:u w:val="single"/>
                </w:rPr>
                <w:t>Executive Compensation Program and Compensation Decisions for the Named Executive Officers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36">
              <w:r>
                <w:rPr>
                  <w:rStyle w:val="InternetLink"/>
                  <w:rFonts w:ascii="Arial;sans-serif" w:hAnsi="Arial;sans-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39">
              <w:r>
                <w:rPr>
                  <w:rStyle w:val="InternetLink"/>
                  <w:rFonts w:ascii="Arial;sans-serif" w:hAnsi="Arial;sans-serif"/>
                  <w:b w:val="false"/>
                  <w:color w:val="0000FF"/>
                  <w:sz w:val="20"/>
                  <w:u w:val="single"/>
                </w:rPr>
                <w:t>Agreements with our Named Executive Officers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39">
              <w:r>
                <w:rPr>
                  <w:rStyle w:val="InternetLink"/>
                  <w:rFonts w:ascii="Arial;sans-serif" w:hAnsi="Arial;sans-serif"/>
                  <w:b w:val="false"/>
                  <w:color w:val="0000FF"/>
                  <w:sz w:val="20"/>
                  <w:u w:val="single"/>
                </w:rPr>
                <w:t>44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42">
              <w:r>
                <w:rPr>
                  <w:rStyle w:val="InternetLink"/>
                  <w:rFonts w:ascii="Arial;sans-serif" w:hAnsi="Arial;sans-serif"/>
                  <w:b w:val="false"/>
                  <w:color w:val="0000FF"/>
                  <w:sz w:val="20"/>
                  <w:u w:val="single"/>
                </w:rPr>
                <w:t>Potential Payments and Benefits Upon Termination or Change in Control</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42">
              <w:r>
                <w:rPr>
                  <w:rStyle w:val="InternetLink"/>
                  <w:rFonts w:ascii="Arial;sans-serif" w:hAnsi="Arial;sans-serif"/>
                  <w:b w:val="false"/>
                  <w:color w:val="0000FF"/>
                  <w:sz w:val="20"/>
                  <w:u w:val="single"/>
                </w:rPr>
                <w:t>45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45">
              <w:r>
                <w:rPr>
                  <w:rStyle w:val="InternetLink"/>
                  <w:rFonts w:ascii="Arial;sans-serif" w:hAnsi="Arial;sans-serif"/>
                  <w:b w:val="false"/>
                  <w:color w:val="0000FF"/>
                  <w:sz w:val="20"/>
                  <w:u w:val="single"/>
                </w:rPr>
                <w:t>Stock Ownership Guidelines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45">
              <w:r>
                <w:rPr>
                  <w:rStyle w:val="InternetLink"/>
                  <w:rFonts w:ascii="Arial;sans-serif" w:hAnsi="Arial;sans-serif"/>
                  <w:b w:val="false"/>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48">
              <w:r>
                <w:rPr>
                  <w:rStyle w:val="InternetLink"/>
                  <w:rFonts w:ascii="Arial;sans-serif" w:hAnsi="Arial;sans-serif"/>
                  <w:b w:val="false"/>
                  <w:color w:val="0000FF"/>
                  <w:sz w:val="20"/>
                  <w:u w:val="single"/>
                </w:rPr>
                <w:t>Insider Trading Policy; Prohibition on Hedging, Pledging, and Speculative Trading</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48">
              <w:r>
                <w:rPr>
                  <w:rStyle w:val="InternetLink"/>
                  <w:rFonts w:ascii="Arial;sans-serif" w:hAnsi="Arial;sans-serif"/>
                  <w:b w:val="false"/>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51">
              <w:r>
                <w:rPr>
                  <w:rStyle w:val="InternetLink"/>
                  <w:rFonts w:ascii="Arial;sans-serif" w:hAnsi="Arial;sans-serif"/>
                  <w:b w:val="false"/>
                  <w:color w:val="0000FF"/>
                  <w:sz w:val="20"/>
                  <w:u w:val="single"/>
                </w:rPr>
                <w:t>Clawback Policy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51">
              <w:r>
                <w:rPr>
                  <w:rStyle w:val="InternetLink"/>
                  <w:rFonts w:ascii="Arial;sans-serif" w:hAnsi="Arial;sans-serif"/>
                  <w:b w:val="false"/>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54">
              <w:r>
                <w:rPr>
                  <w:rStyle w:val="InternetLink"/>
                  <w:rFonts w:ascii="Arial;sans-serif" w:hAnsi="Arial;sans-serif"/>
                  <w:b w:val="false"/>
                  <w:color w:val="0000FF"/>
                  <w:sz w:val="20"/>
                  <w:u w:val="single"/>
                </w:rPr>
                <w:t>2025 Outstanding Equity Awards at Fiscal Year-End Table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54">
              <w:r>
                <w:rPr>
                  <w:rStyle w:val="InternetLink"/>
                  <w:rFonts w:ascii="Arial;sans-serif" w:hAnsi="Arial;sans-serif"/>
                  <w:b w:val="false"/>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57">
              <w:r>
                <w:rPr>
                  <w:rStyle w:val="InternetLink"/>
                  <w:rFonts w:ascii="Arial;sans-serif" w:hAnsi="Arial;sans-serif"/>
                  <w:b w:val="false"/>
                  <w:color w:val="0000FF"/>
                  <w:sz w:val="20"/>
                  <w:u w:val="single"/>
                </w:rPr>
                <w:t>Securities Authorized for Issuance under Equity Compensation Plans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57">
              <w:r>
                <w:rPr>
                  <w:rStyle w:val="InternetLink"/>
                  <w:rFonts w:ascii="Arial;sans-serif" w:hAnsi="Arial;sans-serif"/>
                  <w:b w:val="false"/>
                  <w:color w:val="0000FF"/>
                  <w:sz w:val="20"/>
                  <w:u w:val="single"/>
                </w:rPr>
                <w:t>48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60">
              <w:r>
                <w:rPr>
                  <w:rStyle w:val="InternetLink"/>
                  <w:rFonts w:ascii="Arial;sans-serif" w:hAnsi="Arial;sans-serif"/>
                  <w:b w:val="false"/>
                  <w:color w:val="0000FF"/>
                  <w:sz w:val="20"/>
                  <w:u w:val="single"/>
                </w:rPr>
                <w:t>Pay Versus Performance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60">
              <w:r>
                <w:rPr>
                  <w:rStyle w:val="InternetLink"/>
                  <w:rFonts w:ascii="Arial;sans-serif" w:hAnsi="Arial;sans-serif"/>
                  <w:b w:val="false"/>
                  <w:color w:val="0000FF"/>
                  <w:sz w:val="20"/>
                  <w:u w:val="singl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63">
              <w:r>
                <w:rPr>
                  <w:rStyle w:val="InternetLink"/>
                  <w:rFonts w:ascii="Arial;sans-serif" w:hAnsi="Arial;sans-serif"/>
                  <w:b w:val="false"/>
                  <w:color w:val="0000FF"/>
                  <w:sz w:val="20"/>
                  <w:u w:val="single"/>
                </w:rPr>
                <w:t>Risk Assessment Concerning Compensation Practices and Policies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63">
              <w:r>
                <w:rPr>
                  <w:rStyle w:val="InternetLink"/>
                  <w:rFonts w:ascii="Arial;sans-serif" w:hAnsi="Arial;sans-serif"/>
                  <w:b w:val="false"/>
                  <w:color w:val="0000FF"/>
                  <w:sz w:val="20"/>
                  <w:u w:val="singl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66">
              <w:r>
                <w:rPr>
                  <w:rStyle w:val="InternetLink"/>
                  <w:rFonts w:ascii="Arial;sans-serif" w:hAnsi="Arial;sans-serif"/>
                  <w:b w:val="false"/>
                  <w:color w:val="0000FF"/>
                  <w:sz w:val="20"/>
                  <w:u w:val="single"/>
                </w:rPr>
                <w:t>Policies and Practices Related to the Grant of Certain Equity Awards Close in Time to the Release of Material Nonpublic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66">
              <w:r>
                <w:rPr>
                  <w:rStyle w:val="InternetLink"/>
                  <w:rFonts w:ascii="Arial;sans-serif" w:hAnsi="Arial;sans-serif"/>
                  <w:b w:val="false"/>
                  <w:color w:val="0000FF"/>
                  <w:sz w:val="20"/>
                  <w:u w:val="singl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69">
              <w:r>
                <w:rPr>
                  <w:rStyle w:val="InternetLink"/>
                  <w:rFonts w:ascii="Arial;sans-serif" w:hAnsi="Arial;sans-serif"/>
                  <w:b/>
                  <w:color w:val="0000FF"/>
                  <w:sz w:val="20"/>
                  <w:u w:val="single"/>
                </w:rPr>
                <w:t>Director Compensation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69">
              <w:r>
                <w:rPr>
                  <w:rStyle w:val="InternetLink"/>
                  <w:rFonts w:ascii="Arial;sans-serif" w:hAnsi="Arial;sans-serif"/>
                  <w:b w:val="false"/>
                  <w:color w:val="0000FF"/>
                  <w:sz w:val="20"/>
                  <w:u w:val="singl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72">
              <w:r>
                <w:rPr>
                  <w:rStyle w:val="InternetLink"/>
                  <w:rFonts w:ascii="Arial;sans-serif" w:hAnsi="Arial;sans-serif"/>
                  <w:b w:val="false"/>
                  <w:color w:val="0000FF"/>
                  <w:sz w:val="20"/>
                  <w:u w:val="single"/>
                </w:rPr>
                <w:t>Executive Chair Compensation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72">
              <w:r>
                <w:rPr>
                  <w:rStyle w:val="InternetLink"/>
                  <w:rFonts w:ascii="Arial;sans-serif" w:hAnsi="Arial;sans-serif"/>
                  <w:b w:val="false"/>
                  <w:color w:val="0000FF"/>
                  <w:sz w:val="20"/>
                  <w:u w:val="single"/>
                </w:rPr>
                <w:t>56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75">
              <w:r>
                <w:rPr>
                  <w:rStyle w:val="InternetLink"/>
                  <w:rFonts w:ascii="Arial;sans-serif" w:hAnsi="Arial;sans-serif"/>
                  <w:b w:val="false"/>
                  <w:color w:val="0000FF"/>
                  <w:sz w:val="20"/>
                  <w:u w:val="single"/>
                </w:rPr>
                <w:t>Non-Employee Director Compensation Policy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75">
              <w:r>
                <w:rPr>
                  <w:rStyle w:val="InternetLink"/>
                  <w:rFonts w:ascii="Arial;sans-serif" w:hAnsi="Arial;sans-serif"/>
                  <w:b w:val="false"/>
                  <w:color w:val="0000FF"/>
                  <w:sz w:val="20"/>
                  <w:u w:val="single"/>
                </w:rPr>
                <w:t>58</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78">
              <w:r>
                <w:rPr>
                  <w:rStyle w:val="InternetLink"/>
                  <w:rFonts w:ascii="Arial;sans-serif" w:hAnsi="Arial;sans-serif"/>
                  <w:b/>
                  <w:color w:val="000080"/>
                  <w:sz w:val="20"/>
                  <w:u w:val="single"/>
                </w:rPr>
                <w:t xml:space="preserve">Security Ownership </w:t>
              </w:r>
            </w:hyperlink>
            <w:hyperlink w:anchor="id121fd34db0844cbbff352b55b073a2c_178">
              <w:r>
                <w:rPr>
                  <w:rStyle w:val="InternetLink"/>
                  <w:rFonts w:ascii="Arial;sans-serif" w:hAnsi="Arial;sans-serif"/>
                  <w:b/>
                  <w:color w:val="000080"/>
                  <w:sz w:val="20"/>
                  <w:u w:val="single"/>
                </w:rPr>
                <w:t>o</w:t>
              </w:r>
            </w:hyperlink>
            <w:hyperlink w:anchor="id121fd34db0844cbbff352b55b073a2c_178">
              <w:r>
                <w:rPr>
                  <w:rStyle w:val="InternetLink"/>
                  <w:rFonts w:ascii="Arial;sans-serif" w:hAnsi="Arial;sans-serif"/>
                  <w:b/>
                  <w:color w:val="000080"/>
                  <w:sz w:val="20"/>
                  <w:u w:val="single"/>
                </w:rPr>
                <w:t>f</w:t>
              </w:r>
            </w:hyperlink>
            <w:hyperlink w:anchor="id121fd34db0844cbbff352b55b073a2c_178">
              <w:r>
                <w:rPr>
                  <w:rStyle w:val="InternetLink"/>
                  <w:rFonts w:ascii="Arial;sans-serif" w:hAnsi="Arial;sans-serif"/>
                  <w:b/>
                  <w:color w:val="000080"/>
                  <w:sz w:val="20"/>
                  <w:u w:val="single"/>
                </w:rPr>
                <w:t xml:space="preserve"> Certain Beneficial Owners and Management</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78">
              <w:r>
                <w:rPr>
                  <w:rStyle w:val="InternetLink"/>
                  <w:rFonts w:ascii="Arial;sans-serif" w:hAnsi="Arial;sans-serif"/>
                  <w:b w:val="false"/>
                  <w:color w:val="0000FF"/>
                  <w:sz w:val="20"/>
                  <w:u w:val="single"/>
                </w:rPr>
                <w:t>60</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84">
              <w:r>
                <w:rPr>
                  <w:rStyle w:val="InternetLink"/>
                  <w:rFonts w:ascii="Arial;sans-serif" w:hAnsi="Arial;sans-serif"/>
                  <w:b/>
                  <w:color w:val="0000FF"/>
                  <w:sz w:val="20"/>
                  <w:u w:val="single"/>
                </w:rPr>
                <w:t>Transactions with Related Persons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84">
              <w:r>
                <w:rPr>
                  <w:rStyle w:val="InternetLink"/>
                  <w:rFonts w:ascii="Arial;sans-serif" w:hAnsi="Arial;sans-serif"/>
                  <w:b w:val="false"/>
                  <w:color w:val="0000FF"/>
                  <w:sz w:val="20"/>
                  <w:u w:val="single"/>
                </w:rPr>
                <w:t>63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90">
              <w:r>
                <w:rPr>
                  <w:rStyle w:val="InternetLink"/>
                  <w:rFonts w:ascii="Arial;sans-serif" w:hAnsi="Arial;sans-serif"/>
                  <w:b/>
                  <w:color w:val="0000FF"/>
                  <w:sz w:val="20"/>
                  <w:u w:val="single"/>
                </w:rPr>
                <w:t>Proposal 3 - Say-On-Pay Vote Frequency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90">
              <w:r>
                <w:rPr>
                  <w:rStyle w:val="InternetLink"/>
                  <w:rFonts w:ascii="Arial;sans-serif" w:hAnsi="Arial;sans-serif"/>
                  <w:b w:val="false"/>
                  <w:color w:val="0000FF"/>
                  <w:sz w:val="20"/>
                  <w:u w:val="single"/>
                </w:rPr>
                <w:t>67</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30"/>
              <w:jc w:val="left"/>
              <w:rPr/>
            </w:pPr>
            <w:hyperlink w:anchor="id121fd34db0844cbbff352b55b073a2c_193">
              <w:r>
                <w:rPr>
                  <w:rStyle w:val="InternetLink"/>
                  <w:rFonts w:ascii="Arial;sans-serif" w:hAnsi="Arial;sans-serif"/>
                  <w:b/>
                  <w:color w:val="0000FF"/>
                  <w:sz w:val="20"/>
                  <w:u w:val="single"/>
                </w:rPr>
                <w:t>Proposal 4 - Amendment to Amended and Restated Certificate of Incorporation To Increase the Number of Authorized Shares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93">
              <w:r>
                <w:rPr>
                  <w:rStyle w:val="InternetLink"/>
                  <w:rFonts w:ascii="Arial;sans-serif" w:hAnsi="Arial;sans-serif"/>
                  <w:b w:val="false"/>
                  <w:color w:val="0000FF"/>
                  <w:sz w:val="20"/>
                  <w:u w:val="single"/>
                </w:rPr>
                <w:t>68</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199">
              <w:r>
                <w:rPr>
                  <w:rStyle w:val="InternetLink"/>
                  <w:rFonts w:ascii="Arial;sans-serif" w:hAnsi="Arial;sans-serif"/>
                  <w:b/>
                  <w:color w:val="0000FF"/>
                  <w:sz w:val="20"/>
                  <w:u w:val="single"/>
                </w:rPr>
                <w:t>Proposal 5 - Ratification of Selection of Independent Registered Public Accounting Firm</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199">
              <w:r>
                <w:rPr>
                  <w:rStyle w:val="InternetLink"/>
                  <w:rFonts w:ascii="Arial;sans-serif" w:hAnsi="Arial;sans-serif"/>
                  <w:b w:val="false"/>
                  <w:color w:val="0000FF"/>
                  <w:sz w:val="20"/>
                  <w:u w:val="single"/>
                </w:rPr>
                <w:t>70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05">
              <w:r>
                <w:rPr>
                  <w:rStyle w:val="InternetLink"/>
                  <w:rFonts w:ascii="Arial;sans-serif" w:hAnsi="Arial;sans-serif"/>
                  <w:b w:val="false"/>
                  <w:color w:val="0000FF"/>
                  <w:sz w:val="20"/>
                  <w:u w:val="single"/>
                </w:rPr>
                <w:t>Report of the Audit Committee of the Board of Directors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05">
              <w:r>
                <w:rPr>
                  <w:rStyle w:val="InternetLink"/>
                  <w:rFonts w:ascii="Arial;sans-serif" w:hAnsi="Arial;sans-serif"/>
                  <w:b w:val="false"/>
                  <w:color w:val="0000FF"/>
                  <w:sz w:val="20"/>
                  <w:u w:val="single"/>
                </w:rPr>
                <w:t>72</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08">
              <w:r>
                <w:rPr>
                  <w:rStyle w:val="InternetLink"/>
                  <w:rFonts w:ascii="Arial;sans-serif" w:hAnsi="Arial;sans-serif"/>
                  <w:b/>
                  <w:color w:val="0000FF"/>
                  <w:sz w:val="20"/>
                  <w:u w:val="single"/>
                </w:rPr>
                <w:t>Householding of Proxy Materials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08">
              <w:r>
                <w:rPr>
                  <w:rStyle w:val="InternetLink"/>
                  <w:rFonts w:ascii="Arial;sans-serif" w:hAnsi="Arial;sans-serif"/>
                  <w:b w:val="false"/>
                  <w:color w:val="0000FF"/>
                  <w:sz w:val="20"/>
                  <w:u w:val="single"/>
                </w:rPr>
                <w:t>73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11">
              <w:r>
                <w:rPr>
                  <w:rStyle w:val="InternetLink"/>
                  <w:rFonts w:ascii="Arial;sans-serif" w:hAnsi="Arial;sans-serif"/>
                  <w:b/>
                  <w:color w:val="0000FF"/>
                  <w:sz w:val="20"/>
                  <w:u w:val="single"/>
                </w:rPr>
                <w:t>Other Matters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11">
              <w:r>
                <w:rPr>
                  <w:rStyle w:val="InternetLink"/>
                  <w:rFonts w:ascii="Arial;sans-serif" w:hAnsi="Arial;sans-serif"/>
                  <w:b w:val="false"/>
                  <w:color w:val="0000FF"/>
                  <w:sz w:val="20"/>
                  <w:u w:val="single"/>
                </w:rPr>
                <w:t>74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572" w:type="dxa"/>
        <w:jc w:val="left"/>
        <w:tblInd w:w="0" w:type="dxa"/>
        <w:tblLayout w:type="fixed"/>
        <w:tblCellMar>
          <w:top w:w="28" w:type="dxa"/>
          <w:left w:w="28" w:type="dxa"/>
          <w:bottom w:w="28" w:type="dxa"/>
          <w:right w:w="28" w:type="dxa"/>
        </w:tblCellMar>
      </w:tblPr>
      <w:tblGrid>
        <w:gridCol w:w="434"/>
        <w:gridCol w:w="382"/>
        <w:gridCol w:w="384"/>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21fd34db0844cbbff352b55b073a2c_217">
              <w:r>
                <w:rPr>
                  <w:rStyle w:val="InternetLink"/>
                  <w:rFonts w:ascii="Arial;sans-serif" w:hAnsi="Arial;sans-serif"/>
                  <w:b/>
                  <w:color w:val="0000FF"/>
                  <w:sz w:val="20"/>
                  <w:u w:val="single"/>
                </w:rPr>
                <w:t>Appendix 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fd34db0844cbbff352b55b073a2c_217">
              <w:r>
                <w:rPr>
                  <w:rStyle w:val="InternetLink"/>
                  <w:rFonts w:ascii="Arial;sans-serif" w:hAnsi="Arial;sans-serif"/>
                  <w:b w:val="false"/>
                  <w:color w:val="0000FF"/>
                  <w:sz w:val="20"/>
                  <w:u w:val="single"/>
                </w:rPr>
                <w:t>77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1"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240" w:after="283"/>
        <w:jc w:val="center"/>
        <w:rPr>
          <w:rFonts w:ascii="Arial;sans-serif" w:hAnsi="Arial;sans-serif"/>
          <w:b/>
          <w:color w:val="05686F"/>
          <w:sz w:val="20"/>
        </w:rPr>
      </w:pPr>
      <w:r>
        <w:rPr>
          <w:rFonts w:ascii="Arial;sans-serif" w:hAnsi="Arial;sans-serif"/>
          <w:b/>
          <w:color w:val="05686F"/>
          <w:sz w:val="20"/>
        </w:rPr>
        <w:t>ALLOGENE THERAPEUTICS, INC.</w:t>
      </w:r>
    </w:p>
    <w:p>
      <w:pPr>
        <w:pStyle w:val="TextBody"/>
        <w:bidi w:val="0"/>
        <w:spacing w:lineRule="auto" w:line="333" w:before="240" w:after="283"/>
        <w:jc w:val="center"/>
        <w:rPr>
          <w:rFonts w:ascii="Arial;sans-serif" w:hAnsi="Arial;sans-serif"/>
          <w:b/>
          <w:color w:val="05686F"/>
          <w:sz w:val="20"/>
        </w:rPr>
      </w:pPr>
      <w:r>
        <w:rPr>
          <w:rFonts w:ascii="Arial;sans-serif" w:hAnsi="Arial;sans-serif"/>
          <w:b/>
          <w:color w:val="05686F"/>
          <w:sz w:val="20"/>
        </w:rPr>
        <w:t>210 East Grand Avenue</w:t>
      </w:r>
    </w:p>
    <w:p>
      <w:pPr>
        <w:pStyle w:val="TextBody"/>
        <w:bidi w:val="0"/>
        <w:spacing w:lineRule="auto" w:line="333" w:before="0" w:after="0"/>
        <w:jc w:val="center"/>
        <w:rPr>
          <w:rFonts w:ascii="Arial;sans-serif" w:hAnsi="Arial;sans-serif"/>
          <w:b/>
          <w:color w:val="05686F"/>
          <w:sz w:val="20"/>
        </w:rPr>
      </w:pPr>
      <w:r>
        <w:rPr>
          <w:rFonts w:ascii="Arial;sans-serif" w:hAnsi="Arial;sans-serif"/>
          <w:b/>
          <w:color w:val="05686F"/>
          <w:sz w:val="20"/>
        </w:rPr>
        <w:t>South San Francisco, California 94080</w:t>
      </w:r>
    </w:p>
    <w:p>
      <w:pPr>
        <w:pStyle w:val="TextBody"/>
        <w:bidi w:val="0"/>
        <w:spacing w:lineRule="auto" w:line="333" w:before="240" w:after="283"/>
        <w:jc w:val="center"/>
        <w:rPr>
          <w:rFonts w:ascii="Arial;sans-serif" w:hAnsi="Arial;sans-serif"/>
          <w:b/>
          <w:color w:val="000000"/>
          <w:sz w:val="20"/>
        </w:rPr>
      </w:pPr>
      <w:r>
        <w:rPr>
          <w:rFonts w:ascii="Arial;sans-serif" w:hAnsi="Arial;sans-serif"/>
          <w:b/>
          <w:color w:val="000000"/>
          <w:sz w:val="20"/>
        </w:rPr>
        <w:t>PROXY STATEMENT FOR THE</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2026 ANNUAL MEETING OF STOCKHOLDERS TO BE HELD ON</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June 18,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5"/>
        <w:gridCol w:w="1154"/>
        <w:gridCol w:w="1162"/>
        <w:gridCol w:w="109"/>
        <w:gridCol w:w="109"/>
        <w:gridCol w:w="109"/>
        <w:gridCol w:w="310"/>
        <w:gridCol w:w="310"/>
        <w:gridCol w:w="311"/>
        <w:gridCol w:w="1290"/>
        <w:gridCol w:w="1081"/>
        <w:gridCol w:w="1039"/>
        <w:gridCol w:w="557"/>
        <w:gridCol w:w="557"/>
        <w:gridCol w:w="792"/>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686F"/>
                <w:sz w:val="30"/>
              </w:rPr>
            </w:pPr>
            <w:r>
              <w:rPr>
                <w:rFonts w:ascii="Arial;sans-serif" w:hAnsi="Arial;sans-serif"/>
                <w:b/>
                <w:color w:val="05686F"/>
                <w:sz w:val="30"/>
              </w:rPr>
              <w:t>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05686F" w:val="clear"/>
            <w:tcMar>
              <w:top w:w="0" w:type="dxa"/>
              <w:left w:w="0" w:type="dxa"/>
              <w:bottom w:w="0" w:type="dxa"/>
              <w:right w:w="0" w:type="dxa"/>
            </w:tcMar>
            <w:vAlign w:val="center"/>
          </w:tcPr>
          <w:p>
            <w:pPr>
              <w:pStyle w:val="TableContents"/>
              <w:bidi w:val="0"/>
              <w:spacing w:lineRule="auto" w:line="333" w:before="0" w:after="30"/>
              <w:ind w:left="0" w:right="0" w:firstLine="60"/>
              <w:jc w:val="center"/>
              <w:rPr>
                <w:rFonts w:ascii="Arial;sans-serif" w:hAnsi="Arial;sans-serif"/>
                <w:b/>
                <w:color w:val="FFFFFF"/>
                <w:sz w:val="18"/>
                <w:u w:val="single"/>
              </w:rPr>
            </w:pPr>
            <w:r>
              <w:rPr>
                <w:rFonts w:ascii="Arial;sans-serif" w:hAnsi="Arial;sans-serif"/>
                <w:b/>
                <w:color w:val="FFFFFF"/>
                <w:sz w:val="18"/>
                <w:u w:val="single"/>
              </w:rPr>
              <w:t>Proposal</w:t>
            </w:r>
          </w:p>
        </w:tc>
        <w:tc>
          <w:tcPr>
            <w:tcW w:w="3410" w:type="dxa"/>
            <w:gridSpan w:val="3"/>
            <w:vMerge w:val="restart"/>
            <w:tcBorders/>
            <w:shd w:fill="05686F" w:val="clear"/>
            <w:tcMar>
              <w:top w:w="0" w:type="dxa"/>
              <w:left w:w="0" w:type="dxa"/>
              <w:bottom w:w="0" w:type="dxa"/>
              <w:right w:w="0" w:type="dxa"/>
            </w:tcMar>
            <w:vAlign w:val="center"/>
          </w:tcPr>
          <w:p>
            <w:pPr>
              <w:pStyle w:val="TableContents"/>
              <w:bidi w:val="0"/>
              <w:spacing w:lineRule="auto" w:line="333" w:before="0" w:after="30"/>
              <w:jc w:val="center"/>
              <w:rPr>
                <w:rFonts w:ascii="Arial;sans-serif" w:hAnsi="Arial;sans-serif"/>
                <w:b/>
                <w:color w:val="FFFFFF"/>
                <w:sz w:val="18"/>
                <w:u w:val="single"/>
              </w:rPr>
            </w:pPr>
            <w:r>
              <w:rPr>
                <w:rFonts w:ascii="Arial;sans-serif" w:hAnsi="Arial;sans-serif"/>
                <w:b/>
                <w:color w:val="FFFFFF"/>
                <w:sz w:val="18"/>
                <w:u w:val="single"/>
              </w:rPr>
              <w:t>Matter to be voted on</w:t>
            </w:r>
          </w:p>
        </w:tc>
        <w:tc>
          <w:tcPr>
            <w:tcW w:w="1906" w:type="dxa"/>
            <w:gridSpan w:val="3"/>
            <w:vMerge w:val="restart"/>
            <w:tcBorders/>
            <w:shd w:fill="05686F" w:val="clear"/>
            <w:tcMar>
              <w:top w:w="0" w:type="dxa"/>
              <w:left w:w="0" w:type="dxa"/>
              <w:bottom w:w="0" w:type="dxa"/>
              <w:right w:w="0" w:type="dxa"/>
            </w:tcMar>
            <w:vAlign w:val="center"/>
          </w:tcPr>
          <w:p>
            <w:pPr>
              <w:pStyle w:val="TableContents"/>
              <w:bidi w:val="0"/>
              <w:spacing w:lineRule="auto" w:line="333" w:before="0" w:after="30"/>
              <w:ind w:left="0" w:right="0" w:hanging="25"/>
              <w:jc w:val="center"/>
              <w:rPr>
                <w:rFonts w:ascii="Arial;sans-serif" w:hAnsi="Arial;sans-serif"/>
                <w:b/>
                <w:color w:val="FFFFFF"/>
                <w:sz w:val="18"/>
              </w:rPr>
            </w:pPr>
            <w:r>
              <w:rPr>
                <w:rFonts w:ascii="Arial;sans-serif" w:hAnsi="Arial;sans-serif"/>
                <w:b/>
                <w:color w:val="FFFFFF"/>
                <w:sz w:val="18"/>
              </w:rPr>
              <w:t>Board recommendation</w:t>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5686F"/>
                <w:sz w:val="30"/>
              </w:rPr>
            </w:pPr>
            <w:r>
              <w:rPr>
                <w:rFonts w:ascii="Arial;sans-serif" w:hAnsi="Arial;sans-serif"/>
                <w:b/>
                <w:color w:val="05686F"/>
                <w:sz w:val="30"/>
              </w:rPr>
              <w:t>at a glance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05686F" w:val="clear"/>
            <w:tcMar>
              <w:top w:w="0" w:type="dxa"/>
              <w:left w:w="0" w:type="dxa"/>
              <w:bottom w:w="0" w:type="dxa"/>
              <w:right w:w="0" w:type="dxa"/>
            </w:tcMar>
            <w:vAlign w:val="center"/>
          </w:tcPr>
          <w:p>
            <w:pPr>
              <w:pStyle w:val="Normal"/>
              <w:bidi w:val="0"/>
              <w:jc w:val="left"/>
              <w:rPr/>
            </w:pPr>
            <w:r>
              <w:rPr/>
            </w:r>
          </w:p>
        </w:tc>
        <w:tc>
          <w:tcPr>
            <w:tcW w:w="3410" w:type="dxa"/>
            <w:gridSpan w:val="3"/>
            <w:vMerge w:val="continue"/>
            <w:tcBorders/>
            <w:shd w:fill="05686F"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05686F" w:val="clear"/>
            <w:tcMar>
              <w:top w:w="0" w:type="dxa"/>
              <w:left w:w="0" w:type="dxa"/>
              <w:bottom w:w="0" w:type="dxa"/>
              <w:right w:w="0" w:type="dxa"/>
            </w:tcMar>
            <w:vAlign w:val="center"/>
          </w:tcPr>
          <w:p>
            <w:pPr>
              <w:pStyle w:val="Normal"/>
              <w:bidi w:val="0"/>
              <w:jc w:val="left"/>
              <w:rPr/>
            </w:pPr>
            <w:r>
              <w:rPr/>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18"/>
              </w:rPr>
            </w:pPr>
            <w:r>
              <w:rPr>
                <w:rFonts w:ascii="Arial;sans-serif" w:hAnsi="Arial;sans-serif"/>
                <w:b/>
                <w:color w:val="BF2115"/>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1</w:t>
            </w:r>
          </w:p>
        </w:tc>
        <w:tc>
          <w:tcPr>
            <w:tcW w:w="3410"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Election of three directors</w:t>
            </w:r>
          </w:p>
        </w:tc>
        <w:tc>
          <w:tcPr>
            <w:tcW w:w="1906"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FOR</w:t>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41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18"/>
              </w:rPr>
            </w:pPr>
            <w:r>
              <w:rPr>
                <w:rFonts w:ascii="Arial;sans-serif" w:hAnsi="Arial;sans-serif"/>
                <w:b/>
                <w:color w:val="BF2115"/>
                <w:sz w:val="18"/>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2</w:t>
            </w:r>
          </w:p>
        </w:tc>
        <w:tc>
          <w:tcPr>
            <w:tcW w:w="3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Advisory approval of executive compensation</w:t>
            </w:r>
          </w:p>
        </w:tc>
        <w:tc>
          <w:tcPr>
            <w:tcW w:w="1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FOR</w:t>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8:00 a.m. Pacific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410" w:type="dxa"/>
            <w:gridSpan w:val="3"/>
            <w:vMerge w:val="continue"/>
            <w:tcBorders/>
            <w:tcMar>
              <w:top w:w="0" w:type="dxa"/>
              <w:left w:w="0" w:type="dxa"/>
              <w:bottom w:w="0" w:type="dxa"/>
              <w:right w:w="0" w:type="dxa"/>
            </w:tcMar>
            <w:vAlign w:val="center"/>
          </w:tcPr>
          <w:p>
            <w:pPr>
              <w:pStyle w:val="Normal"/>
              <w:bidi w:val="0"/>
              <w:jc w:val="left"/>
              <w:rPr/>
            </w:pPr>
            <w:r>
              <w:rPr/>
            </w:r>
          </w:p>
        </w:tc>
        <w:tc>
          <w:tcPr>
            <w:tcW w:w="1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18"/>
              </w:rPr>
            </w:pPr>
            <w:r>
              <w:rPr>
                <w:rFonts w:ascii="Arial;sans-serif" w:hAnsi="Arial;sans-serif"/>
                <w:b/>
                <w:color w:val="BF2115"/>
                <w:sz w:val="18"/>
              </w:rPr>
              <w:t>Format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3</w:t>
            </w:r>
          </w:p>
        </w:tc>
        <w:tc>
          <w:tcPr>
            <w:tcW w:w="3410"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Advisory vote on say-on-pay frequency</w:t>
            </w:r>
          </w:p>
        </w:tc>
        <w:tc>
          <w:tcPr>
            <w:tcW w:w="1906"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1 YEAR</w:t>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Completely virtual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41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18"/>
              </w:rPr>
            </w:pPr>
            <w:r>
              <w:rPr>
                <w:rFonts w:ascii="Arial;sans-serif" w:hAnsi="Arial;sans-serif"/>
                <w:b/>
                <w:color w:val="BF2115"/>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4</w:t>
            </w:r>
          </w:p>
        </w:tc>
        <w:tc>
          <w:tcPr>
            <w:tcW w:w="3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authorized common stock to 800,000,000 shares</w:t>
            </w:r>
          </w:p>
        </w:tc>
        <w:tc>
          <w:tcPr>
            <w:tcW w:w="1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FOR</w:t>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410" w:type="dxa"/>
            <w:gridSpan w:val="3"/>
            <w:vMerge w:val="continue"/>
            <w:tcBorders/>
            <w:tcMar>
              <w:top w:w="0" w:type="dxa"/>
              <w:left w:w="0" w:type="dxa"/>
              <w:bottom w:w="0" w:type="dxa"/>
              <w:right w:w="0" w:type="dxa"/>
            </w:tcMar>
            <w:vAlign w:val="center"/>
          </w:tcPr>
          <w:p>
            <w:pPr>
              <w:pStyle w:val="Normal"/>
              <w:bidi w:val="0"/>
              <w:jc w:val="left"/>
              <w:rPr/>
            </w:pPr>
            <w:r>
              <w:rPr/>
            </w:r>
          </w:p>
        </w:tc>
        <w:tc>
          <w:tcPr>
            <w:tcW w:w="1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BF2115"/>
                <w:sz w:val="18"/>
              </w:rPr>
            </w:pPr>
            <w:r>
              <w:rPr>
                <w:rFonts w:ascii="Arial;sans-serif" w:hAnsi="Arial;sans-serif"/>
                <w:b/>
                <w:color w:val="BF2115"/>
                <w:sz w:val="18"/>
              </w:rPr>
              <w:t>Webcast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5</w:t>
            </w:r>
          </w:p>
        </w:tc>
        <w:tc>
          <w:tcPr>
            <w:tcW w:w="3410"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Ratification of Ernst &amp; Young LLP</w:t>
            </w:r>
          </w:p>
        </w:tc>
        <w:tc>
          <w:tcPr>
            <w:tcW w:w="1906"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FOR</w:t>
            </w:r>
          </w:p>
        </w:tc>
      </w:tr>
      <w:tr>
        <w:trPr/>
        <w:tc>
          <w:tcPr>
            <w:tcW w:w="3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www.virtualshareholdermeeting.com/ALLO2026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3410"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1906"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333" w:before="240" w:after="283"/>
        <w:jc w:val="left"/>
        <w:rPr>
          <w:rFonts w:ascii="Arial;sans-serif" w:hAnsi="Arial;sans-serif"/>
          <w:b/>
          <w:color w:val="05686F"/>
          <w:sz w:val="30"/>
        </w:rPr>
      </w:pPr>
      <w:r>
        <w:rPr>
          <w:rFonts w:ascii="Arial;sans-serif" w:hAnsi="Arial;sans-serif"/>
          <w:b/>
          <w:color w:val="05686F"/>
          <w:sz w:val="30"/>
        </w:rPr>
        <w:t>2025 Highlights</w:t>
      </w:r>
    </w:p>
    <w:tbl>
      <w:tblPr>
        <w:tblW w:w="10205" w:type="dxa"/>
        <w:jc w:val="left"/>
        <w:tblInd w:w="0" w:type="dxa"/>
        <w:tblLayout w:type="fixed"/>
        <w:tblCellMar>
          <w:top w:w="28" w:type="dxa"/>
          <w:left w:w="28" w:type="dxa"/>
          <w:bottom w:w="28" w:type="dxa"/>
          <w:right w:w="28" w:type="dxa"/>
        </w:tblCellMar>
      </w:tblPr>
      <w:tblGrid>
        <w:gridCol w:w="1905"/>
        <w:gridCol w:w="1453"/>
        <w:gridCol w:w="1456"/>
        <w:gridCol w:w="1989"/>
        <w:gridCol w:w="1404"/>
        <w:gridCol w:w="1998"/>
      </w:tblGrid>
      <w:tr>
        <w:trPr/>
        <w:tc>
          <w:tcPr>
            <w:tcW w:w="190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4" w:space="0" w:color="05686F"/>
              <w:left w:val="single" w:sz="4" w:space="0" w:color="05686F"/>
            </w:tcBorders>
            <w:shd w:fill="DBDBDB"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333" w:before="0" w:after="0"/>
              <w:jc w:val="left"/>
              <w:rPr>
                <w:rFonts w:ascii="Arial;sans-serif" w:hAnsi="Arial;sans-serif"/>
                <w:b/>
                <w:color w:val="05686F"/>
                <w:sz w:val="30"/>
              </w:rPr>
            </w:pPr>
            <w:r>
              <w:rPr>
                <w:rFonts w:ascii="Arial;sans-serif" w:hAnsi="Arial;sans-serif"/>
                <w:b/>
                <w:color w:val="05686F"/>
                <w:sz w:val="30"/>
              </w:rPr>
              <w:t>Cema-cel and ALPHA3</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Advanced the pivotal Phase 2 ALPHA3 trial with over 60 sites activated in the U.S. and Canada</w:t>
            </w:r>
            <w:r>
              <w:rPr>
                <w:color w:val="BF2115"/>
              </w:rPr>
              <w:t xml:space="preserve"> </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Expanded the strategic MRD collaboration with Foresight Diagnostics (now part of Natera)</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Strengthened the cema-cel legal and territorial foundation</w:t>
            </w:r>
          </w:p>
          <w:p>
            <w:pPr>
              <w:pStyle w:val="TableContents"/>
              <w:bidi w:val="0"/>
              <w:spacing w:lineRule="auto" w:line="333" w:before="0" w:after="0"/>
              <w:jc w:val="left"/>
              <w:rPr>
                <w:color w:val="000000"/>
              </w:rPr>
            </w:pPr>
            <w:r>
              <w:rPr>
                <w:color w:val="000000"/>
              </w:rPr>
              <w:t> </w:t>
            </w:r>
          </w:p>
        </w:tc>
        <w:tc>
          <w:tcPr>
            <w:tcW w:w="5391" w:type="dxa"/>
            <w:gridSpan w:val="3"/>
            <w:tcBorders>
              <w:top w:val="single" w:sz="4" w:space="0" w:color="05686F"/>
              <w:left w:val="single" w:sz="4" w:space="0" w:color="05686F"/>
              <w:right w:val="single" w:sz="4" w:space="0" w:color="05686F"/>
            </w:tcBorders>
            <w:tcMar>
              <w:top w:w="30" w:type="dxa"/>
              <w:bottom w:w="0" w:type="dxa"/>
            </w:tcMar>
            <w:vAlign w:val="center"/>
          </w:tcPr>
          <w:p>
            <w:pPr>
              <w:pStyle w:val="TableContents"/>
              <w:bidi w:val="0"/>
              <w:spacing w:before="0" w:after="0"/>
              <w:jc w:val="left"/>
              <w:rPr/>
            </w:pPr>
            <w:r>
              <w:rPr/>
            </w:r>
          </w:p>
          <w:p>
            <w:pPr>
              <w:pStyle w:val="TableContents"/>
              <w:bidi w:val="0"/>
              <w:spacing w:lineRule="auto" w:line="333" w:before="0" w:after="0"/>
              <w:jc w:val="left"/>
              <w:rPr>
                <w:rFonts w:ascii="Arial;sans-serif" w:hAnsi="Arial;sans-serif"/>
                <w:b/>
                <w:color w:val="05686F"/>
                <w:sz w:val="30"/>
              </w:rPr>
            </w:pPr>
            <w:r>
              <w:rPr>
                <w:rFonts w:ascii="Arial;sans-serif" w:hAnsi="Arial;sans-serif"/>
                <w:b/>
                <w:color w:val="05686F"/>
                <w:sz w:val="30"/>
              </w:rPr>
              <w:t>ALLO-316</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Showcased updated Phase 1 TRAVERSE clinical data at ASCO 2025</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Highlighted a 31% confirmed response rate in patients with CD70 TPS ≥50%</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Advanced regulatory-path planning for a pivotal/registration trial</w:t>
            </w:r>
          </w:p>
        </w:tc>
      </w:tr>
      <w:tr>
        <w:trPr/>
        <w:tc>
          <w:tcPr>
            <w:tcW w:w="4814" w:type="dxa"/>
            <w:gridSpan w:val="3"/>
            <w:tcBorders>
              <w:top w:val="single" w:sz="4" w:space="0" w:color="05686F"/>
              <w:left w:val="single" w:sz="4" w:space="0" w:color="05686F"/>
              <w:bottom w:val="single" w:sz="4" w:space="0" w:color="05686F"/>
            </w:tcBorders>
            <w:tcMar>
              <w:top w:w="30" w:type="dxa"/>
              <w:bottom w:w="30" w:type="dxa"/>
              <w:right w:w="0" w:type="dxa"/>
            </w:tcMar>
            <w:vAlign w:val="center"/>
          </w:tcPr>
          <w:p>
            <w:pPr>
              <w:pStyle w:val="TableContents"/>
              <w:bidi w:val="0"/>
              <w:spacing w:before="0" w:after="0"/>
              <w:jc w:val="left"/>
              <w:rPr/>
            </w:pPr>
            <w:r>
              <w:rPr/>
            </w:r>
          </w:p>
          <w:p>
            <w:pPr>
              <w:pStyle w:val="TableContents"/>
              <w:bidi w:val="0"/>
              <w:spacing w:lineRule="auto" w:line="333" w:before="0" w:after="0"/>
              <w:jc w:val="left"/>
              <w:rPr>
                <w:rFonts w:ascii="Arial;sans-serif" w:hAnsi="Arial;sans-serif"/>
                <w:b/>
                <w:color w:val="05686F"/>
                <w:sz w:val="30"/>
              </w:rPr>
            </w:pPr>
            <w:r>
              <w:rPr>
                <w:rFonts w:ascii="Arial;sans-serif" w:hAnsi="Arial;sans-serif"/>
                <w:b/>
                <w:color w:val="05686F"/>
                <w:sz w:val="30"/>
              </w:rPr>
              <w:t>ALLO-329 autoimmune program</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Secured FDA IND clearance for ALLO-329</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Received three FDA Fast Track designations</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Initiated the Phase 1 RESOLUTION trial and progressed to active enrollment</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Advanced Dagger® technology into autoimmune disease development</w:t>
            </w:r>
          </w:p>
        </w:tc>
        <w:tc>
          <w:tcPr>
            <w:tcW w:w="5391" w:type="dxa"/>
            <w:gridSpan w:val="3"/>
            <w:tcBorders>
              <w:top w:val="single" w:sz="4" w:space="0" w:color="05686F"/>
              <w:left w:val="single" w:sz="4" w:space="0" w:color="05686F"/>
              <w:bottom w:val="single" w:sz="4" w:space="0" w:color="05686F"/>
              <w:right w:val="single" w:sz="4" w:space="0" w:color="05686F"/>
            </w:tcBorders>
            <w:shd w:fill="DBDBDB" w:val="clear"/>
            <w:tcMar>
              <w:top w:w="30" w:type="dxa"/>
              <w:bottom w:w="30" w:type="dxa"/>
            </w:tcMar>
            <w:vAlign w:val="center"/>
          </w:tcPr>
          <w:p>
            <w:pPr>
              <w:pStyle w:val="TableContents"/>
              <w:bidi w:val="0"/>
              <w:spacing w:before="0" w:after="0"/>
              <w:jc w:val="left"/>
              <w:rPr/>
            </w:pPr>
            <w:r>
              <w:rPr/>
            </w:r>
          </w:p>
          <w:p>
            <w:pPr>
              <w:pStyle w:val="TableContents"/>
              <w:bidi w:val="0"/>
              <w:spacing w:lineRule="auto" w:line="333" w:before="0" w:after="0"/>
              <w:jc w:val="left"/>
              <w:rPr>
                <w:rFonts w:ascii="Arial;sans-serif" w:hAnsi="Arial;sans-serif"/>
                <w:b/>
                <w:color w:val="05686F"/>
                <w:sz w:val="30"/>
              </w:rPr>
            </w:pPr>
            <w:r>
              <w:rPr>
                <w:rFonts w:ascii="Arial;sans-serif" w:hAnsi="Arial;sans-serif"/>
                <w:b/>
                <w:color w:val="05686F"/>
                <w:sz w:val="30"/>
              </w:rPr>
              <w:t>Infrastructure and operations</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Continued to leverage Cell Forge 1 ("CF1") to manufacture product candidates for clinical trials</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Executed operational and cost realignment initiatives during 2025</w:t>
            </w:r>
          </w:p>
          <w:p>
            <w:pPr>
              <w:pStyle w:val="TableContents"/>
              <w:bidi w:val="0"/>
              <w:spacing w:lineRule="auto" w:line="333" w:before="0" w:after="0"/>
              <w:ind w:left="0" w:right="0" w:hanging="360"/>
              <w:jc w:val="left"/>
              <w:rPr/>
            </w:pPr>
            <w:r>
              <w:rPr>
                <w:color w:val="BF2115"/>
              </w:rPr>
              <w:t>•</w:t>
            </w:r>
            <w:r>
              <w:rPr>
                <w:rFonts w:ascii="Arial;sans-serif" w:hAnsi="Arial;sans-serif"/>
                <w:b w:val="false"/>
                <w:color w:val="000000"/>
                <w:sz w:val="20"/>
              </w:rPr>
              <w:t>Maintained sufficient inventory to support ALPHA3, RESOLUTION and TRAVERSE near-term clinical needs</w:t>
            </w:r>
          </w:p>
          <w:p>
            <w:pPr>
              <w:pStyle w:val="TableContents"/>
              <w:bidi w:val="0"/>
              <w:spacing w:lineRule="auto" w:line="333"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240" w:after="283"/>
        <w:jc w:val="center"/>
        <w:rPr>
          <w:rFonts w:ascii="Arial;sans-serif" w:hAnsi="Arial;sans-serif"/>
          <w:b/>
          <w:color w:val="05686F"/>
          <w:sz w:val="20"/>
        </w:rPr>
      </w:pPr>
      <w:r>
        <w:rPr>
          <w:rFonts w:ascii="Arial;sans-serif" w:hAnsi="Arial;sans-serif"/>
          <w:b/>
          <w:color w:val="05686F"/>
          <w:sz w:val="20"/>
        </w:rPr>
        <w:t>ALLOGENE THERAPEUTICS, INC.</w:t>
      </w:r>
    </w:p>
    <w:p>
      <w:pPr>
        <w:pStyle w:val="TextBody"/>
        <w:bidi w:val="0"/>
        <w:spacing w:lineRule="auto" w:line="333" w:before="240" w:after="283"/>
        <w:jc w:val="center"/>
        <w:rPr>
          <w:rFonts w:ascii="Arial;sans-serif" w:hAnsi="Arial;sans-serif"/>
          <w:b/>
          <w:color w:val="05686F"/>
          <w:sz w:val="20"/>
        </w:rPr>
      </w:pPr>
      <w:r>
        <w:rPr>
          <w:rFonts w:ascii="Arial;sans-serif" w:hAnsi="Arial;sans-serif"/>
          <w:b/>
          <w:color w:val="05686F"/>
          <w:sz w:val="20"/>
        </w:rPr>
        <w:t>210 East Grand Avenue</w:t>
      </w:r>
    </w:p>
    <w:p>
      <w:pPr>
        <w:pStyle w:val="TextBody"/>
        <w:bidi w:val="0"/>
        <w:spacing w:lineRule="auto" w:line="333" w:before="0" w:after="0"/>
        <w:jc w:val="center"/>
        <w:rPr>
          <w:rFonts w:ascii="Arial;sans-serif" w:hAnsi="Arial;sans-serif"/>
          <w:b/>
          <w:color w:val="05686F"/>
          <w:sz w:val="20"/>
        </w:rPr>
      </w:pPr>
      <w:r>
        <w:rPr>
          <w:rFonts w:ascii="Arial;sans-serif" w:hAnsi="Arial;sans-serif"/>
          <w:b/>
          <w:color w:val="05686F"/>
          <w:sz w:val="20"/>
        </w:rPr>
        <w:t>South San Francisco, California 94080</w:t>
      </w:r>
    </w:p>
    <w:p>
      <w:pPr>
        <w:pStyle w:val="TextBody"/>
        <w:bidi w:val="0"/>
        <w:spacing w:lineRule="auto" w:line="333" w:before="240" w:after="283"/>
        <w:jc w:val="center"/>
        <w:rPr>
          <w:rFonts w:ascii="Arial;sans-serif" w:hAnsi="Arial;sans-serif"/>
          <w:b/>
          <w:color w:val="000000"/>
          <w:sz w:val="20"/>
        </w:rPr>
      </w:pPr>
      <w:r>
        <w:rPr>
          <w:rFonts w:ascii="Arial;sans-serif" w:hAnsi="Arial;sans-serif"/>
          <w:b/>
          <w:color w:val="000000"/>
          <w:sz w:val="20"/>
        </w:rPr>
        <w:t>PROXY STATEMENT FOR THE</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2026 ANNUAL MEETING OF STOCKHOLDERS TO BE HELD ON</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June 18, 2026</w:t>
      </w:r>
    </w:p>
    <w:p>
      <w:pPr>
        <w:pStyle w:val="TextBody"/>
        <w:bidi w:val="0"/>
        <w:spacing w:lineRule="auto" w:line="333" w:before="240" w:after="283"/>
        <w:jc w:val="center"/>
        <w:rPr>
          <w:rFonts w:ascii="Arial;sans-serif" w:hAnsi="Arial;sans-serif"/>
          <w:b/>
          <w:color w:val="05686F"/>
          <w:sz w:val="20"/>
        </w:rPr>
      </w:pPr>
      <w:r>
        <w:rPr>
          <w:rFonts w:ascii="Arial;sans-serif" w:hAnsi="Arial;sans-serif"/>
          <w:b/>
          <w:color w:val="05686F"/>
          <w:sz w:val="20"/>
        </w:rPr>
        <w:t>Questions and Answers about These Proxy Materials and Voting</w:t>
      </w:r>
    </w:p>
    <w:p>
      <w:pPr>
        <w:pStyle w:val="TextBody"/>
        <w:bidi w:val="0"/>
        <w:spacing w:before="0" w:after="0"/>
        <w:jc w:val="left"/>
        <w:rPr/>
      </w:pPr>
      <w:r>
        <w:rPr/>
      </w:r>
    </w:p>
    <w:p>
      <w:pPr>
        <w:pStyle w:val="TextBody"/>
        <w:bidi w:val="0"/>
        <w:spacing w:lineRule="auto" w:line="333" w:before="0" w:after="120"/>
        <w:jc w:val="left"/>
        <w:rPr>
          <w:rFonts w:ascii="Arial;sans-serif" w:hAnsi="Arial;sans-serif"/>
          <w:b/>
          <w:color w:val="05686F"/>
          <w:sz w:val="20"/>
        </w:rPr>
      </w:pPr>
      <w:r>
        <w:rPr>
          <w:rFonts w:ascii="Arial;sans-serif" w:hAnsi="Arial;sans-serif"/>
          <w:b/>
          <w:color w:val="05686F"/>
          <w:sz w:val="20"/>
        </w:rPr>
        <w:t>Why did I receive a notice regarding the availability of proxy materials on the internet?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the “Board”) of Allogene Therapeutics, Inc. (sometimes referred to as "we," "us," "our," the "Company" or "Allogene") is soliciting your proxy to vote at the 2026 Annual Meeting of Stockholders ("Annual Meeting"), including at any adjournments or postponements of the meeting. The Annual Meeting will be held virtually on June 18, 2026 at 8:00 a.m., Pacific Time. You can attend the Annual Meeting by visiting www.virtualshareholdermeeting.com/ALLO2026, where you will be able to listen to the meeting live, submit questions and vote online.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intend to mail the Notice on April 30, 2026 to all stockholders of record entitled to vote at the Annual Meeting.</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Will I receive any other proxy materials by mail?</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may send you a proxy card, along with a second Notice, on or after the tenth day following the Notice mailing date.</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Why are we holding a virtual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This year we will have a virtual format for our Annual Meeting, which will be conducted via live audio webcast and online stockholder tools. We believe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management, or independent public accounting firm. During the Annual Meeting, we may answer questions submitted during the Annual Meeting and address those asked in advance, to the extent relevant to the business of the Annual Meeting, as time permits. We do not intend to post questions received during the Annual Meeting on our website.</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do I need to do to attend the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You will be able to attend the Annual Meeting online, submit your questions during the meeting and vote your shares electronically at the meeting by visiting www.virtualshareholdermeeting.com/ALLO2026. To participate in the Annual Meeting, you will need the control number included on your Notice or proxy card. The Annual Meeting webcast will begin promptly at 8:00 a.m. Pacific Time on June 18, 2026. We encourage you to access the meeting prior to the start time. Online check-in will begin at 7:45 a.m. Pacific Time, and you should allow ample time for the check-in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3"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Who can vote at the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Only stockholders of record at the close of business on April 20, 2026 will be entitled to vote at the Annual Meeting. On this record date, there were 345,024,351 shares of common stock outstanding and entitled to vote. A list of our stockholders of record will be open for examination by any stockholder beginning ten days prior to the Annual Meeting at our headquarters located at 210 East Grand Avenue, South San Francisco, California 94080. If you would like to view the list, please contact our Corporate Secretary to schedule an appointment by calling (650) 457-2700 or writing to him at the Company’s address above. </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Stockholder of Record: Shares Registered in Your Name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on April 20, 2026 your shares were registered directly in your name with Allogene’s transfer agent, Equiniti Trust Company, LLC, then you are a stockholder of record. As a stockholder of record, you may vote live online at the meeting or vote by proxy. Whether or not you plan to attend the meeting, we urge you to fill out and return the proxy card that may be mailed to you or vote by proxy over the telephone or on the internet as instructed below to ensure your vote is counted.</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Beneficial Owner: Shares Registered in the Name of a Broker or Bank</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on April 20,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must follow the instructions provided by your brokerage firm, bank, dealer or other similar organization for your bank, broker, dealer or other stockholder of record to vote your shares per your instructions. You are also invited to attend the Annual Meeting. However, since you are not the stockholder of record, you may not vote your shares live at the Annual Meeting unless you request and obtain a valid proxy from your broker or other agent.</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am I voting 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There are five matters scheduled for a vote: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Proposal 1: Election of the Board’s three nominees for director named herein to hold office until the 2029 Annual Meeting of Stockholders;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 xml:space="preserve">Proposal 2: Advisory approval of the compensation of the Company’s named executive officers, as disclosed in this Proxy Statement in accordance with SEC rules; </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Proposal 3: Advisory vote on the preferred frequency of stockholder advisory votes on the compensation of the Company's named executive officers;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Proposal 4: Approval of an amendment to our Certificate of Incorporation to increase the number of authorized shares of common stock from 400,000,000 shares to 800,000,000 shares (the "Authorized Shares Amendment");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Proposal 5: Ratification of the selection by the Audit Committee of the Board of Directors of Ernst &amp; Young LLP as the independent registered public accounting firm of the Company for its fiscal year ending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4"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if another matter is properly brought before the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Discretionary authority for them to do so is provided for in the proxy card.</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How do I vote?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You may either vote “For” all the nominees to the Board of Directors or you may “Withhold” your vote for any nominee you specify. For each of Proposals 2, 4 and 5, you may vote “For” or “Against” or abstain from voting. For Proposal 3, you may vote for "1 Year," "2 Years," "3 Years" or abstain from voting.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procedures for voting are fairly simple:</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Stockholder of Record: Shares Registered in Your Name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you are a stockholder of record, you may vote live online at the Annual Meeting, vote by proxy over the telephone, vote by proxy through the internet or vote by proxy using a proxy card that you may request or that we may elect to deliver at a later time. Whether or not you plan to attend the meeting, we urge you to vote by proxy to ensure your vote is counted. You may still attend the meeting and vote live online even if you have already voted by proxy.</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To vote live at the Annual Meeting, attend the Annual Meeting by visiting www.virtualshareholdermeeting.com/ALLO2026, where stockholders may vote and submit questions during the meeting (have your Notice or proxy card in hand when you visit the website).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To vote using the proxy card that may be delivered to you, simply complete, sign and date the proxy card and return it promptly in the envelope provided. If you return your signed proxy card to us before the Annual Meeting, we will vote your shares as you direct.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To vote over the telephone, dial toll-free 1-800-690-6903 and follow the recorded instructions. You will be asked to provide the company number and control number from the Notice. Your telephone vote must be received by 11:59 p.m., Eastern Time, on June 17, 2026 to be counted.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To vote through the internet, go to www.proxyvote.com and follow the on-screen instructions to complete an electronic proxy card or scan the QR code on your Notice with your smartphone. You will be asked to provide the company number and control number from the Notice. Your internet vote must be received by 11:59 p.m., Eastern Time, on June 17, 2026 to be counted.</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Beneficial Owner: Shares Registered in the Name of Broker or Bank</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you are a beneficial owner of shares registered in the name of your broker, bank, or other agent, you should have received a Notice containing voting instructions from that organization rather than from Allogene. Simply follow the voting instructions in the Notice to ensure that your vote is counted. To vote live online at the Annual Meeting, you must obtain a valid proxy from your broker, bank or other agent. Follow the instructions from your broker or bank included with these proxy materials, or contact your broker or bank to request a proxy form.</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33" w:before="0" w:after="0"/>
              <w:jc w:val="left"/>
              <w:rPr>
                <w:rFonts w:ascii="Arial;sans-serif" w:hAnsi="Arial;sans-serif"/>
                <w:b/>
                <w:color w:val="000000"/>
                <w:sz w:val="20"/>
              </w:rPr>
            </w:pPr>
            <w:r>
              <w:rPr>
                <w:rFonts w:ascii="Arial;sans-serif" w:hAnsi="Arial;sans-serif"/>
                <w:b/>
                <w:color w:val="000000"/>
                <w:sz w:val="20"/>
              </w:rPr>
              <w:t>Internet proxy voting is being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How many votes do I have?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On each matter to be voted upon, you have one vote for each share of common stock you owned as of the close of business on April 20,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5"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happens if I do not vote?</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Stockholder of Record: Shares Registered in Your Name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you are a stockholder of record and do not vote by completing your proxy card, by telephone, through the internet or live online at the Annual Meeting, your shares will not be voted.</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Beneficial Owner: Shares Registered in the Name of Broker or Bank</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Proposals 1, 2, 3 and 4 are considered "non-routine" proposals and accordingly your broker or nominee may not vote your shares on these proposals without your instructions. We have been advised by the NYSE that Proposal 4 is considered "non-routine" because we do not currently have sufficient authorized and available shares for all of our current share reserves. Proposal 5 is considered a "routine" matter and accordingly your broker or nominee may vote your shares on Proposal 5 even in the absence of your instruction. </w:t>
      </w:r>
    </w:p>
    <w:p>
      <w:pPr>
        <w:pStyle w:val="TextBody"/>
        <w:bidi w:val="0"/>
        <w:spacing w:lineRule="auto" w:line="333" w:before="0" w:after="120"/>
        <w:jc w:val="left"/>
        <w:rPr/>
      </w:pPr>
      <w:r>
        <w:rPr>
          <w:rFonts w:ascii="Arial;sans-serif" w:hAnsi="Arial;sans-serif"/>
          <w:b/>
          <w:i/>
          <w:color w:val="000000"/>
          <w:sz w:val="20"/>
        </w:rPr>
        <w:t xml:space="preserve">If you are a beneficial owner of shares held in street name, in order to ensure your shares are voted in the way you would prefer, you </w:t>
      </w:r>
      <w:r>
        <w:rPr>
          <w:rFonts w:ascii="Arial;sans-serif" w:hAnsi="Arial;sans-serif"/>
          <w:b/>
          <w:i/>
          <w:color w:val="000000"/>
          <w:sz w:val="20"/>
          <w:u w:val="single"/>
        </w:rPr>
        <w:t>must</w:t>
      </w:r>
      <w:r>
        <w:rPr>
          <w:color w:val="000000"/>
        </w:rPr>
        <w:t xml:space="preserve"> </w:t>
      </w:r>
      <w:r>
        <w:rPr>
          <w:rFonts w:ascii="Arial;sans-serif" w:hAnsi="Arial;sans-serif"/>
          <w:b/>
          <w:i/>
          <w:color w:val="000000"/>
          <w:sz w:val="20"/>
        </w:rPr>
        <w:t>provide voting instructions to your broker, bank or other agent by the deadline provided in the materials you receive from your broker, bank or other agent.</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if I return a proxy card or otherwise vote but do not make specific choices?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you return a signed and dated proxy card or otherwise vote without marking voting selections, your shares will be voted, as applicable, (i) “For” the election of the Board's three nominees for director, (ii) “For” the advisory approval of the compensation of the Company's named executive officers, (iii) “1 Year” as the preferred frequency of advisory votes to approve the compensation of the Company's named executive officers, (iv) “For” the approval of the Authorized Shares Amendment, and (v) “For” the ratification of the selection by the Audit Committee of the Board of Directors of Ernst &amp; Young LLP as the independent registered public accounting firm of the Company for its fiscal year ending December 31, 2026. If any other matter is properly presented at the meeting, your proxyholder (one of the individuals named on your proxy card) will vote your shares using their best judgment.</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Who is paying for this proxy solicitation?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does it mean if I receive more than one Notice?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you receive more than one Notice, your shares may be registered in more than one name or in different accounts. Please follow the voting instructions on each of the Notices to ensure that all of your shares are voted.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6"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Can I change my vote after submitting my proxy?</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Stockholder of Record: Shares Registered in Your Name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Yes. You can revoke your proxy at any time before the final vote at the meeting. If you are the record holder of your shares, you may revoke your proxy in any one of the following ways: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You may submit another properly completed proxy card with a later date.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You may grant a subsequent proxy by telephone or through the internet.</w:t>
      </w:r>
    </w:p>
    <w:p>
      <w:pPr>
        <w:pStyle w:val="TextBody"/>
        <w:bidi w:val="0"/>
        <w:spacing w:lineRule="auto" w:line="333" w:before="0" w:after="120"/>
        <w:ind w:left="0" w:right="0" w:hanging="360"/>
        <w:jc w:val="left"/>
        <w:rPr/>
      </w:pPr>
      <w:r>
        <w:rPr>
          <w:color w:val="05686F"/>
        </w:rPr>
        <w:t>•</w:t>
      </w:r>
      <w:r>
        <w:rPr>
          <w:rFonts w:ascii="Arial;sans-serif" w:hAnsi="Arial;sans-serif"/>
          <w:b w:val="false"/>
          <w:color w:val="000000"/>
          <w:sz w:val="20"/>
        </w:rPr>
        <w:t>You may send a timely written notice that you are revoking your proxy to the Company’s Corporate Secretary at 210 East Grand Avenue, South San Francisco, California 94080. Your revocation will be considered timely if it is received by our Corporate Secretary prior to the Annual Meeting.</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You may attend and vote online at the Annual Meeting (although attendance at the Annual Meeting will not, by itself, revoke a proxy).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Your most current proxy card or telephone or internet proxy is the one that is counted.</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Beneficial Owner: Shares Registered in the Name of Broker or Bank</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your shares are held by your broker or bank as a nominee or agent, you should follow the instructions provided by your broker or bank.</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When are stockholder proposals and director nominations due for next year’s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To be considered for inclusion in next year’s proxy materials, your proposal must be submitted in writing by December 31, 2026, to Attn: Corporate Secretary, 210 East Grand Avenue, South San Francisco, California 94080. If you wish to submit a proposal (including a director nomination) at the meeting that is not to be included in next year’s proxy materials, you must do so between February 18, 2027 and March 20, 2027. You are also advised to review the Company’s Bylaws, which contain additional requirements relating to advance notice of stockholder proposals and director nominations.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addition, stockholders who intend to solicit proxies in support of director nominees other than our nominees must provide in their notice any additional information required by Rule 14a-19(b) under the Securities Exchange Act of 1934, as amended (the “Exchange Act”).</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How are votes counted?</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Votes will be counted by the inspector of election appointed for the meeting, who will separately count, for the proposal to elect directors, votes “For,” “Withhold” and broker non-votes; with respect to Proposal 2 regarding advisory approval of the compensation of the Company’s named executive officers, votes “For,” “Against,” abstentions and broker non-votes; with respect to Proposal 3 regarding the preferred frequency of stockholder advisory votes on the compensation of the Company's named executive officers, votes cast for each of “1 Year,” “2 Years,” “3 Years,” as well as abstentions and broker non-votes; with respect to Proposal 4 regarding the Authorized Shares Amendment, votes “For,” “Against,” abstentions and broker non-votes; and for Proposal 5 regarding the ratification of the Audit Committee’s selection of Ernst &amp; Young LLP as our independent registered public accounting firm, votes “For,” “Against” and abstentions. Only "For" votes will affect the outcome of Proposal 1. For Proposals 2 and 5, abstentions will have the same effect as “Against” votes on those proposals. For Proposal 3, abstentions will have the same effect as votes “Against” each of the proposed voting frequencies. Abstentions will have no effect on Proposal 4. Broker non-votes will be counted toward the presence of a quorum but will not be counted toward the vote total for any proposal.</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are “broker non-votes”?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 Broker non-votes will have no effect on any proposal. Proposal 5 is considered a “routine” matter and therefore there cannot be any broker non-votes on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7"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How many votes are needed to approve each proposal?</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For the election of directors, the three nominees receiving the most “For” votes from the holders of shares present or represented by proxy and entitled to vote on the election of directors will be elected. Only votes “For” will affect the outcome. However, for uncontested elections, it is the Company’s policy that if a director is elected by a plurality but not a majority of the votes cast for such director, such director must submit his or her resignation to the Board of Directors, which will be subject to review by the Nominating and Corporate Governance Committee of the Board of Directors. The Nominating and Corporate Governance Committee will then make a recommendation to the Board of Directors as to whether to accept or reject the director’s resignation. The Board will consider and act upon the Nominating and Corporate Governance Committee’s recommendation within 30 days of certification of the vote at the Annual Meeting. Promptly following the Board’s decision, the Company will disclose that decision and an explanation of such decision in a filing with the Securities and Exchange Commission and a press release.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To be approved, Proposal 2, advisory approval for the compensation of the Company’s named executive officers, must receive “For” votes from the holders of a majority of shares present at the Annual Meeting or represented by proxy and entitled to vote on the matter. If you “Abstain” from voting, it will have the same effect as an “Against” vote. Broker non-votes will have no effect.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To be approved, Proposal 3, regarding the preferred frequency of stockholder advisory votes on the compensation of the Company’s named executive officers, a frequency must receive “For” votes from the holders of a majority of shares present at the Annual Meeting or represented by proxy and entitled to vote on the matter. If you “Abstain” from voting, it will have the same effect as a vote “Against” each of the proposed voting frequencies. In the event none of the proposed frequencies receives “For” votes from the holders of a majority of shares present at the Annual Meeting or represented by proxy and entitled to vote on the matter, we will consider the frequency receiving the highest number of affirmative votes to be the frequency preferred by our stockholders. Broker non-votes will have no effect. Because this vote is advisory, it will not be binding on us, our Compensation Committee or our Board of Directors. However, we value our stockholders’ input and will take the vote into consideration when determining the frequency of stockholder advisory votes on the compensation of the Company’s named executive officers.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To be approved, Proposal 4, the Authorized Shares Amendment, the proposal must receive “For” votes from a majority of the votes cast for such proposal. If you “Abstain” from voting, it will have no effect. Broker non-votes will have no effect.</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To be approved, Proposal 5, ratification of the selection of Ernst &amp; Young LLP as the Company’s independent registered public accounting firm for its fiscal year ending December 31, 2026, must receive “For” votes from the holders of a majority of shares present at the Annual Meeting or represented by proxy and entitled to vote on the matter. If you “Abstain” from voting, it will have the same effect as an “Against” vote. There cannot be any broker non-votes for this proposal.</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What is the quorum requirement?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 quorum of stockholders is necessary to hold a valid meeting. A quorum will be present if stockholders holding at least a majority of the outstanding shares entitled to vote are present at the meeting or represented by proxy. On the record date, there were 345,024,351 shares outstanding and entitled to vote. Thus, the holders of 172,512,176 shares must be present at the meeting or represented by proxy at the meeting to have a quorum.</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Your shares will be counted toward the quorum only if you submit a valid proxy (or one is submitted on your behalf by your broker, bank or other nominee) or if you vote live online at the meeting. Abstentions and broker non-votes will be counted toward the quorum requirement. If there is no quorum, either the Chairman of the meeting or the holders of a majority of shares present at the meeting or represented by proxy may adjourn the meeting to another date.</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How can I find out the results of the voting at the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8"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to publish preliminary results and, within four business days after the final results are known to us, file an additional Form 8-K to publish the final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19"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5686F"/>
          <w:sz w:val="20"/>
        </w:rPr>
      </w:pPr>
      <w:r>
        <w:rPr>
          <w:rFonts w:ascii="Arial;sans-serif" w:hAnsi="Arial;sans-serif"/>
          <w:b/>
          <w:color w:val="05686F"/>
          <w:sz w:val="20"/>
        </w:rPr>
        <w:t>FORWARD-LOOKING STATEMENTS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This Proxy Statement contains “forward-looking statements” as that term is defined in the Private Securities Litigation Reform Act of 1995. In some cases, you can identify these statements by terms such as “anticipate,” “believe,” “could,” “estimate,” “expects,” “intend,” “may,” “plan,” “potential,” “predict,” “project,” “should,” “will,” “would” or the negative of those terms, and similar expressions that convey uncertainty of future events or outcomes. These statements are based on management’s current expectations and involve risks and uncertainties, which may cause results to differ materially from those set forth in the statements. The forward-looking statements may include statements of the Company’s plans and future commitments with respect to corporate governance initiatives and the composition of its Board of Directors; the Company’s plans and expectations regarding executive compensation; the potential impact of the Authorized Shares Amendment and our plans if such Authorized Shares Amendment is approved; the Company's development plans and business strategy; the potential of the Company’s product candidates and the extent to which such product candidates may or may not require lymphodepletion in order to be effective; the Company’s ongoing and planned clinical trials; the timing of any potential commercialization of the Company’s product candidates; the data from the interim futility analysis in the Company's ALPHA3 trial; and the potential market opportunity of the Company’s product candidates and competitive landscape. No forward-looking statement can be guaranteed and actual results may differ materially from those projected. Allogene undertakes no obligation to publicly update any forward-looking statement, whether as a result of new information, future events, or otherwise. Forward-looking statements should be evaluated together with the many uncertainties that affect Allogene’s business, particularly those mentioned in the risk factors and cautionary statements in the Company’s Annual Report on Form 10-K for the year ended December 31, 2025, and in its periodic reports on Form 10-Q and current reports on Form 8-K,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20"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2489" w:type="dxa"/>
        <w:jc w:val="left"/>
        <w:tblInd w:w="0" w:type="dxa"/>
        <w:tblLayout w:type="fixed"/>
        <w:tblCellMar>
          <w:top w:w="28" w:type="dxa"/>
          <w:left w:w="28" w:type="dxa"/>
          <w:bottom w:w="28" w:type="dxa"/>
          <w:right w:w="28" w:type="dxa"/>
        </w:tblCellMar>
      </w:tblPr>
      <w:tblGrid>
        <w:gridCol w:w="796"/>
        <w:gridCol w:w="700"/>
        <w:gridCol w:w="993"/>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05686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4"/>
              </w:rPr>
            </w:pPr>
            <w:r>
              <w:rPr>
                <w:rFonts w:ascii="Arial;sans-serif" w:hAnsi="Arial;sans-serif"/>
                <w:b/>
                <w:color w:val="FFFFFF"/>
                <w:sz w:val="24"/>
              </w:rPr>
              <w:t>Proposal 1</w:t>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color w:val="FFFFFF"/>
                <w:sz w:val="24"/>
              </w:rPr>
            </w:pPr>
            <w:r>
              <w:rPr>
                <w:rFonts w:ascii="Arial;sans-serif" w:hAnsi="Arial;sans-serif"/>
                <w:b/>
                <w:color w:val="FFFFFF"/>
                <w:sz w:val="24"/>
              </w:rPr>
              <w:t>Election of Directors</w:t>
            </w:r>
          </w:p>
        </w:tc>
      </w:tr>
    </w:tbl>
    <w:p>
      <w:pPr>
        <w:pStyle w:val="TextBody"/>
        <w:bidi w:val="0"/>
        <w:spacing w:lineRule="auto" w:line="333" w:before="120" w:after="283"/>
        <w:jc w:val="left"/>
        <w:rPr>
          <w:rFonts w:ascii="Arial;sans-serif" w:hAnsi="Arial;sans-serif"/>
          <w:b/>
          <w:color w:val="05686F"/>
          <w:sz w:val="20"/>
        </w:rPr>
      </w:pPr>
      <w:r>
        <w:rPr>
          <w:rFonts w:ascii="Arial;sans-serif" w:hAnsi="Arial;sans-serif"/>
          <w:b/>
          <w:color w:val="05686F"/>
          <w:sz w:val="20"/>
        </w:rPr>
        <w:t>Recommendation:</w:t>
      </w:r>
    </w:p>
    <w:p>
      <w:pPr>
        <w:pStyle w:val="TextBody"/>
        <w:bidi w:val="0"/>
        <w:spacing w:before="0" w:after="0"/>
        <w:jc w:val="left"/>
        <w:rPr/>
      </w:pPr>
      <w:r>
        <w:rPr/>
      </w:r>
    </w:p>
    <w:p>
      <w:pPr>
        <w:pStyle w:val="TextBody"/>
        <w:bidi w:val="0"/>
        <w:spacing w:lineRule="auto" w:line="333" w:before="120" w:after="120"/>
        <w:jc w:val="left"/>
        <w:rPr>
          <w:rFonts w:ascii="Arial;sans-serif" w:hAnsi="Arial;sans-serif"/>
          <w:b/>
          <w:color w:val="05686F"/>
          <w:sz w:val="20"/>
        </w:rPr>
      </w:pPr>
      <w:r>
        <w:rPr>
          <w:rFonts w:ascii="Arial;sans-serif" w:hAnsi="Arial;sans-serif"/>
          <w:b/>
          <w:color w:val="05686F"/>
          <w:sz w:val="20"/>
        </w:rPr>
        <w:t>The Board recommends a vote “FOR” the election of each of Deborah Messemer, Vicki Sato, Ph.D., and Owen Witte, M.D. as a director.</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Our Board of Directors currently consists of eleven members and is divided into three classes. Each class consists, as nearly as possible, of one-third of the total number of directors, and each class has a three-year term. There are four directors in Class II, whose term of office expires at the Annual Meeting: Ms. Deborah Messemer, Dr. Vicki Sato, Mr. Todd Sisitsky, and Dr. Owen Witte. The Board, acting on the recommendation of our Nominating and Corporate Governance Committee, has nominated Deborah Messemer, Vicki Sato, Ph.D., and Owen Witte, M.D. for election at the Annual Meeting for a term of three years to serve as Class II directors until the 2029 Annual Meeting of Stockholders, and until their respective successors are duly elected and qualified, or until their earlier death, resignation or removal. Following discussions with Mr. Sisitsky and in consideration of his expanding responsibilities in his current role with TPG, and in alignment with the Board’s long-term succession planning, the Board did not nominate Mr. Sisitsky to stand for re-election at the Annual Meeting. The Board thanks Mr. Sisitsky for his years of service, dedication to the Board, and his many contributions to the Company. </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Proxies cannot be voted for a greater number of persons than the number of nominees named in this proxy statement (three nominees). In April 2026, our Board of Directors approved a reduction in the size of the Board of Directors to ten members, effective as of the Annual Meeting. As a result, after the Annual Meeting, our Board of Directors will be composed of ten directors. Our Board has determined that it will not nominate a new director to replace Mr. Sisitsky in connection with the upcoming Annual Meeting. Rather than making an immediate appointment, consistent with the Board’s deliberate and strategic approach to Board composition, the Board intends to thoughtfully assess the specific skills, experience, and expertise that will be most valuable as the Company progresses toward potential commercialization. This includes evaluating capabilities in areas such as commercial execution, market access, manufacturing scale-up, and global launch strategy, among others. The Board will also consider the appropriate timing for adding such expertise to maximize its impact.</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If any nominee becomes unavailable for election as a result of an unexpected occurrence, shares that would have been voted for that nominee will instead be voted “For” the election of a substitute nominee designated by our Board of Directors, or alternatively, the Board may leave a vacancy on the Board or reduce the size of the Board. Each nominee has agreed to serve as a director if elected and we have no reason to believe that any nominee will be unable to serve.</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It is our policy to invite directors and nominees for director to attend the Annual Meeting. All of our directors attended our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21"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Our Board of Directors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addition to our Class II directors, our Board includes three Class I directors, Elizabeth Barrett, Arie Belldegrun, M.D., and David Chang, M.D., Ph.D., and four Class III directors, John DeYoung, Franz Humer, Ph.D., Joshua Kazam and Stephen Mayo, Ph.D. These directors will serve until our Annual Meetings of Stockholders to be held in 2028 and 2027, respectively, and until their respective successors have been elected and qualified, or until their earlier death, resignation or removal.</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believes that its current members collectively possess the experience and perspectives necessary to effectively oversee the Company’s strategy and operations at this time. The Board remains committed to ongoing refreshment and will continue to evaluate opportunities to enhance its composition as the Company’s needs evolve.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Nominating and Corporate Governance Committee seeks to assemble a Board of Directors that, as a whole, possesses the appropriate balance of professional and industry knowledge, financial expertise and high-level management experience necessary to oversee and direct the Company’s business. The Nominating and Corporate Governance Committee also seeks to attain a balance among directors of thought, viewpoints, and backgrounds. To those ends, the Nominating and Corporate Governance Committee has identified and evaluated nominees in the broader context of the Board of Directors’ overall composition, with the goal of recruiting members who complement and strengthen the skills of other members and who also exhibit integrity, collegiality, sound business judgment and other qualities that the Nominating and Corporate Governance Committee views as critical to effective functioning of the Board of Directors. We discuss our approach to evaluating nominees in this Proxy Statement under “Information Regarding the Board of Directors and Corporate Governance—Nominating and Corporate Governance Committee.” The brief biographies below include information, as of the date of this proxy statement, regarding the specific and particular experience, qualifications, attributes or skills of each director/nominee that led the Nominating and Corporate Governance Committee to believe the nominee should continue to serve on the Board. However, each of the members of the Nominating and Corporate Governance Committee may have a variety of reasons why they believe a particular person would be an appropriate nominee for the Board of Directors, and these views may differ from the views of other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Nominees for Election at the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is a brief biography of each nominee.</w:t>
      </w:r>
    </w:p>
    <w:p>
      <w:pPr>
        <w:pStyle w:val="TextBody"/>
        <w:bidi w:val="0"/>
        <w:spacing w:before="0" w:after="0"/>
        <w:jc w:val="left"/>
        <w:rPr/>
      </w:pPr>
      <w:r>
        <w:rPr/>
        <w:drawing>
          <wp:inline distT="0" distB="0" distL="0" distR="0">
            <wp:extent cx="6858000" cy="1323975"/>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6858000" cy="1323975"/>
                    </a:xfrm>
                    <a:prstGeom prst="rect">
                      <a:avLst/>
                    </a:prstGeom>
                  </pic:spPr>
                </pic:pic>
              </a:graphicData>
            </a:graphic>
          </wp:inline>
        </w:drawing>
      </w:r>
      <w:bookmarkStart w:id="5" w:name="i-6"/>
      <w:bookmarkEnd w:id="5"/>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Deborah Messemer has served as a member of our Board since September 2018. Ms. Messemer has served as a director of TPG Inc. since January 2022 and PayPal Holdings, Inc. since January 2019. Ms. Messemer is a certified public accountant and joined KPMG LLP ("KPMG"), the U.S. member firm of KPMG International, in 1982 and was admitted into the partnership in 1995. Most recently, she served as the Managing Partner of KPMG’s Bay Area and Northwest region until her retirement in September 2018. Ms. Messemer spent the majority of her career in KPMG’s audit practice as an audit engagement partner serving public and private clients in a variety of industry sectors. In addition to her operational and audit signing responsibilities, she has significant experience in SEC filings, due diligence, initial public offerings, mergers and acquisitions, and internal controls over financial reporting. Ms. Messemer received a bachelor’s degree in accounting from the University of Texas at Arlington.</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Ms. Messemer’s expertise in the accounting and finance industry, her experience advising public companies, her experience as a director of other companies, and her education provide her with the qualifications and skills to serve on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23"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858000" cy="1323975"/>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6858000" cy="1323975"/>
                    </a:xfrm>
                    <a:prstGeom prst="rect">
                      <a:avLst/>
                    </a:prstGeom>
                  </pic:spPr>
                </pic:pic>
              </a:graphicData>
            </a:graphic>
          </wp:inline>
        </w:drawing>
      </w:r>
      <w:bookmarkStart w:id="6" w:name="i-7"/>
      <w:bookmarkEnd w:id="6"/>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Vicki Sato, Ph.D. has served as a member of our Board since July 2021. She was a professor of management practice at Harvard Business School from September 2006 to July 2017 and was a professor in the Department of Molecular and Cell Biology at Harvard University from July 2005 until October 2015. Previously, she served as President of Vertex Pharmaceuticals, Inc. ("Vertex"), a publicly traded biotechnology company, which she joined in 1992. Prior to becoming President of Vertex, she was the Chief Scientific Officer and Senior Vice President of Research and Development. Prior to joining Vertex, Dr. Sato served as Vice President of Research at Biogen Inc. Dr. Sato currently serves on the board of directors of Vir Biotechnology, Inc., a publicly traded company. She also serves on the boards of Encoded Therapeutics, Inc. and Aera Therapeutics, Inc., each a private biotechnology company, and is a venture partner at ClavysBio Pte Ltd and ARCH Venture Partners. Dr. Sato previously served on the boards of directors of Denali Therapeutics, Inc. (2015-2025), Bristol-Myers Squibb Company (2006-2021), BorgWarner Inc. (2014-2021), and Akouos, Inc. (2020-2022). Dr. Sato received her A.B. in Biology from Radcliffe College and her A.M. and Ph.D. in Biology from Harvard University. She conducted her postdoctoral work at both the University of California, Berkeley and Stanford Medical Center.</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that Dr. Sato’s expertise and experience in life sciences, her experience as a director of other companies and her educational background provide her with the qualifications and skills to serve on our Board of Directors.</w:t>
      </w:r>
    </w:p>
    <w:p>
      <w:pPr>
        <w:pStyle w:val="TextBody"/>
        <w:bidi w:val="0"/>
        <w:spacing w:before="0" w:after="0"/>
        <w:jc w:val="left"/>
        <w:rPr/>
      </w:pPr>
      <w:r>
        <w:rPr/>
        <w:drawing>
          <wp:inline distT="0" distB="0" distL="0" distR="0">
            <wp:extent cx="6858000" cy="130492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6858000" cy="1304925"/>
                    </a:xfrm>
                    <a:prstGeom prst="rect">
                      <a:avLst/>
                    </a:prstGeom>
                  </pic:spPr>
                </pic:pic>
              </a:graphicData>
            </a:graphic>
          </wp:inline>
        </w:drawing>
      </w:r>
      <w:bookmarkStart w:id="7" w:name="i-8"/>
      <w:bookmarkEnd w:id="7"/>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Owen Witte, M.D. has served as a member of our Board since April 2018. Dr. Witte previously served as a member of the board of directors of Kite from March 2017 until October 2017. Dr. Witte joined the UCLA faculty in 1980, where he is presently a University Professor of microbiology, immunology and molecular genetics, the UCLA David Saxon Presidential Chair in Developmental Immunology and previously served as the director of the Eli and Edythe Broad Center of Regenerative Medicine and Stem Cell Research. Dr. Witte was appointed a University Professor by the University of California Board of Regents, an honor reserved for scholars of the highest international distinction. Dr. Witte is a member of the National Academy of Sciences, the American Academy of Arts and Sciences, and the National Academy of Medicine. Dr. Witte currently serves on several editorial and advisory boards. He previously served on the board of directors for the American Association for Cancer Research. He was appointed by President Obama to the President’s Cancer Panel. Dr. Witte holds a bachelor’s degree from Cornell University and an M.D. from Stanford University. He completed postdoctoral research at the Massachusetts Institute of Technology.</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Dr. Witte’s expertise and experience in cancer research, his experience in academia and his educational background provide him with the qualifications and skills to serve on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Arial;sans-serif" w:hAnsi="Arial;sans-serif"/>
          <w:b/>
          <w:color w:val="05686F"/>
          <w:sz w:val="20"/>
        </w:rPr>
      </w:pPr>
      <w:r>
        <w:rPr>
          <w:rFonts w:ascii="Arial;sans-serif" w:hAnsi="Arial;sans-serif"/>
          <w:b/>
          <w:color w:val="05686F"/>
          <w:sz w:val="20"/>
        </w:rPr>
        <w:t>Directors Continuing in Office Until the 2027 Annual Meeting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is a brief biography of each director whose term will continue after the Annual Meeting and until the 2027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26"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858000" cy="132397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6858000" cy="1323975"/>
                    </a:xfrm>
                    <a:prstGeom prst="rect">
                      <a:avLst/>
                    </a:prstGeom>
                  </pic:spPr>
                </pic:pic>
              </a:graphicData>
            </a:graphic>
          </wp:inline>
        </w:drawing>
      </w:r>
      <w:bookmarkStart w:id="8" w:name="i-9"/>
      <w:bookmarkEnd w:id="8"/>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John DeYoung has served as a member of our Board since April 2018. Mr. DeYoung serves as a member of the Compensation Committee and the International and Business Development Oversight Committee. Mr. DeYoung is Vice President of Worldwide Business Development for Pfizer’s Oncology Business Unit. He is a member of Pfizer’s Oncology Leadership Team and its Worldwide Business Development Leadership Team. Mr. DeYoung joined Pfizer in 1991 and has held leadership positions in Finance, Marketing, Commercial Development and Business Development. Mr. DeYoung received his bachelor’s degree in business from Michigan State University in 1985 and his MBA from the University of Chicago in 1990.</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Mr. DeYoung’s expertise and experience in the life sciences and his financial background provide him with the qualifications and skills to serve on our Board of Directors.</w:t>
      </w:r>
    </w:p>
    <w:p>
      <w:pPr>
        <w:pStyle w:val="TextBody"/>
        <w:bidi w:val="0"/>
        <w:spacing w:before="0" w:after="0"/>
        <w:jc w:val="left"/>
        <w:rPr/>
      </w:pPr>
      <w:r>
        <w:rPr/>
        <w:drawing>
          <wp:inline distT="0" distB="0" distL="0" distR="0">
            <wp:extent cx="6858000" cy="13239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6858000" cy="1323975"/>
                    </a:xfrm>
                    <a:prstGeom prst="rect">
                      <a:avLst/>
                    </a:prstGeom>
                  </pic:spPr>
                </pic:pic>
              </a:graphicData>
            </a:graphic>
          </wp:inline>
        </w:drawing>
      </w:r>
      <w:bookmarkStart w:id="9" w:name="i-10"/>
      <w:bookmarkEnd w:id="9"/>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Franz Humer, Ph.D. has served as a member of our Board since April 2018. Dr. Humer currently serves on the board of directors of LetterOne Holdings S.A. and as Chair of the board of directors of Kallyope, Inc. In addition, Dr. Humer serves on the board of directors of the International Centre for Missing and Exploited Children and is Chair of the Humer Foundation. Dr. Humer previously served as Chair of the board of directors of Neogene Therapeutics, Inc., a private research-stage biotechnology company, from October 2020 until January 2023 and as a member of the board of directors of Kite from September 2015 until October 2017. He also served as an independent director of Citigroup Inc. from 2012 until 2018, Chugai Pharmaceuticals Ltd. (Japan) from 2002 until 2014, and Arix Bioscience plc from April 2016 to December 2019. He served as Chair of Diageo plc from 2005 to 2017. He served as a member of the board of directors of WISeKey SA, a publicly traded global cybersecurity company, from May 2016 to December 2017. In addition, Dr. Humer served as Head of Pharmaceuticals and then as Chief Operating Officer of F. Hoffmann-La Roche Ltd. from 1996 to 1998, prior to serving as Chief Executive Officer of Roche Group from 1998 to 2001 and later as Chair and Chief Executive Officer from 2001 to 2008. His tenure as Chair of Roche Holding Ltd. extended from 2008 to 2014. Before joining Roche Group, he served on the board of Glaxo Holdings plc and was responsible for research, business development, manufacturing, commercial strategy, and all non-U.S. operations for 13 years. In 1973, Dr. Humer joined Schering Plough Corporation where he held various General Management positions in Latin America and Europe. Dr. Humer attended the University of Innsbruck, where he obtained a Ph.D. in Law, and INSEAD in Fontainebleau, where he obtained an MBA.</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that Dr. Humer’s expertise and experience in life sciences, his experience as a director of other companies and his educational background provide him with the qualifications and skills to serve on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2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858000" cy="132397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6858000" cy="1323975"/>
                    </a:xfrm>
                    <a:prstGeom prst="rect">
                      <a:avLst/>
                    </a:prstGeom>
                  </pic:spPr>
                </pic:pic>
              </a:graphicData>
            </a:graphic>
          </wp:inline>
        </w:drawing>
      </w:r>
      <w:bookmarkStart w:id="10" w:name="i-11"/>
      <w:bookmarkEnd w:id="10"/>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Joshua Kazam has served as a member of our Board since November 2017. Mr. Kazam served as our President from November 2017 until June 2018. He was a founder of Kite and served as a member of Kite’s board of directors from Kite’s inception in June 2009 until October 2017. In June 2009, Mr. Kazam co-founded Two River, LLC, a life-science company incubation and investment firm. Mr. Kazam is a co-founder and Director of Vida Ventures, and an advisor to Symbiotic Capital. Mr. Kazam has served on the board of Kronos Bio, Inc. since June 2017. He also serves on the boards of the following private companies: Vision Path, Inc. (d/b/a Hubble Contacts) since May 2016, ByHeart, Inc. since November 2016, Breakthrough Properties LLC and Breakthrough Services LLC since April 2019, and Baby Generation since January 2018. Mr. Kazam has also served on the boards of several blank check companies formed for the purpose of effecting a business combination with one or more businesses: Screaming Eagle Acquisition Corp. from January 2022 until May 2024, Tishman Speyer Innovation Corp. II from February 2021 until December 2022, TS Innovation Acquisitions Corp. from November 2020 until June 2021, Soaring Eagle Acquisition Corp. from February 2021 to September 2021, Flying Eagle Acquisition Corp. from February 2020 until December 2020, Diamond Eagle Acquisition Corp. from January 2019 until April 2020, and Platinum Eagle Acquisition Corp. from January 2018 to March 2019. Mr. Kazam has served as the President of Desert Flower Foundation since June 2016. Mr. Kazam received his bachelor’s degree in Entrepreneurial Management from the Wharton School of the University of Pennsylvania and is a Member of the Wharton School’s Undergraduate Executive Board, and is a Penn Medicine Trustee.</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Mr. Kazam’s expertise and experience in the life sciences and venture capital industries and his educational background provide him with the qualifications and skills to serve on our Board of Directors.</w:t>
      </w:r>
    </w:p>
    <w:p>
      <w:pPr>
        <w:pStyle w:val="TextBody"/>
        <w:bidi w:val="0"/>
        <w:spacing w:before="0" w:after="0"/>
        <w:jc w:val="left"/>
        <w:rPr/>
      </w:pPr>
      <w:r>
        <w:rPr/>
        <w:drawing>
          <wp:inline distT="0" distB="0" distL="0" distR="0">
            <wp:extent cx="6858000" cy="1295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6858000" cy="1295400"/>
                    </a:xfrm>
                    <a:prstGeom prst="rect">
                      <a:avLst/>
                    </a:prstGeom>
                  </pic:spPr>
                </pic:pic>
              </a:graphicData>
            </a:graphic>
          </wp:inline>
        </w:drawing>
      </w:r>
      <w:bookmarkStart w:id="11" w:name="i-12"/>
      <w:bookmarkEnd w:id="11"/>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Stephen Mayo, Ph.D. has served as a member of our Board since July 2022. Since 2021, he has served as a member of the board of directors and as a member of the research and development and audit committees of Sarepta Therapeutics, Inc., and as a member of the board of directors and on the audit and research committees of Merck &amp; Co., Inc., each a publicly traded company. In addition, he serves on the scientific advisory board of Vida Ventures. He co-founded Molecular Simulations Inc. (now Biovia), Protabit LLC and Xencor, Inc., a public antibody engineering company. Dr. Mayo is currently the Bren Professor of Biology and Chemistry and Merkin Institute Professor at California Institute of Technology (Caltech). He joined the Caltech faculty in 1992, was a Caltech-based Howard Hughes Medical Institute Investigator from 1994 to 2007, served as Vice Provost for Research from 2007 to 2010 and served as Chair of the Division of Biology and Biological Engineering from 2010 to 2020. Dr. Mayo was elected to the National Academy of Sciences in 2004 for his pioneering contributions in the field of protein design. He served as an elected board member for the American Association for the Advancement of Science from 2010 to 2014 and as a presidential appointee on the National Science Foundation’s National Science Board from 2013 to 2018. Dr. Mayo holds a B.S. in Chemistry from Pennsylvania State University and a Ph.D. in Chemistry from Caltech. He completed postdoctoral work at both UC Berkeley and Stanford University School of Medicine in chemistry and biochemistry,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Dr. Mayo's expertise and experience in cancer research, his experience in academia, his experience as a director of other companies and his educational background provide him with the qualifications and skills to serve on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left"/>
        <w:rPr>
          <w:rFonts w:ascii="Arial;sans-serif" w:hAnsi="Arial;sans-serif"/>
          <w:b/>
          <w:color w:val="05686F"/>
          <w:sz w:val="20"/>
        </w:rPr>
      </w:pPr>
      <w:r>
        <w:rPr>
          <w:rFonts w:ascii="Arial;sans-serif" w:hAnsi="Arial;sans-serif"/>
          <w:b/>
          <w:color w:val="05686F"/>
          <w:sz w:val="20"/>
        </w:rPr>
        <w:t>Directors Continuing in Office Until the 2028 Annual Meeting</w:t>
      </w:r>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The following is a brief biography of each director whose term will continue after the Annual Meeting and until the 2028 Annual Meeting.</w:t>
      </w:r>
    </w:p>
    <w:p>
      <w:pPr>
        <w:pStyle w:val="TextBody"/>
        <w:bidi w:val="0"/>
        <w:spacing w:before="0" w:after="0"/>
        <w:jc w:val="left"/>
        <w:rPr/>
      </w:pPr>
      <w:r>
        <w:rPr/>
        <w:drawing>
          <wp:inline distT="0" distB="0" distL="0" distR="0">
            <wp:extent cx="6858000" cy="1304925"/>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6858000" cy="1304925"/>
                    </a:xfrm>
                    <a:prstGeom prst="rect">
                      <a:avLst/>
                    </a:prstGeom>
                  </pic:spPr>
                </pic:pic>
              </a:graphicData>
            </a:graphic>
          </wp:inline>
        </w:drawing>
      </w:r>
      <w:bookmarkStart w:id="12" w:name="i-13"/>
      <w:bookmarkEnd w:id="12"/>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Elizabeth Barrett has served as a member of our Board since July 2021. Ms. Barrett is a director and President and Chief Executive Officer of UroGen Pharma Ltd. ("UroGen"), a biotechnology company dedicated to developing and commercializing innovative solutions that treat urothelial and specialty cancers. At UroGen, Ms. Barrett spearheaded the 2020 approval of Jelmyto® for the treatment of low-grade upper tract urothelial carcinoma. Before joining UroGen, Ms. Barrett served as the Chief Executive Officer of Novartis Oncology, where she managed the development and launch of the autologous CAR T therapy Kymriah®, and as a member of the Executive Committee of Novartis Oncology from February 2018 to December 2018. Prior to that, Ms. Barrett served at Pfizer in various capacities, most recently as the Global President of Oncology, and before that as Pfizer’s Regional President of U.S. Oncology Business Unit since March 2009. Prior to Pfizer, she was Vice President and General Manager of the Oncology Business Unit at Cephalon Inc. Ms. Barrett has served as a director of Sage Therapeutics, Inc., a publicly traded biotechnology company focused on brain health medicines, since February 2019. Ms. Barrett received a Bachelor of Science in Business Administration from the University of Louisiana and a Master’s in Business Administration-Marketing from St. Joseph’s University.</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that Ms. Barrett’s expertise and experience in life sciences, her experience as a chief executive and director of a biotechnology company, and her educational background provide her with the qualifications and skills to serve on our Board of Directors.</w:t>
      </w:r>
    </w:p>
    <w:p>
      <w:pPr>
        <w:pStyle w:val="TextBody"/>
        <w:bidi w:val="0"/>
        <w:spacing w:before="120" w:after="120"/>
        <w:jc w:val="left"/>
        <w:rPr/>
      </w:pPr>
      <w:r>
        <w:rPr/>
        <w:drawing>
          <wp:inline distT="0" distB="0" distL="0" distR="0">
            <wp:extent cx="6858000" cy="12954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6858000" cy="1295400"/>
                    </a:xfrm>
                    <a:prstGeom prst="rect">
                      <a:avLst/>
                    </a:prstGeom>
                  </pic:spPr>
                </pic:pic>
              </a:graphicData>
            </a:graphic>
          </wp:inline>
        </w:drawing>
      </w:r>
      <w:bookmarkStart w:id="13" w:name="i-14"/>
      <w:bookmarkEnd w:id="13"/>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 xml:space="preserve">Arie Belldegrun, M.D. is a co-founder of Allogene and has served as Executive Chair of our Board since November 2017. From March 2014 until October 2017, Dr. Belldegrun served as the President and Chief Executive Officer of Kite Pharma, Inc. ("Kite") and as a director from June 2009 until October 2017. Dr. Belldegrun has served as Chair of UroGen since December 2012, and previously served as Chair of Kronos Bio, Inc., from June 2017 to June 2025. He was a director of Ginkgo Bioworks, Inc., from September 2021 to November 2024. Dr. Belldegrun has also served on the boards of several private companies, including Breakthrough Properties LLC and Breakthrough Services LLC, since April 2019, ByHeart, Inc., since October 2019, and as Co-Chairman of Symbiotic Capital since June 2023. Dr. Belldegrun has also served as Chairman of Bellco Capital LLC since 2004, as Chair and Partner of Two River Group since June 2009, and as Senior Managing Director of Vida Ventures, LLC since November 2017. He is certified by the American Board of Urology and is a Fellow of the American Association of Genitourinary Surgeons. Dr. Belldegrun is Research Professor, holds the Roy and Carol Doumani Chair in Urologic Oncology, and is Founder and Director of the Institute of Urologic Oncology at the David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5"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Geffen School of Medicine at the University of California, Los Angeles ("UCLA"). Prior to joining UCLA in October 1988, he was a research fellow at NCI/NIH in surgical oncology and immunotherapy from July 1985 to August 1988 under Dr. Steven Rosenberg. Dr. Belldegrun received his M.D. from the Hebrew University Hadassah Medical School in Jerusalem before completing his postgraduate studies in Immunology at the Weizmann Institute of Science and his residency in Urologic Surgery at Harvard Medical School.</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Dr. Belldegrun’s expertise, experience, and track record in forming successful companies in immuno-oncology as well as his expertise as a urological oncologist provide him with the qualifications and skills to serve on our Board of Directors.</w:t>
      </w:r>
    </w:p>
    <w:p>
      <w:pPr>
        <w:pStyle w:val="TextBody"/>
        <w:bidi w:val="0"/>
        <w:spacing w:before="0" w:after="0"/>
        <w:jc w:val="left"/>
        <w:rPr/>
      </w:pPr>
      <w:r>
        <w:rPr/>
        <w:drawing>
          <wp:inline distT="0" distB="0" distL="0" distR="0">
            <wp:extent cx="6858000" cy="132397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6858000" cy="1323975"/>
                    </a:xfrm>
                    <a:prstGeom prst="rect">
                      <a:avLst/>
                    </a:prstGeom>
                  </pic:spPr>
                </pic:pic>
              </a:graphicData>
            </a:graphic>
          </wp:inline>
        </w:drawing>
      </w:r>
      <w:bookmarkStart w:id="14" w:name="i-15"/>
      <w:bookmarkEnd w:id="14"/>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David Chang, M.D., Ph.D. is a co-founder of Allogene and has served as our President and Chief Executive Officer and as a member of our Board since June 2018. Dr. Chang has served on the boards of two private companies as Chair of the Board of Directors of IconOVir Bio, Inc., from June 2020 to 2025, and director of 1200 Pharma LLC since June 2021. Dr. Chang served on the Board of Directors of Notch Therapeutics, Inc. ("Notch"), a private research-stage biotechnology company, from November 2019 to March 2022. Prior to joining us, Dr. Chang served as the Chief Medical Officer and Executive Vice President, Research and Development of Kite from June 2014 until March 2018. Dr. Chang previously held senior positions at Amgen Inc. ("Amgen"), a biopharmaceutical company. Prior to that, he was an Associate Professor at the UCLA School of Medicine. He has also served as a Venture Partner of Vida Ventures, LLC since November 2017, and Two River, LLC since October 2017. In addition, he serves as a member of the Caltech Andrew and Peggy Cheng Medical Engineering Advisory Council and of the MIT Corporation Biology Visiting Committee. Dr. Chang obtained a B.S. in Biology from the Massachusetts Institute of Technology and an M.D. and Ph.D. from Stanford University.</w:t>
      </w:r>
    </w:p>
    <w:p>
      <w:pPr>
        <w:pStyle w:val="TextBody"/>
        <w:bidi w:val="0"/>
        <w:spacing w:lineRule="auto" w:line="333" w:before="0" w:after="120"/>
        <w:jc w:val="left"/>
        <w:rPr/>
      </w:pPr>
      <w:r>
        <w:rPr>
          <w:rFonts w:ascii="Arial;sans-serif" w:hAnsi="Arial;sans-serif"/>
          <w:b w:val="false"/>
          <w:i/>
          <w:color w:val="000000"/>
          <w:sz w:val="20"/>
        </w:rPr>
        <w:t>Skills and Qualifications</w:t>
      </w:r>
      <w:r>
        <w:rPr>
          <w:rFonts w:ascii="Arial;sans-serif" w:hAnsi="Arial;sans-serif"/>
          <w:b w:val="false"/>
          <w:color w:val="000000"/>
          <w:sz w:val="20"/>
        </w:rPr>
        <w:t>: Our Nominating and Corporate Governance Committee and Board of Directors believe Dr. Chang’s expertise and experience in life sciences, including his work in immuno-oncology and his educational background, provide him with the qualifications and skills to serve on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7"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8474" w:type="dxa"/>
        <w:jc w:val="left"/>
        <w:tblInd w:w="0" w:type="dxa"/>
        <w:tblLayout w:type="fixed"/>
        <w:tblCellMar>
          <w:top w:w="28" w:type="dxa"/>
          <w:left w:w="28" w:type="dxa"/>
          <w:bottom w:w="28" w:type="dxa"/>
          <w:right w:w="28" w:type="dxa"/>
        </w:tblCellMar>
      </w:tblPr>
      <w:tblGrid>
        <w:gridCol w:w="2714"/>
        <w:gridCol w:w="2383"/>
        <w:gridCol w:w="3377"/>
      </w:tblGrid>
      <w:tr>
        <w:trPr/>
        <w:tc>
          <w:tcPr>
            <w:tcW w:w="2714"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8474"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Information Regarding the Board of Directors and Corporate Governance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General</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believe that good corporate governance is important to ensure that Allogene is managed for the long-term benefit of our stockholders. This section describes key corporate governance practices that we have adopted. We have adopted a Code of Business Conduct and Ethics, which applies to all of our officers, directors and employees, Corporate Governance Guidelines and Charters for our Audit Committee, our Compensation Committee, our Nominating and Corporate Governance Committee, our International and Business Development Oversight Committee, and our Research and Development Committee. We continuously review these policies and practices and compare them to those of our peer group and those suggested by various authorities in corporate governance to ensure we adopt best industry practices. We have posted copies of our Code of Business Conduct and Ethics and Corporate Governance Guidelines, as well as each of our committee Charters, on the “Investors—Corporate Governance—Documents and Charters” section of our website, www.allogene.com, which you can access free of charge. Information contained on, or accessible through, our website is not incorporated by reference in, or considered part of, this Proxy Statement. We will also provide copies of these documents, as well as our other corporate governance documents, free of charge, to any stockholder upon written request to Allogene Therapeutics, Inc., 210 East Grand Avenue, South San Francisco, California 94080, Attn: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Corporate Governance Guidelines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of Directors has adopted Corporate Governance Guidelines to support the effective execution of its fiduciary duties and promote the long-term interests of Allogene and its stockholders. These Guidelines establish a clear framework for the governance of the Company and reinforce our commitment to transparency, accountability, independent oversight, and responsible leadership.</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Key principles outlined in the Guidelines include: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Board’s fundamental role is to provide strategic guidance and independent oversight of management in support of Allogene’s mission and objectives;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 majority of the Board shall consist of independent directors in accordance with Nasdaq listing standards;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independent directors meet no less than two times per year in executive session, without management present, to ensure open dialogue and objective decision-making;</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directors are granted access to management and independent advisors as needed to fulfill their duties;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Board and each of its committees conduct annual self-evaluations to assess performance and enhance effectiveness.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adoption of these Corporate Governance Guidelines reflects our Board’s commitment to continuous improvement and the ongoing enhancement of our governance practices. By codifying these principles, our Board seeks to ensure rigorous oversight, thoughtful stewardship, and alignment with stockholder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38"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Independence of the Board of Directors</w:t>
      </w:r>
    </w:p>
    <w:p>
      <w:pPr>
        <w:pStyle w:val="TextBody"/>
        <w:bidi w:val="0"/>
        <w:spacing w:lineRule="auto" w:line="312" w:before="0" w:after="120"/>
        <w:jc w:val="left"/>
        <w:rPr>
          <w:rFonts w:ascii="Arial;sans-serif" w:hAnsi="Arial;sans-serif"/>
          <w:b w:val="false"/>
          <w:color w:val="000000"/>
          <w:sz w:val="20"/>
        </w:rPr>
      </w:pPr>
      <w:r>
        <w:rPr>
          <w:rFonts w:ascii="Arial;sans-serif" w:hAnsi="Arial;sans-serif"/>
          <w:b w:val="false"/>
          <w:color w:val="000000"/>
          <w:sz w:val="20"/>
        </w:rPr>
        <w:t>As required under our Corporate Governance Guidelines and the Nasdaq Stock Market ("Nasdaq") listing standards, a majority of the members of our Board of Directors must qualify as “independent.” The Board of Directors is responsible for affirmatively determining director independence, consulting with the Company’s legal counsel to ensure compliance with relevant securities laws, regulations, and Nasdaq listing standards, as updated from time to time. To assist in making these determinations, the Board evaluates each director’s independence against Nasdaq’s categorical standards, which include various objective tests and criteria.</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Moreover, the Nasdaq rules mandate that each audit and compensation committee member must meet additional independence criteria specified by the Exchange Act. Specifically, audit committee members must comply with Rule 10A-3 under the Exchange Act, prohibiting them from accepting consulting or other compensatory fees, apart from board-related service, or being an affiliated person of the Company. Compensation committee members must adhere to Rule 10C-1 under the Exchange Act, where the Board must assess factors relevant to independence, including sources of compensation and affiliations.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After a comprehensive review of all relevant transactions, relationships, and circumstances concerning each director and their family members, including beneficial stock ownership, the Board affirmatively determined that all current directors are independent, except Dr. Belldegrun, Dr. Chang, and Mr. Kazam. Dr. Chang lacks independence due to his role as president and chief executive officer. Dr. Belldegrun is deemed non-independent due to his consulting relationship with the Company through Bellco Capital LLC. Mr. Kazam was determined to be non-independent based on the Company’s previous contractual relationship with Two River, terminated in December 2023, within the past three years.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addition, our Board of Directors determined that Ms. Barrett, Dr. Mayo and Ms. Messemer, who currently comprise our Audit Committee, Ms. Barrett, Mr. DeYoung and Dr. Humer, who currently comprise our Compensation Committee, and Ms. Messemer, Mr. Sisitsky and Dr. Witte, who currently comprise our Nominating and Corporate Governance Committee, satisfy the independence standards for such committees established by the SEC and the Nasdaq Listing Rules, as applicable. In making such determinations, our Board of Directors considered the relationships that each such non-employee director has with our Company, including any relevant transactions described below in “Certain Relationships and Related Party Transactions” and the beneficial ownership of our capital stock by each non-employee director, as well as all other facts and circumstances our Board of Directors deemed relevant in determining independence. Independent directors regularly conduct executive sessions without management presence, led by Dr. Franz Humer, who serves as Lead Independent Director.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has concluded that the current composition of its committees meets all applicable Nasdaq independence requirements and SEC regulations. For additional details, see the sections entitled “Information Regarding the Board of Directors and Corporate Governance—Information Regarding Committees of the Board of Directors” and “Transactions with Related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Board Leadership Structure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is currently chaired by Dr. Belldegrun. Because the Company maintains a consulting agreement with Bellco, which is owned by Dr. Belldegrun (see more information below under the heading “Executive Chair Compensation”), Dr. Belldegrun is designated as a non-independent director. Our Board leadership structure features a Lead Independent Director, Dr. Franz Humer, who provides a strong independent oversight counterbalance to our Executive Chair. Dr. Humer presides over executive sessions of independent directors, facilitates communication between the independent directors and management, and ensures the effective functioning of the Board and its committees, thereby enhancing our corporate governance structure.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Company believes that the role of the Lead Independent Director, in addition to the separation of the positions of Executive Chair and Chief Executive Officer ("CEO"), provides the Company with a governance structure that best advances the objectives of the Company while providing proper checks and balances on senior management, fostering open communication and reinforcing Board independence in its oversight of our business and affairs. In addition, we have a separate chair for each committee of our Board, and each of those positions is held by an independent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39"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Distinctive Role of the Executive Chair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Dr. Belldegrun accepts no compensation under our Non-Employee Director Compensation Policy, which is described below. Instead, in view of his more expansive role, Dr. Belldegrun is compensated through the Company’s consulting agreement with Bellco. The compensation provided under the Bellco consulting agreement (as amended, the "Bellco Consulting Agreement") is determined on an annual basis by our Compensation Committee in connection with its annual review and is informed by peer data and analysis provided by the Compensation Committee’s independent compensation consultant.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Dr. Belldegrun’s responsibilities under the Bellco Consulting Agreement extend well beyond typical board chair duties, encompassing comprehensive operational and strategic involvement. Through his consulting relationship, Dr. Belldegrun serves in a highly engaged role that includes substantial involvement in management, strategy, and operations, working closely with the Chief Executive Officer and senior leadership. The following is a summary of Dr. Belldegrun’s activities under the Bellco Consulting Agreement:</w:t>
      </w:r>
    </w:p>
    <w:p>
      <w:pPr>
        <w:pStyle w:val="TextBody"/>
        <w:bidi w:val="0"/>
        <w:spacing w:lineRule="auto" w:line="333" w:before="0" w:after="120"/>
        <w:ind w:left="0" w:right="0" w:hanging="360"/>
        <w:jc w:val="left"/>
        <w:rPr>
          <w:rFonts w:ascii="Arial;sans-serif" w:hAnsi="Arial;sans-serif"/>
          <w:b/>
          <w:color w:val="000000"/>
          <w:sz w:val="20"/>
        </w:rPr>
      </w:pPr>
      <w:r>
        <w:rPr>
          <w:rFonts w:ascii="Arial;sans-serif" w:hAnsi="Arial;sans-serif"/>
          <w:b/>
          <w:color w:val="000000"/>
          <w:sz w:val="20"/>
        </w:rPr>
        <w:t>1.    Operational and Strategic Involvement: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Works in close coordination with the Chief Executive Officer and senior management in the development and execution of corporate strategy and key operational initiatives.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Regularly attends executive management meetings, including bi-weekly Executive Committee meetings, senior leadership meetings, operational reviews, and strategy sessions.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Actively engaged in executive recruitment, retention, and talent development.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Engages directly in advancing the Company’s clinical trials and strategic initiatives.</w:t>
      </w:r>
    </w:p>
    <w:p>
      <w:pPr>
        <w:pStyle w:val="TextBody"/>
        <w:bidi w:val="0"/>
        <w:spacing w:lineRule="auto" w:line="333" w:before="0" w:after="120"/>
        <w:ind w:left="0" w:right="0" w:hanging="360"/>
        <w:jc w:val="left"/>
        <w:rPr>
          <w:rFonts w:ascii="Arial;sans-serif" w:hAnsi="Arial;sans-serif"/>
          <w:b/>
          <w:color w:val="000000"/>
          <w:sz w:val="20"/>
        </w:rPr>
      </w:pPr>
      <w:r>
        <w:rPr>
          <w:rFonts w:ascii="Arial;sans-serif" w:hAnsi="Arial;sans-serif"/>
          <w:b/>
          <w:color w:val="000000"/>
          <w:sz w:val="20"/>
        </w:rPr>
        <w:t>2.    Greater Time Commitment: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Devotes a level of time and engagement that exceeds that of a typical non-executive board chair.</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Maintains a continuous and active involvement in Company matters through frequent participation in non-board-related meetings, calls, and ongoing interactions with management and external stakeholders.</w:t>
      </w:r>
    </w:p>
    <w:p>
      <w:pPr>
        <w:pStyle w:val="TextBody"/>
        <w:bidi w:val="0"/>
        <w:spacing w:lineRule="auto" w:line="333" w:before="0" w:after="120"/>
        <w:ind w:left="0" w:right="0" w:hanging="360"/>
        <w:jc w:val="left"/>
        <w:rPr>
          <w:rFonts w:ascii="Arial;sans-serif" w:hAnsi="Arial;sans-serif"/>
          <w:b/>
          <w:color w:val="000000"/>
          <w:sz w:val="20"/>
        </w:rPr>
      </w:pPr>
      <w:r>
        <w:rPr>
          <w:rFonts w:ascii="Arial;sans-serif" w:hAnsi="Arial;sans-serif"/>
          <w:b/>
          <w:color w:val="000000"/>
          <w:sz w:val="20"/>
        </w:rPr>
        <w:t>3.    Scientific and Strategic Expertise: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Provides expertise in CAR T therapy and oncology, contributing to clinical development strategy, trial design, innovation, and related business decisions.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Participates in our Scientific Advisory Board, contributing scientific and medical perspectives relevant to product development.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Assigns to the Company any intellectual property arising from services provided under the consulting agreement.</w:t>
      </w:r>
    </w:p>
    <w:p>
      <w:pPr>
        <w:pStyle w:val="TextBody"/>
        <w:bidi w:val="0"/>
        <w:spacing w:lineRule="auto" w:line="333" w:before="0" w:after="120"/>
        <w:ind w:left="0" w:right="0" w:hanging="360"/>
        <w:jc w:val="left"/>
        <w:rPr>
          <w:rFonts w:ascii="Arial;sans-serif" w:hAnsi="Arial;sans-serif"/>
          <w:b/>
          <w:color w:val="000000"/>
          <w:sz w:val="20"/>
        </w:rPr>
      </w:pPr>
      <w:r>
        <w:rPr>
          <w:rFonts w:ascii="Arial;sans-serif" w:hAnsi="Arial;sans-serif"/>
          <w:b/>
          <w:color w:val="000000"/>
          <w:sz w:val="20"/>
        </w:rPr>
        <w:t>4.    Project-Specific Responsibilities: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Participates in discussions/negotiations with third parties relating to business development, including strategic transactions and collaborations.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Engages with clinical investigators and trial sites in support of clinical development activities, including patient enrollment.</w:t>
      </w:r>
    </w:p>
    <w:p>
      <w:pPr>
        <w:pStyle w:val="TextBody"/>
        <w:bidi w:val="0"/>
        <w:spacing w:lineRule="auto" w:line="333" w:before="0" w:after="120"/>
        <w:ind w:left="0" w:right="0" w:hanging="360"/>
        <w:jc w:val="left"/>
        <w:rPr>
          <w:rFonts w:ascii="Arial;sans-serif" w:hAnsi="Arial;sans-serif"/>
          <w:b/>
          <w:color w:val="000000"/>
          <w:sz w:val="20"/>
        </w:rPr>
      </w:pPr>
      <w:r>
        <w:rPr>
          <w:rFonts w:ascii="Arial;sans-serif" w:hAnsi="Arial;sans-serif"/>
          <w:b/>
          <w:color w:val="000000"/>
          <w:sz w:val="20"/>
        </w:rPr>
        <w:t>5.    External Engagement: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Represents the Company in interactions with investors, partners and other stakeholders, including participation in investor meetings and industry conferences.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Participates in the development and maintenance of relationships with strategic partners and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0"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360"/>
        <w:jc w:val="left"/>
        <w:rPr>
          <w:rFonts w:ascii="Arial;sans-serif" w:hAnsi="Arial;sans-serif"/>
          <w:b/>
          <w:color w:val="000000"/>
          <w:sz w:val="20"/>
        </w:rPr>
      </w:pPr>
      <w:r>
        <w:rPr>
          <w:rFonts w:ascii="Arial;sans-serif" w:hAnsi="Arial;sans-serif"/>
          <w:b/>
          <w:color w:val="000000"/>
          <w:sz w:val="20"/>
        </w:rPr>
        <w:t>6.    Industry Relationships and Networks: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Provides access to industry relationships and networks that support the Company's business development and strategic objectives.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Actively cultivates and leverages high-level industry contacts to advance the Company’s strategic objectives and market position.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These activities, and Dr. Belldegrun’s time commitment under the Bellco Consulting Agreement extend far beyond traditional board oversight. For more information on Dr. Belldegrun’s compensation under the Bellco Consulting Agreement, and the Board’s processes for evaluating and setting his compensation, see the section below under the heading “Director Compensation—Executive Chair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Classified Board Structure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As noted above, our Board of Directors is divided into three classes with each class having a three-year term. The Board of Directors continues to believe that a classified board remains appropriate at this time. Our classified board structure is thoughtfully designed to align with the unique demands and long-term strategies inherent in the biotechnology industry. We believe this view is shared among our peers as evidenced by the fact that among our executive compensation peers, 90% have a classified board structure. In assessing the continued appropriateness of our classified board structure, our Board also considered the following factors:</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 xml:space="preserve">Preserve Specialized and Stable Leadership - </w:t>
      </w:r>
      <w:r>
        <w:rPr>
          <w:rFonts w:ascii="Arial;sans-serif" w:hAnsi="Arial;sans-serif"/>
          <w:b w:val="false"/>
          <w:color w:val="000000"/>
          <w:sz w:val="20"/>
        </w:rPr>
        <w:t>In biotech, sustained success depends heavily on deep scientific expertise, specialized technical understanding, and comprehensive regulatory knowledge. Our staggered board structure is specifically designed to retain directors who possess extensive and evolving insights into our proprietary CAR T technologies, clinical protocols, regulatory processes, funding strategies, and overall business operations. By mitigating the risk of abrupt changes in board composition, our structure ensures stable, informed oversight and decision-making continuity, essential for driving forward our complex and long-term therapeutic development initiatives.</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 xml:space="preserve">Enhance Negotiation Leverage in M&amp;A or Strategic Partnerships - </w:t>
      </w:r>
      <w:r>
        <w:rPr>
          <w:rFonts w:ascii="Arial;sans-serif" w:hAnsi="Arial;sans-serif"/>
          <w:b w:val="false"/>
          <w:color w:val="000000"/>
          <w:sz w:val="20"/>
        </w:rPr>
        <w:t>Given the significant value potential embedded in our pipeline, the classified board structure strategically positions us to optimize outcomes in critical negotiations, whether related to acquisitions, mergers, or strategic partnerships. By preventing a swift or wholesale change in board composition, this governance arrangement strengthens our negotiating position, reducing the risk of being pressured into premature or undervalued transactions that could otherwise jeopardize future stockholder value.</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Align with the Capital-Intensive Nature of Biotech -</w:t>
      </w:r>
      <w:r>
        <w:rPr>
          <w:color w:val="000000"/>
        </w:rPr>
        <w:t xml:space="preserve"> </w:t>
      </w:r>
      <w:r>
        <w:rPr>
          <w:rFonts w:ascii="Arial;sans-serif" w:hAnsi="Arial;sans-serif"/>
          <w:b w:val="false"/>
          <w:color w:val="000000"/>
          <w:sz w:val="20"/>
        </w:rPr>
        <w:t>As a development-stage biotech company, we regularly undertake capital-intensive clinical trials, necessitating ongoing strategic equity raises to finance these critical endeavors. A classified board provides our long-term investors with a robust assurance that our governance and strategic direction remain stable, particularly during periods of financial vulnerability and evolution. This governance structure is highly attractive to sophisticated biotech investors, reinforcing confidence that strategic oversight remains consistent and insulated from short-term volatility.</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 xml:space="preserve">Protect Against Activist Investors with Misaligned Objectives - </w:t>
      </w:r>
      <w:r>
        <w:rPr>
          <w:rFonts w:ascii="Arial;sans-serif" w:hAnsi="Arial;sans-serif"/>
          <w:b w:val="false"/>
          <w:color w:val="000000"/>
          <w:sz w:val="20"/>
        </w:rPr>
        <w:t>Activist investors or special interest groups may advocate short-term measures, such as premature asset divestitures or rapid exits, that could undermine our carefully planned, long-term strategy crucial for realizing the full potential of our innovative therapies. Our classified board acts as a prudent safeguard, ensuring that any significant shifts in corporate control or strategy occur through thoughtful deliberation rather than reactive decision-making, thereby protecting long-term stockholder interests and the continuity of our research programs.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After careful consideration, including consideration of the factors noted above, both the Nominating and Corporate Governance Committee and the full Board remain confident that maintaining our classified board structure optimally supports the achievement of our long-term strategic goals, facilitates informed and sophisticated oversight, and significantly enhances our ability to deliver sustained value to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1"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recognizes ongoing stockholder interest in board declassification and the benefits of annual director elections. We remain committed to an annual formal review of our classified structure. The Board will actively consider proposing a phased board declassification when these protections are no longer deemed appropriate to safeguard stockholder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Board Qualifications</w:t>
      </w:r>
    </w:p>
    <w:p>
      <w:pPr>
        <w:pStyle w:val="TextBody"/>
        <w:bidi w:val="0"/>
        <w:spacing w:lineRule="auto" w:line="312" w:before="0" w:after="120"/>
        <w:jc w:val="left"/>
        <w:rPr/>
      </w:pPr>
      <w:r>
        <w:rPr>
          <w:rFonts w:ascii="Arial;sans-serif" w:hAnsi="Arial;sans-serif"/>
          <w:b/>
          <w:i/>
          <w:color w:val="05686F"/>
          <w:sz w:val="20"/>
        </w:rPr>
        <w:t>Experience and Expertise:</w:t>
      </w:r>
      <w:r>
        <w:rPr>
          <w:color w:val="000000"/>
        </w:rPr>
        <w:t xml:space="preserve"> </w:t>
      </w:r>
      <w:r>
        <w:rPr>
          <w:rFonts w:ascii="Arial;sans-serif" w:hAnsi="Arial;sans-serif"/>
          <w:b w:val="false"/>
          <w:color w:val="000000"/>
          <w:sz w:val="20"/>
        </w:rPr>
        <w:t>Our Board is responsible for overseeing our business consistent with its fiduciary duties. This significant responsibility requires highly skilled individuals with various qualities, attributes, and professional experience. We believe the Board is well-rounded, with a balance of relevant perspectives and experience, as illustrated in the chart below.</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believes that a diverse mix of backgrounds, perspectives, and experiences enhances its effectiveness and the quality of its decision-making. In identifying and evaluating candidates for service on the Board, the Nominating and Corporate Governance Committee considers a wide range of attributes, including professional experience, industry knowledge, leadership skills, and geographic background, among other characteristics that support sound governance and align with the Company’s long-term strategy.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strive to build a Board with a broad range of perspectives relevant to our business, patients, investors, and other stakeholders. As part of both the annual nomination process and any new director search, the Committee seeks individuals who will contribute to the Board’s collective strength and effectiveness.</w:t>
      </w:r>
    </w:p>
    <w:tbl>
      <w:tblPr>
        <w:tblW w:w="10205" w:type="dxa"/>
        <w:jc w:val="center"/>
        <w:tblInd w:w="0" w:type="dxa"/>
        <w:tblLayout w:type="fixed"/>
        <w:tblCellMar>
          <w:top w:w="28" w:type="dxa"/>
          <w:left w:w="28" w:type="dxa"/>
          <w:bottom w:w="28" w:type="dxa"/>
          <w:right w:w="28" w:type="dxa"/>
        </w:tblCellMar>
      </w:tblPr>
      <w:tblGrid>
        <w:gridCol w:w="977"/>
        <w:gridCol w:w="840"/>
        <w:gridCol w:w="845"/>
        <w:gridCol w:w="215"/>
        <w:gridCol w:w="215"/>
        <w:gridCol w:w="216"/>
        <w:gridCol w:w="325"/>
        <w:gridCol w:w="325"/>
        <w:gridCol w:w="326"/>
        <w:gridCol w:w="210"/>
        <w:gridCol w:w="210"/>
        <w:gridCol w:w="211"/>
        <w:gridCol w:w="280"/>
        <w:gridCol w:w="280"/>
        <w:gridCol w:w="281"/>
        <w:gridCol w:w="210"/>
        <w:gridCol w:w="210"/>
        <w:gridCol w:w="211"/>
        <w:gridCol w:w="215"/>
        <w:gridCol w:w="215"/>
        <w:gridCol w:w="216"/>
        <w:gridCol w:w="175"/>
        <w:gridCol w:w="175"/>
        <w:gridCol w:w="176"/>
        <w:gridCol w:w="300"/>
        <w:gridCol w:w="300"/>
        <w:gridCol w:w="301"/>
        <w:gridCol w:w="155"/>
        <w:gridCol w:w="155"/>
        <w:gridCol w:w="156"/>
        <w:gridCol w:w="240"/>
        <w:gridCol w:w="240"/>
        <w:gridCol w:w="241"/>
        <w:gridCol w:w="162"/>
        <w:gridCol w:w="162"/>
        <w:gridCol w:w="234"/>
      </w:tblGrid>
      <w:tr>
        <w:trPr/>
        <w:tc>
          <w:tcPr>
            <w:tcW w:w="97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Experience/Skill</w:t>
            </w:r>
          </w:p>
        </w:tc>
        <w:tc>
          <w:tcPr>
            <w:tcW w:w="646"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Barrett</w:t>
            </w:r>
          </w:p>
        </w:tc>
        <w:tc>
          <w:tcPr>
            <w:tcW w:w="976"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Belldegrun</w:t>
            </w:r>
          </w:p>
        </w:tc>
        <w:tc>
          <w:tcPr>
            <w:tcW w:w="631"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Chang</w:t>
            </w:r>
          </w:p>
        </w:tc>
        <w:tc>
          <w:tcPr>
            <w:tcW w:w="841"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DeYoung</w:t>
            </w:r>
          </w:p>
        </w:tc>
        <w:tc>
          <w:tcPr>
            <w:tcW w:w="631"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Humer</w:t>
            </w:r>
          </w:p>
        </w:tc>
        <w:tc>
          <w:tcPr>
            <w:tcW w:w="646"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Kazam</w:t>
            </w:r>
          </w:p>
        </w:tc>
        <w:tc>
          <w:tcPr>
            <w:tcW w:w="526"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Mayo</w:t>
            </w:r>
          </w:p>
        </w:tc>
        <w:tc>
          <w:tcPr>
            <w:tcW w:w="901"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Messemer</w:t>
            </w:r>
          </w:p>
        </w:tc>
        <w:tc>
          <w:tcPr>
            <w:tcW w:w="466"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Sato</w:t>
            </w:r>
          </w:p>
        </w:tc>
        <w:tc>
          <w:tcPr>
            <w:tcW w:w="721"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Sisitsky</w:t>
            </w:r>
          </w:p>
        </w:tc>
        <w:tc>
          <w:tcPr>
            <w:tcW w:w="558" w:type="dxa"/>
            <w:gridSpan w:val="3"/>
            <w:tcBorders/>
            <w:shd w:fill="05686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Witte</w:t>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Biopharmaceutical Industry</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Financial/Audit &amp; Risk</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Strategic Planning &amp; Vision</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Risk Management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Business Development &amp; Strategic Transactions</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Scientific Research &amp; Drug Development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Public Policy/Government Affairs/Regulatory</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Global/International Operations</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Governance/Compliance</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Mergers &amp; Acquisitions (M&amp;A)</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Executive Leadership</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Human Capital and Talent Development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Technology &amp; Innovation</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Capital Markets</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Commercialization, Marketing &amp; Branding</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Operations, Manufacturing &amp; Supply Chain</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FFFFFF"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left w:val="single" w:sz="8" w:space="0" w:color="61636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DC6C0"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Investor Relations</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97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84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721" w:type="dxa"/>
            <w:gridSpan w:val="3"/>
            <w:tcBorders>
              <w:left w:val="single" w:sz="8" w:space="0" w:color="616365"/>
            </w:tcBorders>
            <w:shd w:fill="CDC6C0" w:val="clear"/>
            <w:tcMar>
              <w:top w:w="0" w:type="dxa"/>
              <w:bottom w:w="0" w:type="dxa"/>
              <w:right w:w="0" w:type="dxa"/>
            </w:tcMar>
            <w:vAlign w:val="center"/>
          </w:tcPr>
          <w:p>
            <w:pPr>
              <w:pStyle w:val="TableContents"/>
              <w:bidi w:val="0"/>
              <w:spacing w:lineRule="auto" w:line="268" w:before="0" w:after="0"/>
              <w:jc w:val="center"/>
              <w:rPr>
                <w:color w:val="05686F"/>
              </w:rPr>
            </w:pPr>
            <w:r>
              <w:rPr>
                <w:color w:val="05686F"/>
              </w:rPr>
              <w:t>●</w:t>
            </w:r>
          </w:p>
        </w:tc>
        <w:tc>
          <w:tcPr>
            <w:tcW w:w="558" w:type="dxa"/>
            <w:gridSpan w:val="3"/>
            <w:tcBorders>
              <w:left w:val="single" w:sz="8" w:space="0" w:color="616365"/>
            </w:tcBorders>
            <w:shd w:fill="CDC6C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bottom w:val="single" w:sz="24" w:space="0" w:color="05686F"/>
            </w:tcBorders>
            <w:shd w:fill="FFFFFF" w:val="clear"/>
            <w:tcMar>
              <w:top w:w="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05686F"/>
                <w:sz w:val="16"/>
              </w:rPr>
            </w:pPr>
            <w:r>
              <w:rPr>
                <w:rFonts w:ascii="Arial;sans-serif" w:hAnsi="Arial;sans-serif"/>
                <w:b w:val="false"/>
                <w:color w:val="05686F"/>
                <w:sz w:val="16"/>
              </w:rPr>
              <w:t>Crisis Management</w:t>
            </w:r>
          </w:p>
        </w:tc>
        <w:tc>
          <w:tcPr>
            <w:tcW w:w="646"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left w:val="single" w:sz="8" w:space="0" w:color="616365"/>
              <w:bottom w:val="single" w:sz="24" w:space="0" w:color="05686F"/>
            </w:tcBorders>
            <w:shd w:fill="FFFFFF" w:val="clear"/>
            <w:tcMar>
              <w:top w:w="0" w:type="dxa"/>
              <w:bottom w:w="30" w:type="dxa"/>
              <w:right w:w="0" w:type="dxa"/>
            </w:tcMar>
            <w:vAlign w:val="center"/>
          </w:tcPr>
          <w:p>
            <w:pPr>
              <w:pStyle w:val="TableContents"/>
              <w:bidi w:val="0"/>
              <w:spacing w:lineRule="auto" w:line="268" w:before="0" w:after="0"/>
              <w:jc w:val="center"/>
              <w:rPr>
                <w:color w:val="05686F"/>
              </w:rPr>
            </w:pPr>
            <w:r>
              <w:rPr>
                <w:color w:val="05686F"/>
              </w:rPr>
              <w:t>●</w:t>
            </w:r>
          </w:p>
        </w:tc>
        <w:tc>
          <w:tcPr>
            <w:tcW w:w="646"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left w:val="single" w:sz="8" w:space="0" w:color="616365"/>
              <w:bottom w:val="single" w:sz="24" w:space="0" w:color="05686F"/>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120"/>
        <w:jc w:val="left"/>
        <w:rPr/>
      </w:pPr>
      <w:r>
        <w:rPr>
          <w:rFonts w:ascii="Arial;sans-serif" w:hAnsi="Arial;sans-serif"/>
          <w:b/>
          <w:i/>
          <w:color w:val="05686F"/>
          <w:sz w:val="20"/>
        </w:rPr>
        <w:t>Character:</w:t>
      </w:r>
      <w:r>
        <w:rPr>
          <w:color w:val="000000"/>
        </w:rPr>
        <w:t xml:space="preserve"> </w:t>
      </w:r>
      <w:r>
        <w:rPr>
          <w:rFonts w:ascii="Arial;sans-serif" w:hAnsi="Arial;sans-serif"/>
          <w:b w:val="false"/>
          <w:color w:val="000000"/>
          <w:sz w:val="20"/>
        </w:rPr>
        <w:t>Board members should possess the personal attributes necessary to be an effective director, including unquestioned integrity, sound judgment, a collaborative spirit, and commitment to the Company, our stockholders, and other constituencies.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Board Self-Evaluation Process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is committed to continuous improvement and conducts a robust annual self-assessment process designed to enhance Board effectiveness and governance practices by evaluating overall Board performance as well as individual director performance. The Nominating and Corporate Governance Committee oversees this evaluation process, including reviewing and approving the self-assessment questionnaire and the methodology used, consistent with our Corporate Governance Guidelines.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2"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In 2026, the Board evaluation was facilitated through an extensive, structured questionnaire addressing key areas such as Board composition, information flow, operational efficiency, Board engagement and interaction, accountability, individual director contributions, and performance related to strategic decision-making.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All continuing directors participated fully in the evaluation, providing comprehensive, anonymous and candid feedback. An independent third-party advisor is used to collect, analyze, and summarize the directors' responses to preserve anonymity and objectivity, further enhancing the integrity of the assessment. The advisor will present detailed findings to each respective committee, and collectively to the full Board, fostering in-depth discussions focused on identified strengths and specific opportunities for improvement.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Key topics covered in the evaluation include: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effectiveness of our current Board leadership structure and independence.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Quality, timeliness, and relevance of information provided to directors.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Efficiency and effectiveness of Board and committee meetings.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Board’s strategic oversight and response to evolving business challenges.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Assessment of risk oversight processes and management accountability.</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Individual and collective director contributions and areas for skill enhancement.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Following the evaluation, the Board and each committee identify actionable steps to address feedback, improve governance processes, and enhance Board and committee performance. This iterative process underscores the Board’s proactive approach to governance, promoting transparency, accountability, and long-term value creation for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Role of the Board in Risk Oversight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One of the key functions of our Board of Directors is informed oversight of our risk management process. The Board does not have a standing risk management committee, but rather administers this oversight function directly through the Board of Directors as a whole, as well as through the Audit Committee and the Compensation Committee. The Audit Committee and the Compensation Committee receive reports from management periodically regarding our assessment of risks. In addition, the Audit Committee and the Compensation Committee report regularly to our Board of Directors, which also considers our risk profile. Our Board of Directors, and its committees, focus on the most significant risks we face and our general risk management strategies. For instance, the Audit Committee plays a critical role in overseeing the Company’s comprehensive risk management program, including detailed reviews of financial, operational, regulatory, compliance, and cybersecurity risks. In addition, the Compensation Committee periodically reviews risks associated with our compensation policies and programs. 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the Compensation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Meetings of the Board of Directors</w:t>
      </w:r>
    </w:p>
    <w:p>
      <w:pPr>
        <w:pStyle w:val="TextBody"/>
        <w:bidi w:val="0"/>
        <w:spacing w:lineRule="auto" w:line="312" w:before="0" w:after="120"/>
        <w:jc w:val="left"/>
        <w:rPr>
          <w:rFonts w:ascii="Arial;sans-serif" w:hAnsi="Arial;sans-serif"/>
          <w:b w:val="false"/>
          <w:color w:val="000000"/>
          <w:sz w:val="20"/>
        </w:rPr>
      </w:pPr>
      <w:r>
        <w:rPr>
          <w:rFonts w:ascii="Arial;sans-serif" w:hAnsi="Arial;sans-serif"/>
          <w:b w:val="false"/>
          <w:color w:val="000000"/>
          <w:sz w:val="20"/>
        </w:rPr>
        <w:t>The Board of Directors met five times during the last fiscal year. Each current Board member attended at least 75% of the aggregate number of meetings of the Board and of the committees on which they served, held during the portion of the last fiscal year for which they were a director or committee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3"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Information Regarding Committees of the Board of Directors</w:t>
      </w:r>
    </w:p>
    <w:p>
      <w:pPr>
        <w:pStyle w:val="TextBody"/>
        <w:bidi w:val="0"/>
        <w:spacing w:lineRule="auto" w:line="312" w:before="0" w:after="120"/>
        <w:jc w:val="left"/>
        <w:rPr>
          <w:rFonts w:ascii="Arial;sans-serif" w:hAnsi="Arial;sans-serif"/>
          <w:b w:val="false"/>
          <w:color w:val="000000"/>
          <w:sz w:val="20"/>
        </w:rPr>
      </w:pPr>
      <w:r>
        <w:rPr>
          <w:rFonts w:ascii="Arial;sans-serif" w:hAnsi="Arial;sans-serif"/>
          <w:b w:val="false"/>
          <w:color w:val="000000"/>
          <w:sz w:val="20"/>
        </w:rPr>
        <w:t>The Board maintains an Audit Committee, a Compensation Committee, a Nominating and Corporate Governance Committee, an International and Business Development Oversight Committee, and a Research and Development Committee. The following table provides membership information for each of the foregoing Board committees:</w:t>
      </w:r>
    </w:p>
    <w:tbl>
      <w:tblPr>
        <w:tblW w:w="10205" w:type="dxa"/>
        <w:jc w:val="center"/>
        <w:tblInd w:w="0" w:type="dxa"/>
        <w:tblLayout w:type="fixed"/>
        <w:tblCellMar>
          <w:top w:w="28" w:type="dxa"/>
          <w:left w:w="28" w:type="dxa"/>
          <w:bottom w:w="28" w:type="dxa"/>
          <w:right w:w="28" w:type="dxa"/>
        </w:tblCellMar>
      </w:tblPr>
      <w:tblGrid>
        <w:gridCol w:w="770"/>
        <w:gridCol w:w="464"/>
        <w:gridCol w:w="468"/>
        <w:gridCol w:w="150"/>
        <w:gridCol w:w="150"/>
        <w:gridCol w:w="151"/>
        <w:gridCol w:w="304"/>
        <w:gridCol w:w="304"/>
        <w:gridCol w:w="304"/>
        <w:gridCol w:w="180"/>
        <w:gridCol w:w="180"/>
        <w:gridCol w:w="182"/>
        <w:gridCol w:w="447"/>
        <w:gridCol w:w="447"/>
        <w:gridCol w:w="447"/>
        <w:gridCol w:w="561"/>
        <w:gridCol w:w="561"/>
        <w:gridCol w:w="562"/>
        <w:gridCol w:w="661"/>
        <w:gridCol w:w="661"/>
        <w:gridCol w:w="663"/>
        <w:gridCol w:w="462"/>
        <w:gridCol w:w="462"/>
        <w:gridCol w:w="664"/>
      </w:tblGrid>
      <w:tr>
        <w:trPr/>
        <w:tc>
          <w:tcPr>
            <w:tcW w:w="77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shd w:fill="05686F" w:val="clear"/>
            <w:tcMar>
              <w:top w:w="0" w:type="dxa"/>
              <w:left w:w="0" w:type="dxa"/>
              <w:bottom w:w="0" w:type="dxa"/>
              <w:right w:w="0" w:type="dxa"/>
            </w:tcMar>
            <w:vAlign w:val="center"/>
          </w:tcPr>
          <w:p>
            <w:pPr>
              <w:pStyle w:val="TableContents"/>
              <w:bidi w:val="0"/>
              <w:spacing w:before="75" w:after="283"/>
              <w:jc w:val="center"/>
              <w:rPr/>
            </w:pPr>
            <w:r>
              <w:rPr/>
            </w:r>
          </w:p>
          <w:p>
            <w:pPr>
              <w:pStyle w:val="TableContents"/>
              <w:bidi w:val="0"/>
              <w:spacing w:lineRule="auto" w:line="333" w:before="0" w:after="30"/>
              <w:ind w:left="0" w:right="0" w:firstLine="60"/>
              <w:jc w:val="center"/>
              <w:rPr>
                <w:rFonts w:ascii="Arial;sans-serif" w:hAnsi="Arial;sans-serif"/>
                <w:b/>
                <w:color w:val="FFFFFF"/>
                <w:sz w:val="18"/>
                <w:u w:val="single"/>
              </w:rPr>
            </w:pPr>
            <w:r>
              <w:rPr>
                <w:rFonts w:ascii="Arial;sans-serif" w:hAnsi="Arial;sans-serif"/>
                <w:b/>
                <w:color w:val="FFFFFF"/>
                <w:sz w:val="18"/>
                <w:u w:val="single"/>
              </w:rPr>
              <w:t>Directors</w:t>
            </w:r>
          </w:p>
        </w:tc>
        <w:tc>
          <w:tcPr>
            <w:tcW w:w="451" w:type="dxa"/>
            <w:gridSpan w:val="3"/>
            <w:tcBorders/>
            <w:shd w:fill="05686F" w:val="clear"/>
            <w:tcMar>
              <w:top w:w="0" w:type="dxa"/>
              <w:left w:w="0" w:type="dxa"/>
              <w:bottom w:w="0" w:type="dxa"/>
              <w:right w:w="0" w:type="dxa"/>
            </w:tcMar>
            <w:vAlign w:val="center"/>
          </w:tcPr>
          <w:p>
            <w:pPr>
              <w:pStyle w:val="TableContents"/>
              <w:bidi w:val="0"/>
              <w:spacing w:before="75" w:after="283"/>
              <w:jc w:val="center"/>
              <w:rPr/>
            </w:pPr>
            <w:r>
              <w:rPr/>
            </w:r>
          </w:p>
          <w:p>
            <w:pPr>
              <w:pStyle w:val="TableContents"/>
              <w:bidi w:val="0"/>
              <w:spacing w:lineRule="auto" w:line="333" w:before="0" w:after="30"/>
              <w:jc w:val="center"/>
              <w:rPr>
                <w:rFonts w:ascii="Arial;sans-serif" w:hAnsi="Arial;sans-serif"/>
                <w:b/>
                <w:color w:val="FFFFFF"/>
                <w:sz w:val="18"/>
                <w:u w:val="single"/>
              </w:rPr>
            </w:pPr>
            <w:r>
              <w:rPr>
                <w:rFonts w:ascii="Arial;sans-serif" w:hAnsi="Arial;sans-serif"/>
                <w:b/>
                <w:color w:val="FFFFFF"/>
                <w:sz w:val="18"/>
                <w:u w:val="single"/>
              </w:rPr>
              <w:t>Age</w:t>
            </w:r>
          </w:p>
        </w:tc>
        <w:tc>
          <w:tcPr>
            <w:tcW w:w="912" w:type="dxa"/>
            <w:gridSpan w:val="3"/>
            <w:tcBorders/>
            <w:shd w:fill="05686F" w:val="clear"/>
            <w:tcMar>
              <w:top w:w="0" w:type="dxa"/>
              <w:left w:w="0" w:type="dxa"/>
              <w:bottom w:w="0" w:type="dxa"/>
              <w:right w:w="0" w:type="dxa"/>
            </w:tcMar>
            <w:vAlign w:val="center"/>
          </w:tcPr>
          <w:p>
            <w:pPr>
              <w:pStyle w:val="TableContents"/>
              <w:bidi w:val="0"/>
              <w:spacing w:before="75" w:after="283"/>
              <w:jc w:val="center"/>
              <w:rPr/>
            </w:pPr>
            <w:r>
              <w:rPr/>
            </w:r>
          </w:p>
          <w:p>
            <w:pPr>
              <w:pStyle w:val="TableContents"/>
              <w:bidi w:val="0"/>
              <w:spacing w:lineRule="auto" w:line="333" w:before="0" w:after="30"/>
              <w:ind w:left="0" w:right="0" w:hanging="25"/>
              <w:jc w:val="center"/>
              <w:rPr/>
            </w:pPr>
            <w:r>
              <w:rPr>
                <w:rFonts w:ascii="Arial;sans-serif" w:hAnsi="Arial;sans-serif"/>
                <w:b/>
                <w:color w:val="FFFFFF"/>
                <w:sz w:val="18"/>
              </w:rPr>
              <w:t xml:space="preserve">Director </w:t>
            </w:r>
            <w:r>
              <w:rPr>
                <w:rFonts w:ascii="Arial;sans-serif" w:hAnsi="Arial;sans-serif"/>
                <w:b/>
                <w:color w:val="FFFFFF"/>
                <w:sz w:val="18"/>
                <w:u w:val="single"/>
              </w:rPr>
              <w:t>Since</w:t>
            </w:r>
          </w:p>
        </w:tc>
        <w:tc>
          <w:tcPr>
            <w:tcW w:w="542" w:type="dxa"/>
            <w:gridSpan w:val="3"/>
            <w:tcBorders/>
            <w:shd w:fill="05686F" w:val="clear"/>
            <w:tcMar>
              <w:top w:w="0" w:type="dxa"/>
              <w:left w:w="0" w:type="dxa"/>
              <w:bottom w:w="0" w:type="dxa"/>
              <w:right w:w="0" w:type="dxa"/>
            </w:tcMar>
            <w:vAlign w:val="center"/>
          </w:tcPr>
          <w:p>
            <w:pPr>
              <w:pStyle w:val="TableContents"/>
              <w:bidi w:val="0"/>
              <w:spacing w:before="75" w:after="283"/>
              <w:jc w:val="center"/>
              <w:rPr/>
            </w:pPr>
            <w:r>
              <w:rPr/>
            </w:r>
          </w:p>
          <w:p>
            <w:pPr>
              <w:pStyle w:val="TableContents"/>
              <w:bidi w:val="0"/>
              <w:spacing w:lineRule="auto" w:line="333" w:before="0" w:after="30"/>
              <w:ind w:left="0" w:right="0" w:hanging="15"/>
              <w:jc w:val="center"/>
              <w:rPr>
                <w:rFonts w:ascii="Arial;sans-serif" w:hAnsi="Arial;sans-serif"/>
                <w:b/>
                <w:color w:val="FFFFFF"/>
                <w:sz w:val="18"/>
                <w:u w:val="single"/>
              </w:rPr>
            </w:pPr>
            <w:r>
              <w:rPr>
                <w:rFonts w:ascii="Arial;sans-serif" w:hAnsi="Arial;sans-serif"/>
                <w:b/>
                <w:color w:val="FFFFFF"/>
                <w:sz w:val="18"/>
                <w:u w:val="single"/>
              </w:rPr>
              <w:t>Audit</w:t>
            </w:r>
          </w:p>
        </w:tc>
        <w:tc>
          <w:tcPr>
            <w:tcW w:w="1341" w:type="dxa"/>
            <w:gridSpan w:val="3"/>
            <w:tcBorders/>
            <w:shd w:fill="05686F" w:val="clear"/>
            <w:tcMar>
              <w:top w:w="0" w:type="dxa"/>
              <w:left w:w="0" w:type="dxa"/>
              <w:bottom w:w="0" w:type="dxa"/>
              <w:right w:w="0" w:type="dxa"/>
            </w:tcMar>
            <w:vAlign w:val="center"/>
          </w:tcPr>
          <w:p>
            <w:pPr>
              <w:pStyle w:val="TableContents"/>
              <w:bidi w:val="0"/>
              <w:spacing w:lineRule="auto" w:line="333" w:before="75" w:after="30"/>
              <w:ind w:left="0" w:right="0" w:hanging="10"/>
              <w:jc w:val="center"/>
              <w:rPr>
                <w:rFonts w:ascii="Arial;sans-serif" w:hAnsi="Arial;sans-serif"/>
                <w:b/>
                <w:color w:val="FFFFFF"/>
                <w:sz w:val="18"/>
                <w:u w:val="single"/>
              </w:rPr>
            </w:pPr>
            <w:r>
              <w:rPr>
                <w:rFonts w:ascii="Arial;sans-serif" w:hAnsi="Arial;sans-serif"/>
                <w:b/>
                <w:color w:val="FFFFFF"/>
                <w:sz w:val="18"/>
                <w:u w:val="single"/>
              </w:rPr>
              <w:t>Compensation</w:t>
            </w:r>
          </w:p>
        </w:tc>
        <w:tc>
          <w:tcPr>
            <w:tcW w:w="1684" w:type="dxa"/>
            <w:gridSpan w:val="3"/>
            <w:tcBorders/>
            <w:shd w:fill="05686F" w:val="clear"/>
            <w:tcMar>
              <w:top w:w="0" w:type="dxa"/>
              <w:left w:w="0" w:type="dxa"/>
              <w:bottom w:w="0" w:type="dxa"/>
              <w:right w:w="0" w:type="dxa"/>
            </w:tcMar>
            <w:vAlign w:val="center"/>
          </w:tcPr>
          <w:p>
            <w:pPr>
              <w:pStyle w:val="TableContents"/>
              <w:bidi w:val="0"/>
              <w:spacing w:lineRule="auto" w:line="333" w:before="75" w:after="30"/>
              <w:jc w:val="center"/>
              <w:rPr/>
            </w:pPr>
            <w:r>
              <w:rPr>
                <w:rFonts w:ascii="Arial;sans-serif" w:hAnsi="Arial;sans-serif"/>
                <w:b/>
                <w:color w:val="FFFFFF"/>
                <w:sz w:val="18"/>
              </w:rPr>
              <w:t xml:space="preserve">Nominating and Corporate </w:t>
            </w:r>
            <w:r>
              <w:rPr>
                <w:rFonts w:ascii="Arial;sans-serif" w:hAnsi="Arial;sans-serif"/>
                <w:b/>
                <w:color w:val="FFFFFF"/>
                <w:sz w:val="18"/>
                <w:u w:val="single"/>
              </w:rPr>
              <w:t>Governance</w:t>
            </w:r>
          </w:p>
        </w:tc>
        <w:tc>
          <w:tcPr>
            <w:tcW w:w="1985" w:type="dxa"/>
            <w:gridSpan w:val="3"/>
            <w:tcBorders/>
            <w:shd w:fill="05686F" w:val="clear"/>
            <w:tcMar>
              <w:top w:w="0" w:type="dxa"/>
              <w:left w:w="0" w:type="dxa"/>
              <w:bottom w:w="0" w:type="dxa"/>
              <w:right w:w="0" w:type="dxa"/>
            </w:tcMar>
            <w:vAlign w:val="center"/>
          </w:tcPr>
          <w:p>
            <w:pPr>
              <w:pStyle w:val="TableContents"/>
              <w:bidi w:val="0"/>
              <w:spacing w:lineRule="auto" w:line="333" w:before="75" w:after="30"/>
              <w:jc w:val="center"/>
              <w:rPr/>
            </w:pPr>
            <w:r>
              <w:rPr>
                <w:rFonts w:ascii="Arial;sans-serif" w:hAnsi="Arial;sans-serif"/>
                <w:b/>
                <w:color w:val="FFFFFF"/>
                <w:sz w:val="18"/>
              </w:rPr>
              <w:t xml:space="preserve">International and Business Development </w:t>
            </w:r>
            <w:r>
              <w:rPr>
                <w:rFonts w:ascii="Arial;sans-serif" w:hAnsi="Arial;sans-serif"/>
                <w:b/>
                <w:color w:val="FFFFFF"/>
                <w:sz w:val="18"/>
                <w:u w:val="single"/>
              </w:rPr>
              <w:t>Oversight</w:t>
            </w:r>
          </w:p>
        </w:tc>
        <w:tc>
          <w:tcPr>
            <w:tcW w:w="1588" w:type="dxa"/>
            <w:gridSpan w:val="3"/>
            <w:tcBorders/>
            <w:shd w:fill="05686F" w:val="clear"/>
            <w:tcMar>
              <w:top w:w="0" w:type="dxa"/>
              <w:left w:w="0" w:type="dxa"/>
              <w:bottom w:w="0" w:type="dxa"/>
              <w:right w:w="0" w:type="dxa"/>
            </w:tcMar>
            <w:vAlign w:val="center"/>
          </w:tcPr>
          <w:p>
            <w:pPr>
              <w:pStyle w:val="TableContents"/>
              <w:bidi w:val="0"/>
              <w:spacing w:lineRule="auto" w:line="333" w:before="75" w:after="30"/>
              <w:jc w:val="center"/>
              <w:rPr/>
            </w:pPr>
            <w:r>
              <w:rPr>
                <w:rFonts w:ascii="Arial;sans-serif" w:hAnsi="Arial;sans-serif"/>
                <w:b/>
                <w:color w:val="FFFFFF"/>
                <w:sz w:val="18"/>
              </w:rPr>
              <w:t xml:space="preserve">Research and </w:t>
            </w:r>
            <w:r>
              <w:rPr>
                <w:rFonts w:ascii="Arial;sans-serif" w:hAnsi="Arial;sans-serif"/>
                <w:b/>
                <w:color w:val="FFFFFF"/>
                <w:sz w:val="18"/>
                <w:u w:val="single"/>
              </w:rPr>
              <w:t>Development</w:t>
            </w:r>
          </w:p>
        </w:tc>
      </w:tr>
      <w:tr>
        <w:trPr/>
        <w:tc>
          <w:tcPr>
            <w:tcW w:w="170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Elizabeth Barrett    </w:t>
            </w:r>
            <w:r>
              <w:rPr>
                <w:color w:val="05686F"/>
              </w:rPr>
              <w:t>✓</w:t>
            </w:r>
          </w:p>
        </w:tc>
        <w:tc>
          <w:tcPr>
            <w:tcW w:w="45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91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2021</w:t>
            </w:r>
          </w:p>
        </w:tc>
        <w:tc>
          <w:tcPr>
            <w:tcW w:w="542"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c>
          <w:tcPr>
            <w:tcW w:w="134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c>
          <w:tcPr>
            <w:tcW w:w="1684"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9"/>
              <w:jc w:val="left"/>
              <w:rPr>
                <w:rFonts w:ascii="Arial;sans-serif" w:hAnsi="Arial;sans-serif"/>
                <w:b w:val="false"/>
                <w:color w:val="000000"/>
                <w:sz w:val="18"/>
              </w:rPr>
            </w:pPr>
            <w:r>
              <w:rPr>
                <w:rFonts w:ascii="Arial;sans-serif" w:hAnsi="Arial;sans-serif"/>
                <w:b w:val="false"/>
                <w:color w:val="000000"/>
                <w:sz w:val="18"/>
              </w:rPr>
              <w:t>Arie Belldegrun, M.D. (EC)</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2017</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60"/>
              <w:jc w:val="left"/>
              <w:rPr>
                <w:rFonts w:ascii="Arial;sans-serif" w:hAnsi="Arial;sans-serif"/>
                <w:b w:val="false"/>
                <w:color w:val="000000"/>
                <w:sz w:val="18"/>
              </w:rPr>
            </w:pPr>
            <w:r>
              <w:rPr>
                <w:rFonts w:ascii="Arial;sans-serif" w:hAnsi="Arial;sans-serif"/>
                <w:b w:val="false"/>
                <w:color w:val="000000"/>
                <w:sz w:val="18"/>
              </w:rPr>
              <w:t>David Chang, M.D., Ph.D.</w:t>
            </w:r>
          </w:p>
        </w:tc>
        <w:tc>
          <w:tcPr>
            <w:tcW w:w="45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w:t>
            </w:r>
          </w:p>
        </w:tc>
        <w:tc>
          <w:tcPr>
            <w:tcW w:w="91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2018</w:t>
            </w:r>
          </w:p>
        </w:tc>
        <w:tc>
          <w:tcPr>
            <w:tcW w:w="542"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John DeYoung    </w:t>
            </w:r>
            <w:r>
              <w:rPr>
                <w:color w:val="05686F"/>
              </w:rPr>
              <w: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2018</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
              <w:jc w:val="center"/>
              <w:rPr>
                <w:color w:val="05686F"/>
              </w:rPr>
            </w:pPr>
            <w:r>
              <w:rPr>
                <w:color w:val="05686F"/>
              </w:rPr>
              <w:t>●</w:t>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Franz Humer, Ph.D. (LID)    </w:t>
            </w:r>
            <w:r>
              <w:rPr>
                <w:color w:val="05686F"/>
              </w:rPr>
              <w:t>✓</w:t>
            </w:r>
          </w:p>
        </w:tc>
        <w:tc>
          <w:tcPr>
            <w:tcW w:w="45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w:t>
            </w:r>
          </w:p>
        </w:tc>
        <w:tc>
          <w:tcPr>
            <w:tcW w:w="91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2018</w:t>
            </w:r>
          </w:p>
        </w:tc>
        <w:tc>
          <w:tcPr>
            <w:tcW w:w="542" w:type="dxa"/>
            <w:gridSpan w:val="3"/>
            <w:tcBorders/>
            <w:shd w:fill="CDC6C0" w:val="clear"/>
            <w:tcMar>
              <w:top w:w="0" w:type="dxa"/>
              <w:left w:w="0" w:type="dxa"/>
              <w:bottom w:w="0" w:type="dxa"/>
              <w:right w:w="0" w:type="dxa"/>
            </w:tcMar>
            <w:vAlign w:val="center"/>
          </w:tcPr>
          <w:p>
            <w:pPr>
              <w:pStyle w:val="TableContents"/>
              <w:bidi w:val="0"/>
              <w:spacing w:before="0" w:after="0"/>
              <w:ind w:left="0" w:right="0" w:firstLine="1"/>
              <w:jc w:val="center"/>
              <w:rPr/>
            </w:pPr>
            <w:r>
              <w:rPr/>
            </w:r>
          </w:p>
        </w:tc>
        <w:tc>
          <w:tcPr>
            <w:tcW w:w="134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5686F"/>
                <w:sz w:val="18"/>
              </w:rPr>
            </w:pPr>
            <w:r>
              <w:rPr>
                <w:rFonts w:ascii="Arial;sans-serif" w:hAnsi="Arial;sans-serif"/>
                <w:b w:val="false"/>
                <w:color w:val="05686F"/>
                <w:sz w:val="18"/>
              </w:rPr>
              <w:t>C</w:t>
            </w:r>
          </w:p>
        </w:tc>
        <w:tc>
          <w:tcPr>
            <w:tcW w:w="1684"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5686F"/>
                <w:sz w:val="18"/>
              </w:rPr>
            </w:pPr>
            <w:r>
              <w:rPr>
                <w:rFonts w:ascii="Arial;sans-serif" w:hAnsi="Arial;sans-serif"/>
                <w:b w:val="false"/>
                <w:color w:val="05686F"/>
                <w:sz w:val="18"/>
              </w:rPr>
              <w:t>C</w:t>
            </w:r>
          </w:p>
        </w:tc>
        <w:tc>
          <w:tcPr>
            <w:tcW w:w="1588"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0"/>
              <w:jc w:val="left"/>
              <w:rPr>
                <w:rFonts w:ascii="Arial;sans-serif" w:hAnsi="Arial;sans-serif"/>
                <w:b w:val="false"/>
                <w:color w:val="000000"/>
                <w:sz w:val="18"/>
              </w:rPr>
            </w:pPr>
            <w:r>
              <w:rPr>
                <w:rFonts w:ascii="Arial;sans-serif" w:hAnsi="Arial;sans-serif"/>
                <w:b w:val="false"/>
                <w:color w:val="000000"/>
                <w:sz w:val="18"/>
              </w:rPr>
              <w:t>Joshua Kazam</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2017</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0"/>
              <w:jc w:val="center"/>
              <w:rPr>
                <w:color w:val="05686F"/>
              </w:rPr>
            </w:pPr>
            <w:r>
              <w:rPr>
                <w:color w:val="05686F"/>
              </w:rPr>
              <w:t>●</w:t>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58"/>
              <w:jc w:val="left"/>
              <w:rPr/>
            </w:pPr>
            <w:r>
              <w:rPr>
                <w:rFonts w:ascii="Arial;sans-serif" w:hAnsi="Arial;sans-serif"/>
                <w:b w:val="false"/>
                <w:color w:val="000000"/>
                <w:sz w:val="18"/>
              </w:rPr>
              <w:t>Stephen Mayo, Ph.D.    </w:t>
            </w:r>
            <w:r>
              <w:rPr>
                <w:color w:val="05686F"/>
              </w:rPr>
              <w:t>✓</w:t>
            </w:r>
          </w:p>
        </w:tc>
        <w:tc>
          <w:tcPr>
            <w:tcW w:w="45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91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2022</w:t>
            </w:r>
          </w:p>
        </w:tc>
        <w:tc>
          <w:tcPr>
            <w:tcW w:w="542"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c>
          <w:tcPr>
            <w:tcW w:w="1341"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Deborah Messemer    </w:t>
            </w:r>
            <w:r>
              <w:rPr>
                <w:color w:val="05686F"/>
              </w:rPr>
              <w: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2018</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5686F"/>
                <w:sz w:val="18"/>
              </w:rPr>
            </w:pPr>
            <w:r>
              <w:rPr>
                <w:rFonts w:ascii="Arial;sans-serif" w:hAnsi="Arial;sans-serif"/>
                <w:b w:val="false"/>
                <w:color w:val="05686F"/>
                <w:sz w:val="18"/>
              </w:rPr>
              <w:t>C</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Vicki Sato, Ph.D.    </w:t>
            </w:r>
            <w:r>
              <w:rPr>
                <w:color w:val="05686F"/>
              </w:rPr>
              <w:t>✓</w:t>
            </w:r>
          </w:p>
        </w:tc>
        <w:tc>
          <w:tcPr>
            <w:tcW w:w="45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w:t>
            </w:r>
          </w:p>
        </w:tc>
        <w:tc>
          <w:tcPr>
            <w:tcW w:w="91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2021</w:t>
            </w:r>
          </w:p>
        </w:tc>
        <w:tc>
          <w:tcPr>
            <w:tcW w:w="542"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c>
          <w:tcPr>
            <w:tcW w:w="1588"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color w:val="05686F"/>
              </w:rPr>
            </w:pPr>
            <w:r>
              <w:rPr>
                <w:color w:val="05686F"/>
              </w:rPr>
              <w:t>●</w:t>
            </w:r>
          </w:p>
        </w:tc>
      </w:tr>
      <w:tr>
        <w:trPr/>
        <w:tc>
          <w:tcPr>
            <w:tcW w:w="170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Todd Sisitsky    </w:t>
            </w:r>
            <w:r>
              <w:rPr>
                <w:color w:val="05686F"/>
              </w:rPr>
              <w: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2018</w:t>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83"/>
              <w:jc w:val="center"/>
              <w:rPr>
                <w:color w:val="05686F"/>
              </w:rPr>
            </w:pPr>
            <w:r>
              <w:rPr>
                <w:color w:val="05686F"/>
              </w:rPr>
              <w:t>●</w:t>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60"/>
              <w:jc w:val="left"/>
              <w:rPr/>
            </w:pPr>
            <w:r>
              <w:rPr>
                <w:rFonts w:ascii="Arial;sans-serif" w:hAnsi="Arial;sans-serif"/>
                <w:b w:val="false"/>
                <w:color w:val="000000"/>
                <w:sz w:val="18"/>
              </w:rPr>
              <w:t>Owen Witte, M.D.    </w:t>
            </w:r>
            <w:r>
              <w:rPr>
                <w:color w:val="05686F"/>
              </w:rPr>
              <w:t>✓</w:t>
            </w:r>
          </w:p>
        </w:tc>
        <w:tc>
          <w:tcPr>
            <w:tcW w:w="451"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c>
          <w:tcPr>
            <w:tcW w:w="912"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1"/>
              <w:jc w:val="center"/>
              <w:rPr>
                <w:rFonts w:ascii="Arial;sans-serif" w:hAnsi="Arial;sans-serif"/>
                <w:b w:val="false"/>
                <w:color w:val="000000"/>
                <w:sz w:val="18"/>
              </w:rPr>
            </w:pPr>
            <w:r>
              <w:rPr>
                <w:rFonts w:ascii="Arial;sans-serif" w:hAnsi="Arial;sans-serif"/>
                <w:b w:val="false"/>
                <w:color w:val="000000"/>
                <w:sz w:val="18"/>
              </w:rPr>
              <w:t>2018</w:t>
            </w:r>
          </w:p>
        </w:tc>
        <w:tc>
          <w:tcPr>
            <w:tcW w:w="542"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DC6C0" w:val="clear"/>
            <w:tcMar>
              <w:top w:w="0" w:type="dxa"/>
              <w:left w:w="0" w:type="dxa"/>
              <w:bottom w:w="0" w:type="dxa"/>
              <w:right w:w="0" w:type="dxa"/>
            </w:tcMar>
            <w:vAlign w:val="center"/>
          </w:tcPr>
          <w:p>
            <w:pPr>
              <w:pStyle w:val="TableContents"/>
              <w:bidi w:val="0"/>
              <w:spacing w:lineRule="auto" w:line="288" w:before="0" w:after="0"/>
              <w:ind w:left="0" w:right="0" w:firstLine="83"/>
              <w:jc w:val="center"/>
              <w:rPr>
                <w:rFonts w:ascii="Arial;sans-serif" w:hAnsi="Arial;sans-serif"/>
                <w:b w:val="false"/>
                <w:color w:val="05686F"/>
                <w:sz w:val="18"/>
              </w:rPr>
            </w:pPr>
            <w:r>
              <w:rPr>
                <w:rFonts w:ascii="Arial;sans-serif" w:hAnsi="Arial;sans-serif"/>
                <w:b w:val="false"/>
                <w:color w:val="05686F"/>
                <w:sz w:val="18"/>
              </w:rPr>
              <w:t>C</w:t>
            </w:r>
          </w:p>
        </w:tc>
        <w:tc>
          <w:tcPr>
            <w:tcW w:w="1985" w:type="dxa"/>
            <w:gridSpan w:val="3"/>
            <w:tcBorders/>
            <w:shd w:fill="CDC6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5686F"/>
                <w:sz w:val="18"/>
              </w:rPr>
            </w:pPr>
            <w:r>
              <w:rPr>
                <w:rFonts w:ascii="Arial;sans-serif" w:hAnsi="Arial;sans-serif"/>
                <w:b w:val="false"/>
                <w:color w:val="05686F"/>
                <w:sz w:val="18"/>
              </w:rPr>
              <w:t>C</w:t>
            </w:r>
          </w:p>
        </w:tc>
      </w:tr>
    </w:tbl>
    <w:p>
      <w:pPr>
        <w:pStyle w:val="TextBody"/>
        <w:bidi w:val="0"/>
        <w:spacing w:lineRule="auto" w:line="333" w:before="120" w:after="283"/>
        <w:jc w:val="left"/>
        <w:rPr>
          <w:color w:val="231F20"/>
        </w:rPr>
      </w:pPr>
      <w:r>
        <w:rPr>
          <w:color w:val="231F20"/>
        </w:rPr>
        <w:t>“</w:t>
      </w:r>
      <w:r>
        <w:rPr>
          <w:rFonts w:ascii="Arial;sans-serif" w:hAnsi="Arial;sans-serif"/>
          <w:b w:val="false"/>
          <w:color w:val="231F20"/>
          <w:sz w:val="18"/>
        </w:rPr>
        <w:t>EC” Executive Chair</w:t>
      </w:r>
    </w:p>
    <w:p>
      <w:pPr>
        <w:pStyle w:val="TextBody"/>
        <w:bidi w:val="0"/>
        <w:spacing w:lineRule="auto" w:line="333" w:before="0" w:after="0"/>
        <w:jc w:val="left"/>
        <w:rPr>
          <w:color w:val="231F20"/>
        </w:rPr>
      </w:pPr>
      <w:r>
        <w:rPr>
          <w:color w:val="231F20"/>
        </w:rPr>
        <w:t>“</w:t>
      </w:r>
      <w:r>
        <w:rPr>
          <w:rFonts w:ascii="Arial;sans-serif" w:hAnsi="Arial;sans-serif"/>
          <w:b w:val="false"/>
          <w:color w:val="231F20"/>
          <w:sz w:val="18"/>
        </w:rPr>
        <w:t>C” Committee Chair</w:t>
      </w:r>
    </w:p>
    <w:p>
      <w:pPr>
        <w:pStyle w:val="TextBody"/>
        <w:bidi w:val="0"/>
        <w:spacing w:lineRule="auto" w:line="333" w:before="0" w:after="0"/>
        <w:jc w:val="left"/>
        <w:rPr>
          <w:color w:val="231F20"/>
        </w:rPr>
      </w:pPr>
      <w:r>
        <w:rPr>
          <w:color w:val="231F20"/>
        </w:rPr>
        <w:t>“</w:t>
      </w:r>
      <w:r>
        <w:rPr>
          <w:rFonts w:ascii="Arial;sans-serif" w:hAnsi="Arial;sans-serif"/>
          <w:b w:val="false"/>
          <w:color w:val="231F20"/>
          <w:sz w:val="18"/>
        </w:rPr>
        <w:t>LID” Lead Independent Director</w:t>
      </w:r>
    </w:p>
    <w:p>
      <w:pPr>
        <w:pStyle w:val="TextBody"/>
        <w:bidi w:val="0"/>
        <w:spacing w:lineRule="auto" w:line="333" w:before="0" w:after="120"/>
        <w:jc w:val="left"/>
        <w:rPr/>
      </w:pPr>
      <w:r>
        <w:rPr>
          <w:color w:val="05686F"/>
        </w:rPr>
        <w:t>✓</w:t>
      </w:r>
      <w:r>
        <w:rPr>
          <w:color w:val="1A468C"/>
        </w:rPr>
        <w:t xml:space="preserve"> </w:t>
      </w:r>
      <w:r>
        <w:rPr>
          <w:rFonts w:ascii="Arial;sans-serif" w:hAnsi="Arial;sans-serif"/>
          <w:b w:val="false"/>
          <w:color w:val="231F20"/>
          <w:sz w:val="18"/>
        </w:rPr>
        <w:t>Independent Director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Below is a description of each committee of the Board of Directors. The Board of Directors has determined that each member of each committee, other than Mr. Kazam on the International and Business Development Oversight Committee (a committee that is not required under Nasdaq rules), meets the applicable Nasdaq rules and regulations regarding “independence” and each member is free of any relationship that would impair his or her individual exercise of independent judgment with regard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Audit Committee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Audit Committee of the Board of Directors was established by the Board in accordance with Section 3(a)(58)(A) of the Exchange Act, to oversee the Company’s corporate accounting and financial reporting processes and audits of its financial statements. The Audit Committee is composed of three directors: Ms. Barrett, Dr. Mayo, and Ms. Messemer. Ms. Messemer serves as the chair of our Audit Committee.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 are financially literate and offer significant expertise in financial reporting, audit procedures, and biotechnology best practices.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of Directors has also determined that Ms. Messemer qualifies as an “audit committee financial expert,” as defined in applicable SEC rules. The Board made a qualitative assessment of Ms. Messemer’s level of knowledge and experience based on a number of factors, including her formal education and experience in financial and executive roles.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functions of the Audit Committee include, among other things: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evaluating the performance, independence and qualifications of our independent registered public accounting firm and determining whether to retain our existing independent registered public accounting firm or engage a new independent registered public accounting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4"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and approving or pre-approving the engagement of the independent registered public accounting firm to perform audit services and any permissible non-audit services;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monitoring the rotation of partners of the independent registered public accounting firm on our engagement team as required by law;</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prior to engagement of any independent registered public accounting firm, and at least annually thereafter, reviewing relationships that may reasonably be thought to bear on their independence, and assessing and otherwise taking the appropriate action to oversee the independence of our independent registered public accounting firm;</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our annual and quarterly financial statements and reports, including the disclosures contained under the caption “Management’s Discussion and Analysis of Financial Condition and Results of Operations,” and discussing the statements and reports with our independent registered public accounting firm and management;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with our independent registered public accounting firm and management, significant issues that arise regarding accounting principles and financial statement presentation and matters concerning the scope, adequacy and effectiveness of our financial controls;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with management and our independent registered public accounting firm any earnings announcements and other public announcements regarding material developments;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establishing procedures for the receipt, retention and treatment of complaints received by us regarding financial controls, accounting or auditing matters and other matters;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approving the report that the SEC requires in our annual proxy statement;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approving or ratifying and providing oversight of any related-person transactions in accordance with our related person transaction policy and reviewing management’s efforts to monitor compliance with legal and regulatory responsibilities, including our Code of Business Conduct and Ethics;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our major financial risk exposures, including the guidelines and policies to govern the process by which risk assessment and risk management are implemented;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on a periodic basis our investment policy, related person transaction policy and our Code of Business Conduct and Ethics;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and evaluating on an annual basis the performance of the Audit Committee and the Audit Committee charter;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periodically reviewing our cybersecurity and other information technology risks, controls and procedures, including plans to mitigate cybersecurity risks, plans to respond to data breaches and any specific cybersecurity issues that could affect the adequacy of our internal controls.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Typically, the Audit Committee meets at least quarterly and with greater frequency, if necessary. Our Audit Committee met five times during 2025. The Board has adopted a written Audit Committee Charter that is available to stockholders on the Company’s website at www.allogene.com.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Compensation Committee</w:t>
      </w:r>
    </w:p>
    <w:p>
      <w:pPr>
        <w:pStyle w:val="TextBody"/>
        <w:bidi w:val="0"/>
        <w:spacing w:lineRule="auto" w:line="312" w:before="0" w:after="120"/>
        <w:jc w:val="left"/>
        <w:rPr>
          <w:rFonts w:ascii="Arial;sans-serif" w:hAnsi="Arial;sans-serif"/>
          <w:b w:val="false"/>
          <w:color w:val="000000"/>
          <w:sz w:val="20"/>
        </w:rPr>
      </w:pPr>
      <w:r>
        <w:rPr>
          <w:rFonts w:ascii="Arial;sans-serif" w:hAnsi="Arial;sans-serif"/>
          <w:b w:val="false"/>
          <w:color w:val="000000"/>
          <w:sz w:val="20"/>
        </w:rPr>
        <w:t>The Compensation Committee is composed of three directors: Ms. Barrett, Mr. DeYoung and Dr. Humer. Dr. Humer serves as the chair of the Compensation Committee. Our Board has determined that all members of the Compensation Committee are independent (as independence is currently defined in Rule 5605(d)(2) of the Nasdaq listing standards). The Board has adopted a written Compensation Committee charter that is available to stockholders on the Company’s website at www.allogene.com.</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functions of the Compensation Committee include, among other things: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modifying and approving (or if it deems appropriate, making recommendations to the full Board regarding):</w:t>
      </w:r>
    </w:p>
    <w:p>
      <w:pPr>
        <w:pStyle w:val="TextBody"/>
        <w:bidi w:val="0"/>
        <w:spacing w:lineRule="auto" w:line="333" w:before="0" w:after="120"/>
        <w:ind w:left="0" w:right="0" w:hanging="360"/>
        <w:jc w:val="left"/>
        <w:rPr/>
      </w:pPr>
      <w:r>
        <w:rPr>
          <w:color w:val="000000"/>
        </w:rPr>
        <w:t xml:space="preserve">• </w:t>
      </w:r>
      <w:r>
        <w:rPr>
          <w:rFonts w:ascii="Arial;sans-serif" w:hAnsi="Arial;sans-serif"/>
          <w:b w:val="false"/>
          <w:color w:val="000000"/>
          <w:sz w:val="20"/>
        </w:rPr>
        <w:t>our overall compensation strategy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5"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compensation and other terms of employment of our executive officers, including the terms of any employment agreements, severance arrangements, change in control protections and any other compensatory arrangements for our executive officers;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performance goals and objectives relevant to the compensation of our executive officers and assessing their performance against these goals and objectives;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policies with respect to equity compensation arrangements, including implementing, modifying, or terminating equity incentive plans and programs;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evaluating risks associated with our compensation policies and practices and assessing whether risks arising from our compensation policies and practices for our employees are reasonably likely to have a material adverse effect on us;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overseeing the human capital management;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and making recommendations to the full Board regarding the type and amount of compensation to be paid or awarded to our non-employee Board members;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establishing policies with respect to votes by our stockholders to approve named executive officer compensation as required by Section 14A of the Exchange Act and determining our recommendations regarding the frequency of advisory votes on named executive officer compensation, to the extent required by law;</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and assessing the independence of compensation consultants, legal counsel and other advisors as required by Section 10C of the Exchange Act;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administering our equity incentive plans;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the competitiveness of our executive compensation program and evaluating the effectiveness of our compensation policy and strategy in achieving expected benefits to us;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adopting and administering clawback policies and approving clawback provisions for incentive-based compensation arrangements applicable to senior executives, and reviewing the facts and circumstances regarding whether to exercise any clawback right on behalf of the Company;</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preparing the report from the Compensation Committee to be included in our annual proxy statement (if any), in accordance with the applicable SEC rules and regulations;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and assessing on an annual basis the performance of the Compensation Committee and the Compensation Committee charter.</w:t>
      </w:r>
    </w:p>
    <w:p>
      <w:pPr>
        <w:pStyle w:val="TextBody"/>
        <w:bidi w:val="0"/>
        <w:spacing w:lineRule="auto" w:line="319" w:before="240" w:after="120"/>
        <w:ind w:left="0" w:right="0" w:firstLine="720"/>
        <w:jc w:val="left"/>
        <w:rPr>
          <w:rFonts w:ascii="Arial;sans-serif" w:hAnsi="Arial;sans-serif"/>
          <w:b w:val="false"/>
          <w:i/>
          <w:color w:val="05686F"/>
          <w:sz w:val="20"/>
        </w:rPr>
      </w:pPr>
      <w:r>
        <w:rPr>
          <w:rFonts w:ascii="Arial;sans-serif" w:hAnsi="Arial;sans-serif"/>
          <w:b w:val="false"/>
          <w:i/>
          <w:color w:val="05686F"/>
          <w:sz w:val="20"/>
        </w:rPr>
        <w:t>Compensation Committee Processes and Procedures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Typically, the Compensation Committee meets at least quarterly and with greater frequency if necessary. Our Compensation Committee met five times during 2025. The agenda for each meeting is usually developed in consultation with the Chair of the Compensation Committee, the Executive Chair, Chief Executive Officer, Chief People Officer, General Counsel, and Compensia, Inc. ("Compensia"), the Compensation Committee’s independent compensation consultant.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6"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During the past fiscal year, after taking into consideration the six factors prescribed by the SEC and Nasdaq that did not raise a conflict of interest, the Compensation Committee engaged Compensia as a compensation consultant. The Compensation Committee requested that Compensia develop a comparative group of companies for purposes of reviewing industry-wide compensation practices and trends and assessing the competitiveness of our executive and non-employee director compensation programs and compensation levels. Compensia also meets with certain members of management and human resources to learn more about the Company’s business operations and strategy, key performance metrics and strategic goals, as well as the labor markets in which the Company competes. Compensia ultimately developed guidance primarily pertaining to our peer group, equity compensation strategy and executive and non-employee director compensation determinations that were presented to and actively discussed with the Compensation Committee and the Board for their consideration and approvals.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Nominating and Corporate Governance Committee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Nominating and Corporate Governance Committee is composed of three directors: Ms. Messemer, Mr. Sisitsky and Dr. Witte. Effective on the date of the Annual Meeting, the Nominating and Corporate Governance Committee will be comprised of Ms. Messemer and Dr. Witte. Our Board has determined that each of the members of this committee is independent (as independence is currently defined in Rule 5605(a)(2) of the Nasdaq listing standards). Dr. Witte serves as the chair of our Nominating and Corporate Governance Committee. The Board has adopted a written Nominating and Corporate Governance Committee charter that is available to stockholders on the Company’s website at www.allogene.com.</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Nominating and Corporate Governance Committee of the Board of Directors is responsible for:</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identifying, reviewing, evaluating, nominating and recommending candidates to serve on our Board of Directors consistent with criteria approved by our Board;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determining the minimum qualifications for service on our Board of Directors;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evaluating director performance on the Board and applicable committees of the Board and determining whether continued service on our board is appropriate;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evaluating nominations by stockholders of candidates for election to our Board of Directors;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considering and assessing the independence of members of our Board of Directors;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overseeing the Board's committee structure and operations;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developing a set of corporate governance policies and principles, periodically reviewing and assessing these policies and principles and their application and recommending to our Board of Directors any changes to such policies and principles;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environmental, social and governance ("ESG") matters, policies and initiatives;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considering questions of possible conflicts of interest of directors as such questions arise;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reviewing and evaluating on an annual basis the performance of the Nominating and Corporate Governance Committee and the Nominating and Corporate Governance Committee charter.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Typically, the Nominating and Corporate Governance Committee meets at least three times a year, and with greater frequency if necessary. Our Nominating and Corporate Governance Committee met three times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47"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firstLine="720"/>
        <w:jc w:val="left"/>
        <w:rPr>
          <w:rFonts w:ascii="Arial;sans-serif" w:hAnsi="Arial;sans-serif"/>
          <w:b w:val="false"/>
          <w:i/>
          <w:color w:val="05686F"/>
          <w:sz w:val="20"/>
        </w:rPr>
      </w:pPr>
      <w:r>
        <w:rPr>
          <w:rFonts w:ascii="Arial;sans-serif" w:hAnsi="Arial;sans-serif"/>
          <w:b w:val="false"/>
          <w:i/>
          <w:color w:val="05686F"/>
          <w:sz w:val="20"/>
        </w:rPr>
        <w:t>Director Nominee Qualifications and Nomination Process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Nominating and Corporate Governance Committee believes that the candidates for director, both individually and collectively, have the integrity, experience, judgment, commitment (including having sufficient time to devote to us and level of participation), skills and expertise appropriate for us. In assessing the directors, both individually and collectively, the Nominating and Corporate Governance Committee considers our current needs, and the needs of the Board of Directors, to maintain a balance of knowledge, experience, capability, geography, thought, viewpoints, backgrounds, skills, and expertise. However, the Nominating and Corporate Governance Committee retains the right to modify these qualifications from time to time.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Nominating and Corporate Governance Committee uses its and the Company’s network of contacts to compile a list of potential candidates, but may also engage, if it deems appropriate, a professional search firm. Candidates for director nominees are reviewed in the context of the current composition of the Board of Directors, our operating requirements and the long-term interests of stockholders. In conducting this assessment, the Nominating and Corporate Governance Committee typically considers geography, thought, viewpoints, backgrounds, skills and such other factors as it deems appropriate given our current needs and the needs of the Board of Directors, to maintain a balance of knowledge, experience and capability. In the case of incumbent directors whose terms of office are set to expire, the Nominating and Corporate Governance Committee reviews these directors’ overall service to us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To the extent any search firm is retained to assist the Nominating and Corporate Governance Committee in seeking candidates for the Board, the search firm will be instructed to seek to include a mixture of candidates in terms of geography, thought, viewpoints, backgrounds, skills, experience, and expertise from, among other areas, professional and academic areas relevant to the Company’s areas of focus. In addition,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pStyle w:val="TextBody"/>
        <w:bidi w:val="0"/>
        <w:spacing w:lineRule="auto" w:line="333" w:before="0" w:after="120"/>
        <w:jc w:val="left"/>
        <w:rPr/>
      </w:pPr>
      <w:r>
        <w:rPr>
          <w:rFonts w:ascii="Arial;sans-serif" w:hAnsi="Arial;sans-serif"/>
          <w:b w:val="false"/>
          <w:color w:val="000000"/>
          <w:sz w:val="20"/>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210 East Grand Avenue, South San Francisco, California 94080, Attn: Corporate Secretary, no later than the 90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and no earlier than the 120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prior to the one-year anniversary of the preceding year’s annual meeting of stockholders. Submissions must include, among other things, (1) the name and address of the stockholder on whose behalf the submission is made; (2) number of our shares that are owned beneficially by such stockholder as of the date of the submission; (3) the full name of the proposed candidate; (4) description of the proposed candidate’s business experience for at least the previous five years; (5) complete biographical information for the proposed candidate; (6) a description of the proposed candidate’s qualifications as a director and (7) any other information required by our Amended and Restated Bylaws. We may require any proposed nominee to furnish such other information as we may reasonably require to determine the eligibility of such proposed nominee to serve as our independent director or that could be material to a reasonable stockholder’s understanding of the independence, or lack thereof, of such proposed nominee.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International and Business Development Oversight Committee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Our International and Business Development Oversight Committee consists of Dr. Humer, as chair, and Mr. DeYoung, Mr. Kazam and Dr. Sato. Typically, the International and Business Development Oversight Committee meets at least three times a year, and with greater frequency if necessary. Our International and Business Development Oversight Committee met three times during 2025. The purpose of the International and Business Development Oversight Committee is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48"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assist our Board of Directors in fulfilling our Board of Directors’ responsibilities to (1) oversee our international and business development strategic planning, and (2) review and evaluate any of our specific strategic initiatives, including the risks and opportunities relating to such initiatives. The International and Business Development Oversight Committee charter can be found on our website at www.allogene.com.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Research and Development Committee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Research and Development Committee consists of Dr. Mayo, Dr. Sato, and Dr. Witte, who serves as chair of the committee. The Research and Development Committee met twice during 2025. The purpose of the Research and Development Committee is to review and provide advice for the Company’s research and development programs on behalf of the Board, including (i) to assist the Board in its oversight of the Company’s research and development, (ii) to assist in discussing significant emerging trends and issues in science and technology and consider the potential impact of such on the Company’s research and development, and (iii) to provide advice to the Company’s management and to the Board in connection with the allocation, deployment, utilization of, and investment of resources in the Company’s research and development. The Research and Development Committee charter can be found on our website at www.allogene.com.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Stockholder Communications with the Board of Directors</w:t>
      </w:r>
    </w:p>
    <w:p>
      <w:pPr>
        <w:pStyle w:val="TextBody"/>
        <w:bidi w:val="0"/>
        <w:spacing w:lineRule="auto" w:line="312" w:before="0" w:after="120"/>
        <w:jc w:val="left"/>
        <w:rPr>
          <w:rFonts w:ascii="Arial;sans-serif" w:hAnsi="Arial;sans-serif"/>
          <w:b w:val="false"/>
          <w:color w:val="000000"/>
          <w:sz w:val="20"/>
        </w:rPr>
      </w:pPr>
      <w:r>
        <w:rPr>
          <w:rFonts w:ascii="Arial;sans-serif" w:hAnsi="Arial;sans-serif"/>
          <w:b w:val="false"/>
          <w:color w:val="000000"/>
          <w:sz w:val="20"/>
        </w:rPr>
        <w:t>The Company’s Board has adopted a formal process by which stockholders may communicate with the Board or any of its directors. Stockholders who wish to communicate with the Board may do so by sending written communications addressed to: Allogene Therapeutics, Inc., Attn: Corporate Secretary, 210 East Grand Avenue, South San Francisco, California 94080. These communications will be reviewed by the Corporate Secretary, who will determine whether the communication is appropriate for presentation to the Board or the relevant director. The purpose of this screening is to allow the Board to avoid having to consider irrelevant or inappropriate communications (such as advertisements, solicitations and hostile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Stockholder Engagement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We recognize the importance of maintaining a robust, proactive, and year-round stockholder engagement program. Through regular and constructive dialogue with existing and prospective investors, we seek to clearly communicate our business strategy, share perspectives, and solicit feedback on topics including corporate governance, executive compensation, and other matters relevant to our business.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Investor Relations function leads these efforts, with active participation from senior management, including our Chief Executive Officer, Chief Financial Officer, Chief Medical Officer, and Chief Corporate Affairs and Brand Strategy Officer. Throughout the year, management engages with investors through a variety of forums, including one-on-one meetings, investor conferences, analyst calls, and non-deal roadshows, conducted both virtually and in person.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engage with investors both responsively, by addressing inbound inquiries, and proactively, through targeted outreach to institutional investors, including portfolio managers, analysts, and stewardship professionals, regardless of ownership size or analyst coverage. We also engage with prospective investors and respond to inquiries from individual stockholders. Feedback and insights from these interactions are periodically shared with our Board of Directors and relevant committees.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Consistent with our prior practice, we evaluated opportunities for targeted outreach in 2025, including engagement on executive compensation and corporate governance matters. In connection with this evaluation, we conducted outreach to certain stockholders to solicit feedback on these topics; however, those stockholders declined or did not pursue meetings focused on executive compensation. During this period, our stockholder base continued to evolve, and we adapted our engagement efforts accordingly, focusing on maintaining open lines of communication with both existing and prospective investors.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At our 2025 annual meeting of stockholders, we received strong support across our governance and compensation proposals, including approximately 90.77% support for our say-on-pay proposal (excluding abstentions and broker non-votes), and each director nominee was elected with between approximately 84% and 98% of votes cast in favor. These results, together with ongoing investor dialogue, continue to inform our engagement approach.</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49"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remain committed to constructive and transparent engagement with our stockholders and will continue to tailor our outreach efforts to reflect our evolving ownership base and investor interest. In addition, our Board of Directors and management remain focused on continuous improvement in our governance and compensation practices, including regular review of our Board structure, voting standards, and compensation and equity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Code of Ethics</w:t>
      </w:r>
    </w:p>
    <w:p>
      <w:pPr>
        <w:pStyle w:val="TextBody"/>
        <w:bidi w:val="0"/>
        <w:spacing w:lineRule="auto" w:line="333" w:before="0" w:after="120"/>
        <w:jc w:val="left"/>
        <w:rPr/>
      </w:pPr>
      <w:r>
        <w:rPr>
          <w:rFonts w:ascii="Arial;sans-serif" w:hAnsi="Arial;sans-serif"/>
          <w:b w:val="false"/>
          <w:color w:val="000000"/>
          <w:sz w:val="20"/>
        </w:rPr>
        <w:t xml:space="preserve">The Company has adopted the Code of Business Conduct and Ethics that applies to all officers, directors and employees, which was amended in March 2026 as part of our annual review of our governance policies and our ongoing goal to enhance our corporate governance practices. The Code of Business Conduct and Ethics is available on the Company’s website at www.allogene.com. </w:t>
      </w:r>
      <w:r>
        <w:rPr>
          <w:rFonts w:ascii="Arial;sans-serif" w:hAnsi="Arial;sans-serif"/>
          <w:b w:val="false"/>
          <w:color w:val="000000"/>
          <w:sz w:val="20"/>
          <w:shd w:fill="FFFFFF" w:val="clear"/>
        </w:rPr>
        <w:t>We intend to promptly disclose on our website, to the extent required by the rules and regulations of the SEC, (i) the nature of any amendment to the Code of Business Conduct and Ethics that applies to our principal executive officer, principal financial officer, principal accounting officer or controller, or persons performing similar functions, and (ii) the nature of any waiver, including an implicit waiver, from a provision of the Code of Business Conduct and Ethics that is granted to one of these specified individuals, the name of such person who is granted the waiver and the date of the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Environmental, Social &amp; Governance ("ESG") Practices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remain committed to responsible and sustainable business practices, aligning our ESG initiatives with our core mission and long-term strategic objectives. Recognizing that our stockholders hold a variety of diverse perspectives, we prioritize transparency, accountability, and value creation in all ESG-related activities. Our Nominating and Corporate Governance Committee continues to oversee and advise our Board of Directors on ESG matters, including strategic initiatives, potential risks, opportunities, and performance metrics, as detailed in its charter. The Committee regularly updates the full Board on ESG progress and stakeholder feedback.</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Belonging, Fairness and Representation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are committed to cultivating a workplace environment characterized by belonging, fairness, and representation. We foster a supportive, respectful, and collaborative atmosphere, encouraging open communication and valuing distinct perspectives, experiences, and backgrounds. Our approach emphasizes equitable treatment and opportunities for all employees based on merit and qualifications.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talent acquisition strategies are designed to attract the best available candidates from a diverse and qualified talent pool. We utilize reputable recruitment platforms, provide training to interviewers and hiring managers to mitigate unconscious bias, and regularly review these processes for fairness and effectiveness. We are committed to ensuring that hiring decisions are driven solely by qualifications and job-related factors.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initiatives support our broader culture of responsibility, empowerment, and psychological safety, ensuring all employees feel valued, engaged, and committed to our mission. Key practices include: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Promoting respectful, open and transparent communication and cooperation between all employees.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Encouraging constructive employee feedback and active participation.</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Supporting teamwork and collaboration across departments and roles.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Engaging positively and constructively with the communities we serve.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We will continue seeking varied viewpoints and constructive input from employees and stockholders alike, adapting our strategies to support both sustainable business growth and the varied interests of our stakeholders. For more information regarding the profile of our employees, please see our EEO-1 report that can be found on the “Investors—Corporate Governance—Documents and Charters” section of our website, www.allogene.com. </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Competitive Pay &amp; Benefits and Pay Equity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We are committed to fair and equitable compensation practices. Our compensation structure is informed by market-driven benchmarks and data-driven analysis, regularly reviewed to maintain pay equity. Annual compensation reviews confirm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0"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ongoing commitment to fair pay, based on role requirements, market comparisons, individual and organizational performance, and internal equity.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strive to provide competitive and robust compensation and benefits programs that help meet the varying needs of our employees. Our total compensation package includes competitive pay, a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In addition, we provide a Section 401(k) plan to our employees, including our Named Executive Officers, as discussed in the section below entitled “—Section 401(k) Plan.”</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Employee Development, Training and Retention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competition for talent in our industry and in the San Francisco Bay Area where our headquarters and manufacturing facility are located is significant. As a result, our commitment to investing in human capital is of critical importance to ensure our ability to attract, develop and retain key talent to support the growth of our business. We focus on providing training opportunities and promotional opportunities. Learning and development, training and other resources are an integral part of retaining our employees and creating a culture of learning and leadership within Allogene. We also train relevant members of our team on important environmental health and safety topics to help ensure we protect our people and our environment as we operate our business. We encourage our employees to participate and take advantage of a variety of learning and development resources, including online business skills courses, professional development events, and external training programs based on individual needs. We also actively review employee performance and business needs every six months, which may lead to promotional opportunities for employees across departments and levels.</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Environment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are committed to sustainable business practices that minimize employee and environmental risks as well as implementing processes that reduce our overall carbon footprint and reduce water consumption. We aim to reduce our environmental footprint and impact through corporate initiatives and in compliance with applicable laws and regulations. The objectives of our approach to minimize our environmental impact are to:</w:t>
      </w:r>
    </w:p>
    <w:p>
      <w:pPr>
        <w:pStyle w:val="TextBody"/>
        <w:bidi w:val="0"/>
        <w:spacing w:lineRule="auto" w:line="333" w:before="0" w:after="120"/>
        <w:ind w:left="0" w:right="0" w:hanging="360"/>
        <w:jc w:val="both"/>
        <w:rPr/>
      </w:pPr>
      <w:r>
        <w:rPr>
          <w:color w:val="000000"/>
        </w:rPr>
        <w:t>•</w:t>
      </w:r>
      <w:r>
        <w:rPr>
          <w:rFonts w:ascii="Arial;sans-serif" w:hAnsi="Arial;sans-serif"/>
          <w:b w:val="false"/>
          <w:color w:val="000000"/>
          <w:sz w:val="20"/>
        </w:rPr>
        <w:t>be an environmentally responsible corporate citizen;</w:t>
      </w:r>
    </w:p>
    <w:p>
      <w:pPr>
        <w:pStyle w:val="TextBody"/>
        <w:bidi w:val="0"/>
        <w:spacing w:lineRule="auto" w:line="333" w:before="0" w:after="120"/>
        <w:ind w:left="0" w:right="0" w:hanging="360"/>
        <w:jc w:val="both"/>
        <w:rPr/>
      </w:pPr>
      <w:r>
        <w:rPr>
          <w:color w:val="000000"/>
        </w:rPr>
        <w:t>•</w:t>
      </w:r>
      <w:r>
        <w:rPr>
          <w:rFonts w:ascii="Arial;sans-serif" w:hAnsi="Arial;sans-serif"/>
          <w:b w:val="false"/>
          <w:color w:val="000000"/>
          <w:sz w:val="20"/>
        </w:rPr>
        <w:t>monitor consumption of resources used by Allogene in our operations;</w:t>
      </w:r>
    </w:p>
    <w:p>
      <w:pPr>
        <w:pStyle w:val="TextBody"/>
        <w:bidi w:val="0"/>
        <w:spacing w:lineRule="auto" w:line="333" w:before="0" w:after="120"/>
        <w:ind w:left="0" w:right="0" w:hanging="360"/>
        <w:jc w:val="both"/>
        <w:rPr/>
      </w:pPr>
      <w:r>
        <w:rPr>
          <w:color w:val="000000"/>
        </w:rPr>
        <w:t>•</w:t>
      </w:r>
      <w:r>
        <w:rPr>
          <w:rFonts w:ascii="Arial;sans-serif" w:hAnsi="Arial;sans-serif"/>
          <w:b w:val="false"/>
          <w:color w:val="000000"/>
          <w:sz w:val="20"/>
        </w:rPr>
        <w:t>educate our employees and provide channels for employees to create environmental awareness and contribute to our efforts; and</w:t>
      </w:r>
    </w:p>
    <w:p>
      <w:pPr>
        <w:pStyle w:val="TextBody"/>
        <w:bidi w:val="0"/>
        <w:spacing w:lineRule="auto" w:line="333" w:before="0" w:after="120"/>
        <w:ind w:left="0" w:right="0" w:hanging="360"/>
        <w:jc w:val="both"/>
        <w:rPr/>
      </w:pPr>
      <w:r>
        <w:rPr>
          <w:color w:val="000000"/>
        </w:rPr>
        <w:t>•</w:t>
      </w:r>
      <w:r>
        <w:rPr>
          <w:rFonts w:ascii="Arial;sans-serif" w:hAnsi="Arial;sans-serif"/>
          <w:b w:val="false"/>
          <w:color w:val="000000"/>
          <w:sz w:val="20"/>
        </w:rPr>
        <w:t>monitor and continually improve our measures to use resources more efficiently and minimize adverse environmental effects.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Most of our environmental initiatives have focused on our state-of-the-art manufacturing facility, Cell Forge 1 ("CF1"), in Newark, California. Our 136,000-square-foot facility was designed and constructed from the ground-up to optimize energy performance and efficiency. This includes the use of low-emitting materials, segregation and recycling of construction waste, and selection of energy-efficient utility equipment. With construction completed in 2020, it is a high-profile example of our commitment to environmental sustainability.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1"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5069" w:type="dxa"/>
        <w:jc w:val="left"/>
        <w:tblInd w:w="0" w:type="dxa"/>
        <w:tblLayout w:type="fixed"/>
        <w:tblCellMar>
          <w:top w:w="28" w:type="dxa"/>
          <w:left w:w="28" w:type="dxa"/>
          <w:bottom w:w="28" w:type="dxa"/>
          <w:right w:w="28" w:type="dxa"/>
        </w:tblCellMar>
      </w:tblPr>
      <w:tblGrid>
        <w:gridCol w:w="1623"/>
        <w:gridCol w:w="1425"/>
        <w:gridCol w:w="2021"/>
      </w:tblGrid>
      <w:tr>
        <w:trPr/>
        <w:tc>
          <w:tcPr>
            <w:tcW w:w="162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05686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24"/>
              </w:rPr>
            </w:pPr>
            <w:r>
              <w:rPr>
                <w:rFonts w:ascii="Arial;sans-serif" w:hAnsi="Arial;sans-serif"/>
                <w:b/>
                <w:color w:val="FFFFFF"/>
                <w:sz w:val="24"/>
              </w:rPr>
              <w:t>Proposal 2</w:t>
            </w:r>
          </w:p>
          <w:p>
            <w:pPr>
              <w:pStyle w:val="TableContents"/>
              <w:bidi w:val="0"/>
              <w:spacing w:before="0" w:after="0"/>
              <w:jc w:val="center"/>
              <w:rPr/>
            </w:pPr>
            <w:r>
              <w:rPr/>
            </w:r>
          </w:p>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Advisory Vote on Executive Compensation</w:t>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At our 2020 Annual Meeting of Stockholders, the stockholders indicated their preference that we solicit a non-binding advisory vote on the compensation of our named executive officers, commonly referred to as a “say-on-pay vote,” every year. The Board has adopted a policy that is consistent with that preference. In accordance with that policy, this year, we are again asking the stockholders to approve, on an advisory basis, the compensation of our named executive officers as disclosed in this proxy statement in accordance with SEC rules.</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5686F"/>
          <w:sz w:val="20"/>
        </w:rPr>
      </w:pPr>
      <w:r>
        <w:rPr>
          <w:rFonts w:ascii="Arial;sans-serif" w:hAnsi="Arial;sans-serif"/>
          <w:b/>
          <w:color w:val="05686F"/>
          <w:sz w:val="20"/>
        </w:rPr>
        <w:t>Recommendation</w:t>
      </w:r>
    </w:p>
    <w:p>
      <w:pPr>
        <w:pStyle w:val="TextBody"/>
        <w:bidi w:val="0"/>
        <w:spacing w:before="0" w:after="0"/>
        <w:jc w:val="left"/>
        <w:rPr/>
      </w:pPr>
      <w:r>
        <w:rPr/>
      </w:r>
    </w:p>
    <w:p>
      <w:pPr>
        <w:pStyle w:val="TextBody"/>
        <w:bidi w:val="0"/>
        <w:spacing w:lineRule="auto" w:line="333" w:before="120" w:after="120"/>
        <w:jc w:val="left"/>
        <w:rPr>
          <w:rFonts w:ascii="Arial;sans-serif" w:hAnsi="Arial;sans-serif"/>
          <w:b/>
          <w:color w:val="05686F"/>
          <w:sz w:val="20"/>
        </w:rPr>
      </w:pPr>
      <w:r>
        <w:rPr>
          <w:rFonts w:ascii="Arial;sans-serif" w:hAnsi="Arial;sans-serif"/>
          <w:b/>
          <w:color w:val="05686F"/>
          <w:sz w:val="20"/>
        </w:rPr>
        <w:t>The Board recommends a vote “FOR” approval of, on an advisory basis, the compensation of our named executive officers.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This vote is not intended to address any specific item of compensation, but rather the overall compensation of the Company’s named executive officers and the philosophy, policies and practices described in this Proxy Statement. Our executive compensation program for our executive officers is designed to attract, motivate, and retain individuals of superior ability and managerial talent who can successfully perform and succeed in our environment. Our named executive officers are rewarded for the achievement of our near-term and longer-term financial and strategic goals and for driving corporate performance. This program contains elements of cash and equity-based compensation designed to align the interests of our executives with those of our stockholders as well as have the appropriate incentive to achieve key strategic and financial performance measures by linking compensation opportunities and actual compensation earned through our pay-for-performance compensation program to the achievement of corporate goals. We also make equity grants designed to align our named executive officers’ compensation to the long-term performance of Allogene in addition to creating an ownership culture that helps unify the interests of our executives and stockholders.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and the Compensation Committee regularly review the compensation programs for our named executive officers and undertake a comprehensive annual review to ensure that our compensation policies and programs align with current market practices and the interests of our stockholders. The “Discussion of Named Executive Officer Compensation” section of this Proxy Statement, the compensation tables, and the related narrative disclosure contained in this Proxy Statement describe in detail our executive compensation program and the decisions made by the Compensation Committee with respect to the fiscal year ended December 31, 2025.</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light of our performance in 2025, we believe that the compensation paid to our named executive officers was appropriate. Accordingly, the Board is asking the stockholders to indicate their support for the compensation of the Company’s named executive officers as described in this Proxy Statement by casting a non-binding advisory vote “FOR” the following resolution:</w:t>
      </w:r>
    </w:p>
    <w:p>
      <w:pPr>
        <w:pStyle w:val="TextBody"/>
        <w:bidi w:val="0"/>
        <w:spacing w:lineRule="auto" w:line="333" w:before="0" w:after="120"/>
        <w:ind w:left="0" w:right="0" w:firstLine="720"/>
        <w:jc w:val="left"/>
        <w:rPr>
          <w:color w:val="000000"/>
        </w:rPr>
      </w:pPr>
      <w:r>
        <w:rPr>
          <w:color w:val="000000"/>
        </w:rPr>
        <w:t>“</w:t>
      </w:r>
      <w:r>
        <w:rPr>
          <w:rFonts w:ascii="Arial;sans-serif" w:hAnsi="Arial;sans-serif"/>
          <w:b w:val="false"/>
          <w:color w:val="000000"/>
          <w:sz w:val="20"/>
        </w:rPr>
        <w:t>RESOLVED, that the compensation paid to the Company’s named executive officers, as disclosed pursuant to Item 402 of Regulation S-K, including the compensation tables and narrative discussion is hereby APPROVED.”</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Unless the Board decides to modify its policy regarding the frequency of soliciting advisory votes on the compensation of the Company’s named executive officers, and in particular, after consideration of the outcome of the say-on-pay frequency proposal included in this Proxy Statement, the next scheduled say-on-pay vote will be at the 2027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2"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Executive Officers</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Executive officers are chosen by and serve at the discretion of the Board of Directors. Set forth below is biographical information for each of our executive officers as of the date of this Proxy Statement, other than Dr. Chang, whose biographical information is set forth above.</w:t>
      </w:r>
    </w:p>
    <w:p>
      <w:pPr>
        <w:pStyle w:val="TextBody"/>
        <w:bidi w:val="0"/>
        <w:spacing w:lineRule="auto" w:line="333" w:before="0" w:after="120"/>
        <w:jc w:val="left"/>
        <w:rPr/>
      </w:pPr>
      <w:r>
        <w:rPr>
          <w:rFonts w:ascii="Arial;sans-serif" w:hAnsi="Arial;sans-serif"/>
          <w:b/>
          <w:i/>
          <w:color w:val="05686F"/>
          <w:sz w:val="20"/>
        </w:rPr>
        <w:t>Ben Beneski</w:t>
      </w:r>
      <w:r>
        <w:rPr>
          <w:rFonts w:ascii="Arial;sans-serif" w:hAnsi="Arial;sans-serif"/>
          <w:b w:val="false"/>
          <w:color w:val="000000"/>
          <w:sz w:val="20"/>
        </w:rPr>
        <w:t>, 49, has served as our Senior Vice President and Chief Technical Officer since March 2025. Mr. Beneski joined Allogene in 2019 as our Executive Director and Plant Manager, where he played a pivotal role in the design, construction, and successful startup of Cell Forge 1, our state-of-the-art cell therapy manufacturing facility. Since then, Mr. Beneski has advanced through a series of increasingly senior roles, including Vice President of Manufacturing and Vice President of Product Development and Manufacturing where he led the development of next-generation platforms, effectively managed internal and external manufacturing networks, and drove key initiatives to support IND submissions and ensure commercial readiness. Prior to joining Allogene, Mr. Beneski held senior manufacturing roles at various biotechnology companies, including Vir Biotechnology and Amgen. He earned a B.S. in chemical engineering from Stevens Institute of Technology and an MBA from Northeastern University.</w:t>
      </w:r>
    </w:p>
    <w:p>
      <w:pPr>
        <w:pStyle w:val="TextBody"/>
        <w:bidi w:val="0"/>
        <w:spacing w:lineRule="auto" w:line="333" w:before="0" w:after="120"/>
        <w:jc w:val="left"/>
        <w:rPr/>
      </w:pPr>
      <w:r>
        <w:rPr>
          <w:rFonts w:ascii="Arial;sans-serif" w:hAnsi="Arial;sans-serif"/>
          <w:b/>
          <w:i/>
          <w:color w:val="05686F"/>
          <w:sz w:val="20"/>
        </w:rPr>
        <w:t>Earl Douglas</w:t>
      </w:r>
      <w:r>
        <w:rPr>
          <w:rFonts w:ascii="Arial;sans-serif" w:hAnsi="Arial;sans-serif"/>
          <w:b w:val="false"/>
          <w:color w:val="000000"/>
          <w:sz w:val="20"/>
        </w:rPr>
        <w:t>, 63, has served as the Company’s Senior Vice President, General Counsel and Compliance Officer since August 2023 and as our Corporate Secretary since January 2024. Before joining Allogene, Mr. Douglas served as Executive Vice President, General Counsel of Applied Molecular Transport. Prior to that role, he served in the same capacity for Kiverdi, Inc. He has also served as Vice President, General Counsel at BioMimetic Therapeutics, Spinal Dynamics, and OPX Biotechnologies. He previously served as Counsel with Wilson Sonsini Goodrich &amp; Rosati, and earlier in his career practiced as an Associate with Weil, Gotshal &amp; Manges. In addition, Mr. Douglas currently serves as a member of the board of directors of Lynch Regenerative Medicine, LLC. He earned his B.S. in chemical engineering from the Massachusetts Institute of Technology and his J.D. from Columbia University School of Law.</w:t>
      </w:r>
    </w:p>
    <w:p>
      <w:pPr>
        <w:pStyle w:val="TextBody"/>
        <w:bidi w:val="0"/>
        <w:spacing w:lineRule="auto" w:line="333" w:before="0" w:after="120"/>
        <w:jc w:val="left"/>
        <w:rPr/>
      </w:pPr>
      <w:r>
        <w:rPr>
          <w:rFonts w:ascii="Arial;sans-serif" w:hAnsi="Arial;sans-serif"/>
          <w:b/>
          <w:i/>
          <w:color w:val="05686F"/>
          <w:sz w:val="20"/>
        </w:rPr>
        <w:t>Geoffrey Parker</w:t>
      </w:r>
      <w:r>
        <w:rPr>
          <w:rFonts w:ascii="Arial;sans-serif" w:hAnsi="Arial;sans-serif"/>
          <w:b w:val="false"/>
          <w:color w:val="000000"/>
          <w:sz w:val="20"/>
        </w:rPr>
        <w:t>, 61, has served as our Executive Vice President, Chief Financial Officer since October 2023. Prior to joining us, Mr. Parker served as Chief Operating Officer, Chief Financial Officer and Executive Vice President of Tricida, Inc. Prior to joining Tricida, Mr. Parker served as Chief Financial Officer of Anacor Pharmaceuticals, and served as a Partner and Managing Director at Goldman Sachs, where he led the West Coast Healthcare Investment Banking group. In addition, Mr. Parker currently serves as a member of the board of directors of Perrigo Company plc. He earned a B.A. with a double major in Economics and Engineering Sciences from Dartmouth College and an MBA from the Stanford Graduate School of Business.</w:t>
      </w:r>
    </w:p>
    <w:p>
      <w:pPr>
        <w:pStyle w:val="TextBody"/>
        <w:bidi w:val="0"/>
        <w:spacing w:lineRule="auto" w:line="333" w:before="0" w:after="120"/>
        <w:jc w:val="left"/>
        <w:rPr/>
      </w:pPr>
      <w:r>
        <w:rPr>
          <w:rFonts w:ascii="Arial;sans-serif" w:hAnsi="Arial;sans-serif"/>
          <w:b/>
          <w:i/>
          <w:color w:val="05686F"/>
          <w:sz w:val="20"/>
        </w:rPr>
        <w:t>Zachary Roberts, M.D., Ph.D.</w:t>
      </w:r>
      <w:r>
        <w:rPr>
          <w:rFonts w:ascii="Arial;sans-serif" w:hAnsi="Arial;sans-serif"/>
          <w:b w:val="false"/>
          <w:color w:val="000000"/>
          <w:sz w:val="20"/>
        </w:rPr>
        <w:t>, 48, has served as our Chief Medical Officer since April 2023 and as our Executive Vice President, Research and Development since January 2023. Previously, Dr. Roberts served as Chief Medical Officer for Instil Bio, Inc. ("Instil") from March 2020 to November 2022. Prior to joining Instil, he served in various roles for Kite, during his four-year tenure, with his last position as Vice President, Clinical Development from February 2018 to May 2019. Prior to joining Kite, Dr. Roberts served in various roles at Amgen, with his last position as Clinical Research Medical Director for Amgen Oncology from January 2015 to July 2015. Dr. Roberts completed his training in internal medicine and hematology/oncology at the Massachusetts General Hospital and Dana Farber Cancer Institute. He earned his B.S. in microbiology and immunology from the University of Maryland, College Park and both his Ph.D. in immunology and his M.D. from the University of Maryland, Baltimore.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3"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3030" w:type="dxa"/>
        <w:jc w:val="left"/>
        <w:tblInd w:w="0" w:type="dxa"/>
        <w:tblLayout w:type="fixed"/>
        <w:tblCellMar>
          <w:top w:w="28" w:type="dxa"/>
          <w:left w:w="28" w:type="dxa"/>
          <w:bottom w:w="28" w:type="dxa"/>
          <w:right w:w="28" w:type="dxa"/>
        </w:tblCellMar>
      </w:tblPr>
      <w:tblGrid>
        <w:gridCol w:w="970"/>
        <w:gridCol w:w="852"/>
        <w:gridCol w:w="1208"/>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Executive Compensation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center"/>
        <w:rPr>
          <w:rFonts w:ascii="Arial;sans-serif" w:hAnsi="Arial;sans-serif"/>
          <w:b/>
          <w:color w:val="05686F"/>
          <w:sz w:val="20"/>
        </w:rPr>
      </w:pPr>
      <w:r>
        <w:rPr>
          <w:rFonts w:ascii="Arial;sans-serif" w:hAnsi="Arial;sans-serif"/>
          <w:b/>
          <w:color w:val="05686F"/>
          <w:sz w:val="20"/>
        </w:rPr>
        <w:t>Discussion of Named Executive Officer Compensation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are a smaller reporting company under the applicable rules and regulations of the Securities and Exchange Commission, and thus are not required to include a Compensation Discussion and Analysis in this Proxy Statement. However, we believe providing additional disclosure regarding our compensation philosophy, policies and principles underlying our executive compensation decisions constitutes good corporate governance and provides our stockholders with valuable information regarding our executive compensation practices. In particular, this Discussion of Named Executive Officer Compensation is designed to provide you with a better understanding of our compensation philosophy and how our Compensation Committee makes decisions regarding compensation for our named executive officers listed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Overview</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This Discussion of Named Executive Officer Compensation discusses the compensation philosophy, policies and principles underlying our executive compensation decisions for 2025. It provides qualitative information on the factors relevant to these decisions and the manner in which compensation is awarded to our named executive officers (our "Named Executive Officers" or "NEOs") for the fiscal year ended December 31, 2025, which consist of our principal executive officer and the Company’s two other most highly compensated executive officers during 2025. Our Named Executive Officers for 2025 were: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David Chang, M.D., Ph.D., our President and Chief Executive Officer;</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Zachary Roberts, M.D., Ph.D., our Executive Vice President, Research and Development and Chief Medical Officer;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Geoffrey Parker, our Executive Vice President and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4"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Corporate Highlights for 2025</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are a clinical-stage biotechnology company pioneering the development of allogeneic CAR T cell products for cancer and autoimmune disease. Our Compensation Committee determined that in 2025 the Company continued to advance its vision of pioneering allogeneic CAR T cell therapy, achieving several significant milestones:</w:t>
      </w:r>
    </w:p>
    <w:p>
      <w:pPr>
        <w:pStyle w:val="TextBody"/>
        <w:bidi w:val="0"/>
        <w:spacing w:lineRule="auto" w:line="333" w:before="0" w:after="120"/>
        <w:jc w:val="left"/>
        <w:rPr/>
      </w:pPr>
      <w:r>
        <w:rPr>
          <w:rFonts w:ascii="Arial;sans-serif" w:hAnsi="Arial;sans-serif"/>
          <w:b w:val="false"/>
          <w:i/>
          <w:color w:val="000000"/>
          <w:sz w:val="20"/>
        </w:rPr>
        <w:t>Cemacabtagene Ansegedleucel ("cema-cel") and ALPHA3 Program</w:t>
      </w:r>
      <w:r>
        <w:rPr>
          <w:rFonts w:ascii="Arial;sans-serif" w:hAnsi="Arial;sans-serif"/>
          <w:b/>
          <w:color w:val="000000"/>
          <w:sz w:val="20"/>
        </w:rPr>
        <w: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Advanced the pivotal Phase 2 ALPHA3 trial evaluating cemacabtagene ansegedleucel ("cema-cel") as a first-line (1L) MRD-guided consolidation strategy in large B-cell lymphoma ("LBCL"), expanding activation to over 60 community and academic sites in the United States and Canada, and continuing international expansion planning.</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Expanded the strategic MRD collaboration with Foresight Diagnostics via an amended and restated collaboration agreement, thereby providing the framework for supporting development of the MRD assay outside the U.S. (EU, UK, Canada, Australia) for ALPHA3 and the broader cema-cel development strategy.</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 xml:space="preserve">Engaged the hematology/oncology community through major medical meetings, including public disclosures supporting Trial-in-Progress presentations for ALPHA3 at the American Society of Clinical Oncology and American Society of Hematology 2025 annual meetings. </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 xml:space="preserve">Strengthened the cema-cel legal and territorial foundation through a favorable Cellectis/Servier arbitration outcome related to cema-cel, which reconfirmed our development and commercial control for cema-cel in the U.S., EU Member States, and UK, clarified key license-related issues, and resulted in the return to us of EUR 20 million from escrow. </w:t>
      </w:r>
    </w:p>
    <w:p>
      <w:pPr>
        <w:pStyle w:val="TextBody"/>
        <w:bidi w:val="0"/>
        <w:spacing w:lineRule="auto" w:line="333" w:before="0" w:after="120"/>
        <w:jc w:val="left"/>
        <w:rPr>
          <w:rFonts w:ascii="Arial;sans-serif" w:hAnsi="Arial;sans-serif"/>
          <w:b w:val="false"/>
          <w:i/>
          <w:color w:val="000000"/>
          <w:sz w:val="20"/>
        </w:rPr>
      </w:pPr>
      <w:r>
        <w:rPr>
          <w:rFonts w:ascii="Arial;sans-serif" w:hAnsi="Arial;sans-serif"/>
          <w:b w:val="false"/>
          <w:i/>
          <w:color w:val="000000"/>
          <w:sz w:val="20"/>
        </w:rPr>
        <w:t>ALLO-316 Development for Renal Cell Carcinoma ("RCC"):</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Showcased updated Phase 1 TRAVERSE clinical data for ALLO-316 at ASCO 2025, highlighting antitumor activity in advanced/metastatic RCC, including a 31% confirmed response rate in patients with CD70 TPS ≥50% and ongoing durability among responders, supported by reported robust expansion/persistence with standard lymphodepletion.</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Advanced regulatory-path planning for ALLO</w:t>
        <w:noBreakHyphen/>
        <w:t xml:space="preserve">316, including alignment discussions with the FDA on the design of a pivotal/registration trial to support next-step development and potential strategic partnering initiatives. </w:t>
      </w:r>
    </w:p>
    <w:p>
      <w:pPr>
        <w:pStyle w:val="TextBody"/>
        <w:bidi w:val="0"/>
        <w:spacing w:lineRule="auto" w:line="333" w:before="0" w:after="120"/>
        <w:jc w:val="left"/>
        <w:rPr>
          <w:rFonts w:ascii="Arial;sans-serif" w:hAnsi="Arial;sans-serif"/>
          <w:b w:val="false"/>
          <w:i/>
          <w:color w:val="000000"/>
          <w:sz w:val="20"/>
        </w:rPr>
      </w:pPr>
      <w:r>
        <w:rPr>
          <w:rFonts w:ascii="Arial;sans-serif" w:hAnsi="Arial;sans-serif"/>
          <w:b w:val="false"/>
          <w:i/>
          <w:color w:val="000000"/>
          <w:sz w:val="20"/>
        </w:rPr>
        <w:t>Autoimmune Disease Program Execution:</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Secured FDA IND clearance for ALLO</w:t>
        <w:noBreakHyphen/>
        <w:t>329 (CD19/CD70 dual-targeted allogeneic CAR T) and subsequently received three FDA Fast Track designations for ALLO</w:t>
        <w:noBreakHyphen/>
        <w:t xml:space="preserve">329 across lupus, myositis, and scleroderma indications, underscoring the program’s potential to address unmet need. </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 xml:space="preserve">Initiated the Phase 1 RESOLUTION trial in rheumatology during 2025 and progressed to active enrollment, using a design that evaluates two approaches intended to broaden patient accessibility: cyclophosphamide-only lymphodepletion and no lymphodepletion. </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Advanced Allogene’s Dagger® technology into autoimmune disease development, with ALLO</w:t>
        <w:noBreakHyphen/>
        <w:t xml:space="preserve">329 incorporating Dagger to potentially reduce or eliminate lymphodepletion while targeting both CD19+ B cells and CD70+ activated T cells implicated in autoimmune pathology. </w:t>
      </w:r>
    </w:p>
    <w:p>
      <w:pPr>
        <w:pStyle w:val="TextBody"/>
        <w:bidi w:val="0"/>
        <w:spacing w:lineRule="auto" w:line="333" w:before="0" w:after="120"/>
        <w:jc w:val="left"/>
        <w:rPr>
          <w:rFonts w:ascii="Arial;sans-serif" w:hAnsi="Arial;sans-serif"/>
          <w:b w:val="false"/>
          <w:i/>
          <w:color w:val="000000"/>
          <w:sz w:val="20"/>
        </w:rPr>
      </w:pPr>
      <w:r>
        <w:rPr>
          <w:rFonts w:ascii="Arial;sans-serif" w:hAnsi="Arial;sans-serif"/>
          <w:b w:val="false"/>
          <w:i/>
          <w:color w:val="000000"/>
          <w:sz w:val="20"/>
        </w:rPr>
        <w:t>Infrastructure and Operating Execution:</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Continued to leverage our internal proprietary state-of-the-art Cell Forge 1 ("CF1") cGMP manufacturing facility in Newark, California to exclusively manufacture product candidates for clinical trials.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Executed operational and cost realignment initiatives during 2025, including a workforce reduction and reduced manufacturing operations, while maintaining sufficient inventory to support ALPHA3, RESOLUTION and TRAVERSE near-term clinical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55"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These 2025 milestones reflect Allogene’s continued effort to evolve allogeneic CAR T therapy toward broader real-world adoption, including advancing MRD-guided earlier-line oncology development, extending the platform into autoimmune disease with reduced-intensity or lymphodepletion-free clinical regimens, and supporting scalable execution through integrated manufacturing and disciplined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Compensation Highlights for 2025</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Compensation Committee, in consultation with the Board, is responsible for establishing, implementing, and overseeing our overall compensation strategy and policies, including our executive compensation program, in a manner that supports our business objectives, taking into consideration best practices and emerging trends, stockholder input as well as data and feedback provided by its independent executive compensation consultant, Compensia. In the past year, we continued to align our compensation program with stockholder interests including the following actions:</w:t>
      </w:r>
    </w:p>
    <w:p>
      <w:pPr>
        <w:pStyle w:val="TextBody"/>
        <w:bidi w:val="0"/>
        <w:spacing w:lineRule="auto" w:line="333" w:before="0" w:after="120"/>
        <w:ind w:left="0" w:right="0" w:hanging="360"/>
        <w:jc w:val="left"/>
        <w:rPr/>
      </w:pPr>
      <w:r>
        <w:rPr>
          <w:color w:val="181717"/>
        </w:rPr>
        <w:t>•</w:t>
      </w:r>
      <w:r>
        <w:rPr>
          <w:rFonts w:ascii="Arial;sans-serif" w:hAnsi="Arial;sans-serif"/>
          <w:b w:val="false"/>
          <w:color w:val="181717"/>
          <w:sz w:val="20"/>
        </w:rPr>
        <w:t>Maintained all NEO base salaries at 2024 levels, with no increase for 2025, which was the fourth consecutive year that Dr. Chang’s base salary was not increased.</w:t>
      </w:r>
    </w:p>
    <w:p>
      <w:pPr>
        <w:pStyle w:val="TextBody"/>
        <w:bidi w:val="0"/>
        <w:spacing w:lineRule="auto" w:line="333" w:before="0" w:after="120"/>
        <w:ind w:left="0" w:right="0" w:hanging="360"/>
        <w:jc w:val="left"/>
        <w:rPr/>
      </w:pPr>
      <w:r>
        <w:rPr>
          <w:color w:val="181717"/>
        </w:rPr>
        <w:t>•</w:t>
      </w:r>
      <w:r>
        <w:rPr>
          <w:rFonts w:ascii="Arial;sans-serif" w:hAnsi="Arial;sans-serif"/>
          <w:b w:val="false"/>
          <w:color w:val="181717"/>
          <w:sz w:val="20"/>
        </w:rPr>
        <w:t xml:space="preserve">In 2025, our Chief Executive Officer’s base salary represented approximately 11.8% of his total compensation. Excluding our Chief Executive Officer, base salaries comprised approximately 22.4% of our other Named Executive Officers' total compensation, on average. </w:t>
      </w:r>
    </w:p>
    <w:p>
      <w:pPr>
        <w:pStyle w:val="TextBody"/>
        <w:bidi w:val="0"/>
        <w:spacing w:lineRule="auto" w:line="333" w:before="0" w:after="120"/>
        <w:ind w:left="0" w:right="0" w:hanging="360"/>
        <w:jc w:val="left"/>
        <w:rPr/>
      </w:pPr>
      <w:r>
        <w:rPr>
          <w:color w:val="181717"/>
        </w:rPr>
        <w:t>•</w:t>
      </w:r>
      <w:r>
        <w:rPr>
          <w:rFonts w:ascii="Arial;sans-serif" w:hAnsi="Arial;sans-serif"/>
          <w:b w:val="false"/>
          <w:color w:val="181717"/>
          <w:sz w:val="20"/>
        </w:rPr>
        <w:t>A substantial majority of our Named Executive Officers’ compensation continued to be delivered in long-term incentives, which are inherently performance-based and aligned with stockholder value creation. Approximately 81.5% of our Chief Executive Officer’s total compensation for 2025 was in the form of long-term incentives. For our other Named Execu</w:t>
      </w:r>
      <w:r>
        <w:rPr>
          <w:rFonts w:ascii="Arial;sans-serif" w:hAnsi="Arial;sans-serif"/>
          <w:b w:val="false"/>
          <w:color w:val="000000"/>
          <w:sz w:val="20"/>
        </w:rPr>
        <w:t>tive Officers, on average, approximately 68.4% of their total compensation for 2025 was represented by long-term incentives.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For 2025 annual long-term incentives, the Compensation Co</w:t>
      </w:r>
      <w:r>
        <w:rPr>
          <w:rFonts w:ascii="Arial;sans-serif" w:hAnsi="Arial;sans-serif"/>
          <w:b w:val="false"/>
          <w:color w:val="181717"/>
          <w:sz w:val="20"/>
        </w:rPr>
        <w:t xml:space="preserve">mmittee reintroduced performance stock units ("PSUs") into the executive equity program. </w:t>
      </w:r>
      <w:r>
        <w:rPr>
          <w:rFonts w:ascii="Arial;sans-serif" w:hAnsi="Arial;sans-serif"/>
          <w:b w:val="false"/>
          <w:color w:val="000000"/>
          <w:sz w:val="20"/>
        </w:rPr>
        <w:t>The Committee utilized a mix of restricted stock units ("RSUs"), PSUs and stock options to provide a target long-term incentive ("LTI") award opportunity that was heavily weighted towards performance-based vehicles, consisting of approximately 20% PSUs, 55% stock options and 25% RSUs. The Compensation Committee continues to view stock options as strongly performance-based and aligned with long-term stockholder interests given our pre-commercial stage of maturity.</w:t>
      </w:r>
    </w:p>
    <w:p>
      <w:pPr>
        <w:pStyle w:val="TextBody"/>
        <w:bidi w:val="0"/>
        <w:spacing w:lineRule="auto" w:line="333" w:before="0" w:after="120"/>
        <w:jc w:val="left"/>
        <w:rPr>
          <w:rFonts w:ascii="Arial;sans-serif" w:hAnsi="Arial;sans-serif"/>
          <w:b w:val="false"/>
          <w:color w:val="181717"/>
          <w:sz w:val="20"/>
        </w:rPr>
      </w:pPr>
      <w:r>
        <w:rPr>
          <w:rFonts w:ascii="Arial;sans-serif" w:hAnsi="Arial;sans-serif"/>
          <w:b w:val="false"/>
          <w:color w:val="181717"/>
          <w:sz w:val="20"/>
        </w:rPr>
        <w:t>The Compensation Committee determined that 2025 annual cash incentive payouts were based strictly on corporate performance, with the final corporate score set at 85% of target based on achievement of approximately 85% of our pre-established annual goals. This approach is consistent with our “One Allogene” culture, and reflects our belief that our leadership team should be unified in its pursuit of strategic execution and should share equally in the Company’s successes and shortfalls. No discretionary payments or upward adjustments were made for any Named Executive Officer. A detailed description of the 2025 milestones in support of the Company’s business strategy and the Compensation Committee's assessment of performance against these milestones are described below under the heading “2025 Annual Performance-Based Cash Incentive.”</w:t>
      </w:r>
    </w:p>
    <w:tbl>
      <w:tblPr>
        <w:tblW w:w="9778" w:type="dxa"/>
        <w:jc w:val="left"/>
        <w:tblInd w:w="0" w:type="dxa"/>
        <w:tblLayout w:type="fixed"/>
        <w:tblCellMar>
          <w:top w:w="28" w:type="dxa"/>
          <w:left w:w="28" w:type="dxa"/>
          <w:bottom w:w="28" w:type="dxa"/>
          <w:right w:w="28" w:type="dxa"/>
        </w:tblCellMar>
      </w:tblPr>
      <w:tblGrid>
        <w:gridCol w:w="1766"/>
        <w:gridCol w:w="1551"/>
        <w:gridCol w:w="1557"/>
        <w:gridCol w:w="1434"/>
        <w:gridCol w:w="1434"/>
        <w:gridCol w:w="2036"/>
      </w:tblGrid>
      <w:tr>
        <w:trPr/>
        <w:tc>
          <w:tcPr>
            <w:tcW w:w="176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05686F"/>
                <w:sz w:val="20"/>
              </w:rPr>
            </w:pPr>
            <w:r>
              <w:rPr>
                <w:rFonts w:ascii="Arial;sans-serif" w:hAnsi="Arial;sans-serif"/>
                <w:b/>
                <w:color w:val="05686F"/>
                <w:sz w:val="20"/>
              </w:rPr>
              <w:t>Dr. Chang’s Actual 2025 Direct Total Compensation</w:t>
            </w:r>
          </w:p>
        </w:tc>
        <w:tc>
          <w:tcPr>
            <w:tcW w:w="4904"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05686F"/>
                <w:sz w:val="20"/>
              </w:rPr>
            </w:pPr>
            <w:r>
              <w:rPr>
                <w:rFonts w:ascii="Arial;sans-serif" w:hAnsi="Arial;sans-serif"/>
                <w:b/>
                <w:color w:val="05686F"/>
                <w:sz w:val="20"/>
              </w:rPr>
              <w:t>Other NEOs Actual 2025 Direct Total Compensation</w:t>
            </w:r>
          </w:p>
        </w:tc>
      </w:tr>
    </w:tbl>
    <w:p>
      <w:pPr>
        <w:pStyle w:val="TextBody"/>
        <w:bidi w:val="0"/>
        <w:spacing w:before="0" w:after="0"/>
        <w:jc w:val="left"/>
        <w:rPr/>
      </w:pPr>
      <w:r>
        <w:rPr/>
        <w:drawing>
          <wp:inline distT="0" distB="0" distL="0" distR="0">
            <wp:extent cx="6858000" cy="1809750"/>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17"/>
                    <a:stretch>
                      <a:fillRect/>
                    </a:stretch>
                  </pic:blipFill>
                  <pic:spPr bwMode="auto">
                    <a:xfrm>
                      <a:off x="0" y="0"/>
                      <a:ext cx="6858000" cy="1809750"/>
                    </a:xfrm>
                    <a:prstGeom prst="rect">
                      <a:avLst/>
                    </a:prstGeom>
                  </pic:spPr>
                </pic:pic>
              </a:graphicData>
            </a:graphic>
          </wp:inline>
        </w:drawing>
      </w:r>
      <w:bookmarkStart w:id="15" w:name="i-16"/>
      <w:bookmarkEnd w:id="1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57"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The graphs above display the base salary, cash incentive, long-term incentives (stock option, RSU and PSU grant date fair values) of our Chief Executive Officer, Dr. Chang (left chart) and other NEOs (Dr. Roberts and Mr. Parker) (right chart). The equity values reflected in the graphs above and the compensation tables below reflect the grant date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Executive Compensation Governance Practices</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Below we summarize certain executive compensation related governance practices that we follow and that we believe serve our stockholders’ long-term interests.</w:t>
      </w:r>
    </w:p>
    <w:tbl>
      <w:tblPr>
        <w:tblW w:w="10205" w:type="dxa"/>
        <w:jc w:val="right"/>
        <w:tblInd w:w="0" w:type="dxa"/>
        <w:tblLayout w:type="fixed"/>
        <w:tblCellMar>
          <w:top w:w="28" w:type="dxa"/>
          <w:left w:w="28" w:type="dxa"/>
          <w:bottom w:w="28" w:type="dxa"/>
          <w:right w:w="28" w:type="dxa"/>
        </w:tblCellMar>
      </w:tblPr>
      <w:tblGrid>
        <w:gridCol w:w="176"/>
        <w:gridCol w:w="155"/>
        <w:gridCol w:w="155"/>
        <w:gridCol w:w="2868"/>
        <w:gridCol w:w="2805"/>
        <w:gridCol w:w="4046"/>
      </w:tblGrid>
      <w:tr>
        <w:trPr/>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5686F" w:val="clear"/>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color w:val="FFFFFF"/>
                <w:sz w:val="20"/>
              </w:rPr>
            </w:pPr>
            <w:r>
              <w:rPr>
                <w:rFonts w:ascii="Arial;sans-serif" w:hAnsi="Arial;sans-serif"/>
                <w:b/>
                <w:color w:val="FFFFFF"/>
                <w:sz w:val="20"/>
              </w:rPr>
              <w:t>WHAT WE DO</w:t>
            </w:r>
          </w:p>
        </w:tc>
      </w:tr>
      <w:tr>
        <w:trPr/>
        <w:tc>
          <w:tcPr>
            <w:tcW w:w="486"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shd w:fill="CDC6C0" w:val="clear"/>
            <w:tcMar>
              <w:top w:w="0" w:type="dxa"/>
              <w:left w:w="0" w:type="dxa"/>
              <w:bottom w:w="0" w:type="dxa"/>
              <w:right w:w="0" w:type="dxa"/>
            </w:tcMar>
            <w:vAlign w:val="center"/>
          </w:tcPr>
          <w:p>
            <w:pPr>
              <w:pStyle w:val="TableContents"/>
              <w:bidi w:val="0"/>
              <w:spacing w:lineRule="auto" w:line="333" w:before="7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maintain an executive compensation program designed to align pay with performance</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conduct an annual say-on-pay advisory vote</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497F"/>
              </w:rPr>
              <w:t xml:space="preserve"> </w:t>
            </w:r>
            <w:r>
              <w:rPr>
                <w:rFonts w:ascii="Arial;sans-serif" w:hAnsi="Arial;sans-serif"/>
                <w:b w:val="false"/>
                <w:color w:val="000000"/>
                <w:sz w:val="20"/>
              </w:rPr>
              <w:t>align pay and performance with the significant majority of total compensation linked either to the achievement of Company operational and strategic goals established at the beginning of the performance period or to sustained stock price appreciation</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maintain a Compensation Committee comprised solely of independent directors</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have double trigger on executive change in control severance arrangements</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prohibit speculative trading of company stock (short sales, put or call options, hedging transactions, etc.)</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prohibit pledging or the use of common stock to secure a margin or other loan</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retain an independent compensation consultant</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maintain stock ownership guidelines for executives and directors</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maintain an executive officer recoupment (clawback) policy</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conduct an annual comprehensive compensation program risk assessment</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evaluate officer compensation levels against a peer group of similarly situated companies</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conduct an annual comprehensive review of compensation of our senior vice presidents and above, including our NEOs</w:t>
            </w:r>
          </w:p>
        </w:tc>
      </w:tr>
      <w:tr>
        <w:trPr/>
        <w:tc>
          <w:tcPr>
            <w:tcW w:w="486"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05686F"/>
              </w:rPr>
            </w:pPr>
            <w:r>
              <w:rPr>
                <w:color w:val="05686F"/>
              </w:rPr>
              <w:t>✓</w:t>
            </w:r>
          </w:p>
        </w:tc>
        <w:tc>
          <w:tcPr>
            <w:tcW w:w="9719"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05686F"/>
                <w:sz w:val="20"/>
              </w:rPr>
              <w:t>DO</w:t>
            </w:r>
            <w:r>
              <w:rPr>
                <w:color w:val="000000"/>
              </w:rPr>
              <w:t xml:space="preserve"> </w:t>
            </w:r>
            <w:r>
              <w:rPr>
                <w:rFonts w:ascii="Arial;sans-serif" w:hAnsi="Arial;sans-serif"/>
                <w:b w:val="false"/>
                <w:color w:val="000000"/>
                <w:sz w:val="20"/>
              </w:rPr>
              <w:t>require equity awards granted to our executive officers vest over multi-year periods or based on the achievement of key strategic goals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58"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4"/>
        <w:gridCol w:w="250"/>
        <w:gridCol w:w="250"/>
        <w:gridCol w:w="3012"/>
        <w:gridCol w:w="2648"/>
        <w:gridCol w:w="3761"/>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BC2328" w:val="clear"/>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color w:val="FFFFFF"/>
                <w:sz w:val="20"/>
              </w:rPr>
            </w:pPr>
            <w:r>
              <w:rPr>
                <w:rFonts w:ascii="Arial;sans-serif" w:hAnsi="Arial;sans-serif"/>
                <w:b/>
                <w:color w:val="FFFFFF"/>
                <w:sz w:val="20"/>
              </w:rPr>
              <w:t>WHAT WE DO NOT DO</w:t>
            </w:r>
          </w:p>
        </w:tc>
      </w:tr>
      <w:tr>
        <w:trPr/>
        <w:tc>
          <w:tcPr>
            <w:tcW w:w="784"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shd w:fill="CDC6C0" w:val="clear"/>
            <w:tcMar>
              <w:top w:w="0" w:type="dxa"/>
              <w:left w:w="0" w:type="dxa"/>
              <w:bottom w:w="0" w:type="dxa"/>
              <w:right w:w="0" w:type="dxa"/>
            </w:tcMar>
            <w:vAlign w:val="center"/>
          </w:tcPr>
          <w:p>
            <w:pPr>
              <w:pStyle w:val="TableContents"/>
              <w:bidi w:val="0"/>
              <w:spacing w:lineRule="auto" w:line="333" w:before="7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incentives that may motivate excessive risk-taking or present a windfall risk</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pay decisions that circumvent pay-for-performance, such as options backdating or waiving performance requirements for performance stock units</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repricing or replacing of underwater stock options/SARs without prior stockholder approval (including cash buyouts and voluntary surrender of underwater options)</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agreements providing for tax gross-ups for any employee or director (except for HSR fee reimbursement from time to time)</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material perquisites</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excessive termination or CIC severance payments (2 years or less)</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executive single-trigger change in control benefits</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severance payments or benefits for executives who voluntarily terminate their employment</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guaranteed compensation and all executives are employed “at will”</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guaranteed annual bonus payouts</w:t>
            </w:r>
          </w:p>
        </w:tc>
      </w:tr>
      <w:tr>
        <w:trPr/>
        <w:tc>
          <w:tcPr>
            <w:tcW w:w="784"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tcBorders>
            <w:shd w:fill="CDC6C0" w:val="clear"/>
            <w:tcMar>
              <w:top w:w="30" w:type="dxa"/>
              <w:left w:w="0" w:type="dxa"/>
              <w:bottom w:w="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benefits for our executives not generally available for all employees</w:t>
            </w:r>
          </w:p>
        </w:tc>
      </w:tr>
      <w:tr>
        <w:trPr/>
        <w:tc>
          <w:tcPr>
            <w:tcW w:w="784" w:type="dxa"/>
            <w:gridSpan w:val="3"/>
            <w:tcBorders>
              <w:top w:val="single" w:sz="8" w:space="0" w:color="FFFFFF"/>
              <w:bottom w:val="single" w:sz="8" w:space="0" w:color="FFFFFF"/>
            </w:tcBorders>
            <w:shd w:fill="CDC6C0" w:val="clear"/>
            <w:tcMar>
              <w:top w:w="30" w:type="dxa"/>
              <w:left w:w="0" w:type="dxa"/>
              <w:bottom w:w="30" w:type="dxa"/>
              <w:right w:w="0" w:type="dxa"/>
            </w:tcMar>
            <w:vAlign w:val="center"/>
          </w:tcPr>
          <w:p>
            <w:pPr>
              <w:pStyle w:val="TableContents"/>
              <w:bidi w:val="0"/>
              <w:spacing w:lineRule="auto" w:line="240" w:before="0" w:after="283"/>
              <w:jc w:val="left"/>
              <w:rPr>
                <w:color w:val="BC2328"/>
              </w:rPr>
            </w:pPr>
            <w:r>
              <w:rPr>
                <w:color w:val="BC2328"/>
              </w:rPr>
              <w:t>✘</w:t>
            </w:r>
          </w:p>
        </w:tc>
        <w:tc>
          <w:tcPr>
            <w:tcW w:w="9421" w:type="dxa"/>
            <w:gridSpan w:val="3"/>
            <w:tcBorders>
              <w:top w:val="single" w:sz="8" w:space="0" w:color="FFFFFF"/>
              <w:bottom w:val="single" w:sz="8" w:space="0" w:color="FFFFFF"/>
            </w:tcBorders>
            <w:shd w:fill="CDC6C0" w:val="clear"/>
            <w:tcMar>
              <w:top w:w="30" w:type="dxa"/>
              <w:left w:w="0" w:type="dxa"/>
              <w:bottom w:w="30" w:type="dxa"/>
              <w:right w:w="0" w:type="dxa"/>
            </w:tcMar>
            <w:vAlign w:val="center"/>
          </w:tcPr>
          <w:p>
            <w:pPr>
              <w:pStyle w:val="TableContents"/>
              <w:bidi w:val="0"/>
              <w:spacing w:lineRule="auto" w:line="333" w:before="55" w:after="30"/>
              <w:jc w:val="left"/>
              <w:rPr/>
            </w:pPr>
            <w:r>
              <w:rPr>
                <w:rFonts w:ascii="Arial;sans-serif" w:hAnsi="Arial;sans-serif"/>
                <w:b/>
                <w:color w:val="BC2328"/>
                <w:sz w:val="20"/>
              </w:rPr>
              <w:t>NO</w:t>
            </w:r>
            <w:r>
              <w:rPr>
                <w:color w:val="000000"/>
              </w:rPr>
              <w:t xml:space="preserve"> </w:t>
            </w:r>
            <w:r>
              <w:rPr>
                <w:rFonts w:ascii="Arial;sans-serif" w:hAnsi="Arial;sans-serif"/>
                <w:b w:val="false"/>
                <w:color w:val="000000"/>
                <w:sz w:val="20"/>
              </w:rPr>
              <w:t>granting of in-the-money stock options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Response to Advisory Vote on Executive Compensation</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At our 2025 Annual Meeting of Stockholders, our say-on-pay advisory vote received the support of approximately 91% of the votes cast (excluding abstentions and broker non-votes). The Compensation Committee reviewed these results and considers this high level of support to be a strong endorsement of our executive compensation philosophy and programs.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As a result of this significant stockholder consensus, the Committee determined that no substantial changes to our compensation program were necessary specifically in response to the vote. We continue to engage in regular dialogue with our major stockholders to ensure our pay practices remain aligned with their interests and continue to drive long-term value creation. Our Compensation Committee expects to continue to consider the outcome of our say-on-pay votes and our stockholders’ views when making future compensation decisions for our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Executive Compensation Philosophy and Overview</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operate in a very technical, highly regulated, and extremely competitive industry where our long-term success is highly dependent on the specialized skills, talent, and dedication of our executive officers. Our Compensation Committee believes that a well-designed compensation program should align executive interests with the drivers of growth and stockholder return, while enabling us to attract and retain employees whose talents, expertise, leadership, and contributions are critical to building and sustaining growth in long-term stockholder value. As a result, we calibrate total compensation levels relative to our peers with whom we compete for talent and utilize a strong pay-for-performance compensation philosophy that ties executives’ pay opportunities to the achievement of corporate goals, individual performance and sustained stock price appreciation.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executive compensation program is intended to meet five principal objectives: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enable us to attract, retain and motivate superior talent;</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link rewards to the achievement of critical strategic priorities;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create incentives for our executive officers to further our long-term strategic plan to create long-term stockholder value;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provide appropriate levels of risk and reward relative to an executive officer’s position with us;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differentiate compensation based on individual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59"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Based on this philosophy, our performance-driven compensation program primarily consists of three components: base salary, annual cash incentive opportunity, and long-term incentive compensation in the form of equity awards. The Compensation Committee has determined that these three components, with the vast majority of target total direct compensation allocated to “at-risk” performance-based incentives through the use of short-term and long-term incentive compensation, best align the interests of our executive officers with those of our stockholders. While it does not have any formal policies for allocating compensation among the three components, the Compensation Committee reviews relevant competitive market data and uses its judgment to determine the appropriate level and mix of compensation on an annual basis to ensure that compensation levels and opportunities are competitive and that we are able to attract and retain capable executive officers to work for our long-term prosperity and stockholder value, without taking unnecessary or excessive risks.</w:t>
      </w:r>
    </w:p>
    <w:p>
      <w:pPr>
        <w:pStyle w:val="TextBody"/>
        <w:bidi w:val="0"/>
        <w:spacing w:lineRule="auto" w:line="333" w:before="240" w:after="120"/>
        <w:jc w:val="center"/>
        <w:rPr>
          <w:rFonts w:ascii="Arial;sans-serif" w:hAnsi="Arial;sans-serif"/>
          <w:b/>
          <w:color w:val="05686F"/>
          <w:sz w:val="20"/>
        </w:rPr>
      </w:pPr>
      <w:r>
        <w:rPr>
          <w:rFonts w:ascii="Arial;sans-serif" w:hAnsi="Arial;sans-serif"/>
          <w:b/>
          <w:color w:val="05686F"/>
          <w:sz w:val="20"/>
        </w:rPr>
        <w:t>2025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following table sets forth all of the compensation awarded to, earned by or paid to our Named Executive Officers during the fiscal years ended December 31, 2025, and December 31, 2024.</w:t>
      </w:r>
    </w:p>
    <w:tbl>
      <w:tblPr>
        <w:tblW w:w="11447" w:type="dxa"/>
        <w:jc w:val="center"/>
        <w:tblInd w:w="0" w:type="dxa"/>
        <w:tblLayout w:type="fixed"/>
        <w:tblCellMar>
          <w:top w:w="28" w:type="dxa"/>
          <w:left w:w="28" w:type="dxa"/>
          <w:bottom w:w="28" w:type="dxa"/>
          <w:right w:w="28" w:type="dxa"/>
        </w:tblCellMar>
      </w:tblPr>
      <w:tblGrid>
        <w:gridCol w:w="695"/>
        <w:gridCol w:w="495"/>
        <w:gridCol w:w="221"/>
        <w:gridCol w:w="109"/>
        <w:gridCol w:w="109"/>
        <w:gridCol w:w="109"/>
        <w:gridCol w:w="154"/>
        <w:gridCol w:w="154"/>
        <w:gridCol w:w="158"/>
        <w:gridCol w:w="109"/>
        <w:gridCol w:w="109"/>
        <w:gridCol w:w="109"/>
        <w:gridCol w:w="229"/>
        <w:gridCol w:w="229"/>
        <w:gridCol w:w="233"/>
        <w:gridCol w:w="109"/>
        <w:gridCol w:w="109"/>
        <w:gridCol w:w="109"/>
        <w:gridCol w:w="165"/>
        <w:gridCol w:w="165"/>
        <w:gridCol w:w="166"/>
        <w:gridCol w:w="109"/>
        <w:gridCol w:w="109"/>
        <w:gridCol w:w="109"/>
        <w:gridCol w:w="274"/>
        <w:gridCol w:w="274"/>
        <w:gridCol w:w="278"/>
        <w:gridCol w:w="109"/>
        <w:gridCol w:w="109"/>
        <w:gridCol w:w="109"/>
        <w:gridCol w:w="274"/>
        <w:gridCol w:w="274"/>
        <w:gridCol w:w="278"/>
        <w:gridCol w:w="109"/>
        <w:gridCol w:w="109"/>
        <w:gridCol w:w="109"/>
        <w:gridCol w:w="274"/>
        <w:gridCol w:w="274"/>
        <w:gridCol w:w="278"/>
        <w:gridCol w:w="109"/>
        <w:gridCol w:w="109"/>
        <w:gridCol w:w="109"/>
        <w:gridCol w:w="330"/>
        <w:gridCol w:w="330"/>
        <w:gridCol w:w="331"/>
        <w:gridCol w:w="109"/>
        <w:gridCol w:w="109"/>
        <w:gridCol w:w="109"/>
        <w:gridCol w:w="330"/>
        <w:gridCol w:w="330"/>
        <w:gridCol w:w="331"/>
        <w:gridCol w:w="109"/>
        <w:gridCol w:w="109"/>
        <w:gridCol w:w="109"/>
        <w:gridCol w:w="274"/>
        <w:gridCol w:w="274"/>
        <w:gridCol w:w="278"/>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Arial;sans-serif" w:hAnsi="Arial;sans-serif"/>
                <w:b/>
                <w:color w:val="000000"/>
                <w:sz w:val="14"/>
              </w:rPr>
            </w:pPr>
            <w:r>
              <w:rPr>
                <w:rFonts w:ascii="Arial;sans-serif" w:hAnsi="Arial;sans-serif"/>
                <w:b/>
                <w:color w:val="000000"/>
                <w:sz w:val="14"/>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4"/>
              </w:rPr>
            </w:pPr>
            <w:r>
              <w:rPr>
                <w:rFonts w:ascii="Arial;sans-serif" w:hAnsi="Arial;sans-serif"/>
                <w:b/>
                <w:color w:val="000000"/>
                <w:sz w:val="14"/>
              </w:rPr>
              <w:t>Salary</w:t>
            </w:r>
          </w:p>
          <w:p>
            <w:pPr>
              <w:pStyle w:val="TableContents"/>
              <w:bidi w:val="0"/>
              <w:spacing w:lineRule="auto" w:line="288" w:before="0" w:after="30"/>
              <w:jc w:val="center"/>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4"/>
              </w:rPr>
            </w:pPr>
            <w:r>
              <w:rPr>
                <w:rFonts w:ascii="Arial;sans-serif" w:hAnsi="Arial;sans-serif"/>
                <w:b/>
                <w:color w:val="000000"/>
                <w:sz w:val="14"/>
              </w:rPr>
              <w:t>Bonus</w:t>
            </w:r>
          </w:p>
          <w:p>
            <w:pPr>
              <w:pStyle w:val="TableContents"/>
              <w:bidi w:val="0"/>
              <w:spacing w:lineRule="auto" w:line="288" w:before="0" w:after="30"/>
              <w:jc w:val="center"/>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4"/>
              </w:rPr>
            </w:pPr>
            <w:r>
              <w:rPr>
                <w:rFonts w:ascii="Arial;sans-serif" w:hAnsi="Arial;sans-serif"/>
                <w:b/>
                <w:color w:val="000000"/>
                <w:sz w:val="14"/>
              </w:rPr>
              <w:t>RSU</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awards</w:t>
            </w:r>
          </w:p>
          <w:p>
            <w:pPr>
              <w:pStyle w:val="TableContents"/>
              <w:bidi w:val="0"/>
              <w:spacing w:lineRule="auto" w:line="288" w:before="0" w:after="30"/>
              <w:jc w:val="center"/>
              <w:rPr>
                <w:rFonts w:ascii="Arial;sans-serif" w:hAnsi="Arial;sans-serif"/>
                <w:b/>
                <w:color w:val="000000"/>
                <w:sz w:val="14"/>
              </w:rPr>
            </w:pPr>
            <w:r>
              <w:rPr>
                <w:rFonts w:ascii="Arial;sans-serif" w:hAnsi="Arial;sans-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PSU</w:t>
              <w:br/>
              <w:t>awards</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4"/>
              </w:rPr>
            </w:pPr>
            <w:r>
              <w:rPr>
                <w:rFonts w:ascii="Arial;sans-serif" w:hAnsi="Arial;sans-serif"/>
                <w:b/>
                <w:color w:val="000000"/>
                <w:sz w:val="14"/>
              </w:rPr>
              <w:t>Option</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awards</w:t>
            </w:r>
          </w:p>
          <w:p>
            <w:pPr>
              <w:pStyle w:val="TableContents"/>
              <w:bidi w:val="0"/>
              <w:spacing w:lineRule="auto" w:line="288" w:before="0" w:after="30"/>
              <w:jc w:val="center"/>
              <w:rPr>
                <w:rFonts w:ascii="Arial;sans-serif" w:hAnsi="Arial;sans-serif"/>
                <w:b/>
                <w:color w:val="000000"/>
                <w:sz w:val="14"/>
              </w:rPr>
            </w:pPr>
            <w:r>
              <w:rPr>
                <w:rFonts w:ascii="Arial;sans-serif" w:hAnsi="Arial;sans-serif"/>
                <w:b/>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4"/>
              </w:rPr>
            </w:pPr>
            <w:r>
              <w:rPr>
                <w:rFonts w:ascii="Arial;sans-serif" w:hAnsi="Arial;sans-serif"/>
                <w:b/>
                <w:color w:val="000000"/>
                <w:sz w:val="14"/>
              </w:rPr>
              <w:t>Non-equity</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incentive</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plan</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compensation</w:t>
            </w:r>
          </w:p>
          <w:p>
            <w:pPr>
              <w:pStyle w:val="TableContents"/>
              <w:bidi w:val="0"/>
              <w:spacing w:lineRule="auto" w:line="288" w:before="0" w:after="30"/>
              <w:jc w:val="center"/>
              <w:rPr>
                <w:rFonts w:ascii="Arial;sans-serif" w:hAnsi="Arial;sans-serif"/>
                <w:b/>
                <w:color w:val="000000"/>
                <w:sz w:val="14"/>
              </w:rPr>
            </w:pPr>
            <w:r>
              <w:rPr>
                <w:rFonts w:ascii="Arial;sans-serif" w:hAnsi="Arial;sans-serif"/>
                <w:b/>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Arial;sans-serif" w:hAnsi="Arial;sans-serif"/>
                <w:b/>
                <w:color w:val="000000"/>
                <w:sz w:val="14"/>
              </w:rPr>
            </w:pPr>
            <w:r>
              <w:rPr>
                <w:rFonts w:ascii="Arial;sans-serif" w:hAnsi="Arial;sans-serif"/>
                <w:b/>
                <w:color w:val="000000"/>
                <w:sz w:val="14"/>
              </w:rPr>
              <w:t>All other compensation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4"/>
              </w:rPr>
            </w:pPr>
            <w:r>
              <w:rPr>
                <w:rFonts w:ascii="Arial;sans-serif" w:hAnsi="Arial;sans-serif"/>
                <w:b/>
                <w:color w:val="000000"/>
                <w:sz w:val="14"/>
              </w:rPr>
              <w:t>Total</w:t>
            </w:r>
          </w:p>
          <w:p>
            <w:pPr>
              <w:pStyle w:val="TableContents"/>
              <w:bidi w:val="0"/>
              <w:spacing w:lineRule="auto" w:line="288" w:before="0" w:after="30"/>
              <w:jc w:val="center"/>
              <w:rPr>
                <w:rFonts w:ascii="Arial;sans-serif" w:hAnsi="Arial;sans-serif"/>
                <w:b/>
                <w:color w:val="000000"/>
                <w:sz w:val="14"/>
              </w:rPr>
            </w:pPr>
            <w:r>
              <w:rPr>
                <w:rFonts w:ascii="Arial;sans-serif" w:hAnsi="Arial;sans-serif"/>
                <w:b/>
                <w:color w:val="000000"/>
                <w:sz w:val="14"/>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David Chang, M.D.,  Ph.D.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2,588,329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6,136,093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3,465,248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Zachary J. Roberts,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1,987,723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Chief Medical Officer and Executive Vice President of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2,220,757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Geoffrey Parker</w:t>
            </w:r>
          </w:p>
          <w:p>
            <w:pPr>
              <w:pStyle w:val="TableContents"/>
              <w:bidi w:val="0"/>
              <w:spacing w:lineRule="auto" w:line="288" w:before="0" w:after="0"/>
              <w:ind w:left="0" w:right="0" w:hanging="180"/>
              <w:jc w:val="left"/>
              <w:rPr/>
            </w:pPr>
            <w:r>
              <w:rPr>
                <w:color w:val="000000"/>
              </w:rPr>
              <w:t>    </w:t>
            </w:r>
            <w:r>
              <w:rPr>
                <w:rFonts w:ascii="Arial;sans-serif" w:hAnsi="Arial;sans-serif"/>
                <w:b w:val="false"/>
                <w:i/>
                <w:color w:val="000000"/>
                <w:sz w:val="16"/>
              </w:rPr>
              <w:t>Executive Vice President and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1,943,962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(1)    The dollar amounts in this column reflect the aggregate grant date fair value of RSUs granted during the indicated year and computed in accordance with FASB ASC 718. The grant date fair values of the 2025 and 2024 RSUs are based on the closing market price of the Company’s common stock on the date of grant. </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(2)    The dollar amount in this column reflects the aggregate grant date fair value of PSUs granted in 2025. The amount reflects a maximum possible payout of 150%. The grant date fair value is based on the closing market price of the Company’s common stock on the date of grant.</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(3)    The dollar amounts in this column represent the aggregate grant date fair value of stock option awards granted during the indicated year. These amounts have been computed in accordance with FASB ASC Topic 718, using the Black-Scholes option pricing model. For a discussion of valuation assumptions, see Note 9 “Stock-based Compensation” to our financial statements included in our Annual Report on Form 10-K for the year ended December 31, 2025. These amounts do not reflect the actual economic value that will be realized by the Named Executive Officer upon the vesting of the stock options, the exercise of the stock options, or the sale of the common stock underlying such stock options.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(4)    The dollar amounts in this column represent annual performance-based incentive earned for the indicated year. For more information, see below under “2025 Annual Performance-Based Cash Incentive.”</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(5)    The dollar amounts in this column represent Section 401(k) contributions. For Dr. Chang and Dr. Roberts, the dollar amount in this column includes health savings account benefits. </w:t>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5686F"/>
          <w:sz w:val="20"/>
        </w:rPr>
      </w:pPr>
      <w:r>
        <w:rPr>
          <w:rFonts w:ascii="Arial;sans-serif" w:hAnsi="Arial;sans-serif"/>
          <w:b/>
          <w:color w:val="05686F"/>
          <w:sz w:val="20"/>
        </w:rPr>
        <w:t>Narrative to Summary Compensation Table</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Process for Setting Executive Compensation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We seek to foster a performance-oriented culture, where individual performance is aligned with organizational objectives. To achieve this, we evaluate and reward our executive officers based on their contributions to the achievement of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0"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goals and objectives set early in the year. Performance is reviewed at least annually through processes discussed further below, with a focus on our research, clinical, regulatory, financial and operational performance, and in view of economic and financial conditions affecting the performance period. We also evaluate and adjust executive compensation in response to our say-on-pay results from our annual stockholder meetings.</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Role of the Compensation Committee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Compensation Committee reviews and approves our executive compensation philosophy, objectives and methods, evaluates our performance and the performance of our executive officers, and either approves executive compensation or makes recommendations for ratification by our Board members. Please see “Information Regarding Committees of the Board of Directors—Compensation Committee—Compensation Committee Processes and Procedures” for additional information.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Awards of performance-based compensation for the previous year are typically made at the last-scheduled Compensation Committee meeting of the year or first-scheduled meeting of the following year. Adjustments to the base salaries of our Named Executive Officers, if any, are also typically made at the last-scheduled Compensation Committee meeting of the year or first-scheduled meeting of the following year. The Compensation Committee typically reviews annual equity awards in the first quarter of the year.</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Role of Management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making compensation decisions, the Compensation Committee considers the recommendations of our Chief Executive Officer, with input from our Executive Chair, Chief People Officer and General Counsel. Our Chief Executive Officer, Dr. Chang, makes recommendations to the Compensation Committee with respect to our executive officers, but is not present and does not participate in the deliberations or determination of his own compensation. The Compensation Committee may review and approve the corporate objectives and goals pursuant to the powers delegated under its charter. Dr. Chang annually leads the development of our corporate objectives and goals, which are typically reviewed and approved by the Compensation Committee and then our Board. Dr. Chang provided our business and operations perspective for the Compensation Committee’s final review of progress made on the goals set for 2025. Other than as described above, no other executive officers participate in the determination or recommendation of the amount or form of executive officer compensation.</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Role of Independent Compensation Consultant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Compensation Committee is authorized to engage a compensation consultant or other advisors to review our executive officers’ compensation, including preparing an analysis against the compensation of executive officers at comparable companies, to ensure that our compensation is market competitive, with the goal of retaining and adequately motivating our senior management. During 2025, the Compensation Committee engaged Compensia to make recommendations for updating our compensation peer group, and to review and make recommendations regarding our equity plan and executive and director compensation for 2025. Compensia was invited to attend Compensation Committee meetings where they presented and discussed their analysis and findings. For 2025, with the assistance of Compensia, the Compensation Committee updated our compensation peer group, described below in the section entitled “Peer Companies and Market Compensation Data.”</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On an annual basis since 2018 and most recently in March 2026, the Compensation Committee analyzed whether the work of Compensia as a compensation consultant has raised any conflict of interest, taking into consideration the following factors: (i) the provision of other services to the Company by Compensia; (ii) the amount of fees from the Company paid to Compensia as a percentage of the firm’s total revenue; (iii) Compensia’s policies and procedures that are designed to prevent conflicts of interest; (iv) any business or personal relationship of Compensia or the individual compensation advisors employed by the firm with an executive officer of the Company; (v) any business or personal relationship of the individual compensation advisors with any member of the Compensation Committee; and (vi) any stock of the Company owned by the individual compensation advisors employed by Compensia. The Compensation Committee determined, based on its analysis of the above factors, that the work of Compensia and the individual compensation advisors employed by Compensia has not raised any conflict of interest and the Compensation Committee is satisfied with the independence of Compensia.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1"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Peer Group and Market Compensation Data</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Each year the Compensation Committee, with the assistance of Compensia, reviews, updates and approves a group of publicly traded peer companies against which the Company benchmarks its executive compensation program. The Compensation Committee reviews the information provided by Compensia and management to select our peer group from a pool of comparable companies. For the compensation peer group approved for 2025, the Compensation Committee considered the following criteria when selecting peer companies: </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Primary Criteria</w:t>
      </w:r>
      <w:r>
        <w:rPr>
          <w:color w:val="000000"/>
        </w:rPr>
        <w:t> </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Industry</w:t>
      </w:r>
      <w:r>
        <w:rPr>
          <w:rFonts w:ascii="Arial;sans-serif" w:hAnsi="Arial;sans-serif"/>
          <w:b w:val="false"/>
          <w:color w:val="000000"/>
          <w:sz w:val="20"/>
        </w:rPr>
        <w:t>: Biotechnology or pharmaceutical companies.</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Market Capitalization</w:t>
      </w:r>
      <w:r>
        <w:rPr>
          <w:rFonts w:ascii="Arial;sans-serif" w:hAnsi="Arial;sans-serif"/>
          <w:b w:val="false"/>
          <w:color w:val="000000"/>
          <w:sz w:val="20"/>
        </w:rPr>
        <w:t>: Targeted 30-day average market capitalization of approximately 0.25x to 4.0x of Allogene’s 30-day average market capitalization (approximately $560 million at time of peer group review, corresponding to an approximate range of $140 million to $2.2 billion).</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Stage of Lead Drug</w:t>
      </w:r>
      <w:r>
        <w:rPr>
          <w:rFonts w:ascii="Arial;sans-serif" w:hAnsi="Arial;sans-serif"/>
          <w:b w:val="false"/>
          <w:color w:val="000000"/>
          <w:sz w:val="20"/>
        </w:rPr>
        <w:t>: Companies must be in clinical development or early-stage commercial (approved and/or marketed product with less than $500 million in revenue for the last four quarters). </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Additional Refinement Criteria</w:t>
      </w:r>
      <w:r>
        <w:rPr>
          <w:color w:val="000000"/>
        </w:rPr>
        <w:t> </w:t>
      </w:r>
    </w:p>
    <w:p>
      <w:pPr>
        <w:pStyle w:val="TextBody"/>
        <w:bidi w:val="0"/>
        <w:spacing w:lineRule="auto" w:line="333" w:before="0" w:after="120"/>
        <w:ind w:left="0" w:right="0" w:hanging="360"/>
        <w:jc w:val="left"/>
        <w:rPr/>
      </w:pPr>
      <w:r>
        <w:rPr>
          <w:color w:val="000000"/>
        </w:rPr>
        <w:t>•</w:t>
      </w:r>
      <w:r>
        <w:rPr>
          <w:rFonts w:ascii="Arial;sans-serif" w:hAnsi="Arial;sans-serif"/>
          <w:b w:val="false"/>
          <w:i/>
          <w:color w:val="000000"/>
          <w:sz w:val="20"/>
        </w:rPr>
        <w:t>Indication</w:t>
      </w:r>
      <w:r>
        <w:rPr>
          <w:rFonts w:ascii="Arial;sans-serif" w:hAnsi="Arial;sans-serif"/>
          <w:b w:val="false"/>
          <w:color w:val="000000"/>
          <w:sz w:val="20"/>
        </w:rPr>
        <w:t>: Preference for companies with cell therapy focus, gene therapy focus, and/or an oncology pipeline representing more than 33% of the portfolio.</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Based on these criteria, in September 2024 the Compensation Committee selected the companies to be included in the peer group referenced for 2025 executive compensation decisions. The peer group was comprised of the following companies:</w:t>
      </w:r>
    </w:p>
    <w:tbl>
      <w:tblPr>
        <w:tblW w:w="7362" w:type="dxa"/>
        <w:jc w:val="center"/>
        <w:tblInd w:w="0" w:type="dxa"/>
        <w:tblLayout w:type="fixed"/>
        <w:tblCellMar>
          <w:top w:w="28" w:type="dxa"/>
          <w:left w:w="28" w:type="dxa"/>
          <w:bottom w:w="28" w:type="dxa"/>
          <w:right w:w="28" w:type="dxa"/>
        </w:tblCellMar>
      </w:tblPr>
      <w:tblGrid>
        <w:gridCol w:w="935"/>
        <w:gridCol w:w="821"/>
        <w:gridCol w:w="823"/>
        <w:gridCol w:w="814"/>
        <w:gridCol w:w="814"/>
        <w:gridCol w:w="816"/>
        <w:gridCol w:w="684"/>
        <w:gridCol w:w="684"/>
        <w:gridCol w:w="971"/>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Agios Pharmaceuticals, Inc.</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Editas Medicine, Inc.</w:t>
            </w:r>
          </w:p>
        </w:tc>
        <w:tc>
          <w:tcPr>
            <w:tcW w:w="233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Nurix Therapeutics, Inc. </w:t>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Beam Therapeutics Inc. </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Fate Therapeutics, Inc. </w:t>
            </w:r>
          </w:p>
        </w:tc>
        <w:tc>
          <w:tcPr>
            <w:tcW w:w="233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Precigen, Inc.</w:t>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C4 Therapeutics, Inc.</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Foghorn Therapeutics Inc. </w:t>
            </w:r>
          </w:p>
        </w:tc>
        <w:tc>
          <w:tcPr>
            <w:tcW w:w="233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Replimune Group, Inc.</w:t>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Cabaletta Bio, Inc. </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IGM Biosciences, Inc. </w:t>
            </w:r>
          </w:p>
        </w:tc>
        <w:tc>
          <w:tcPr>
            <w:tcW w:w="233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Sana Biotechnology, Inc.</w:t>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CARGO Therapeutics, Inc.</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iTeos Therapeutics, Inc.</w:t>
            </w:r>
          </w:p>
        </w:tc>
        <w:tc>
          <w:tcPr>
            <w:tcW w:w="233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Vir Biotechnology, Inc.</w:t>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Caribou Biosciences, Inc.</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Lyell Immunopharma, Inc. </w:t>
            </w:r>
          </w:p>
        </w:tc>
        <w:tc>
          <w:tcPr>
            <w:tcW w:w="233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Xencor, Inc. </w:t>
            </w:r>
          </w:p>
        </w:tc>
      </w:tr>
      <w:tr>
        <w:trPr/>
        <w:tc>
          <w:tcPr>
            <w:tcW w:w="257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Cullinan Therapeutics, Inc.</w:t>
            </w:r>
          </w:p>
        </w:tc>
        <w:tc>
          <w:tcPr>
            <w:tcW w:w="2444"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Nkarta, Inc.</w:t>
            </w:r>
          </w:p>
        </w:tc>
        <w:tc>
          <w:tcPr>
            <w:tcW w:w="2339"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333" w:before="120" w:after="120"/>
        <w:jc w:val="left"/>
        <w:rPr/>
      </w:pPr>
      <w:r>
        <w:rPr>
          <w:rFonts w:ascii="Arial;sans-serif" w:hAnsi="Arial;sans-serif"/>
          <w:b w:val="false"/>
          <w:color w:val="000000"/>
          <w:sz w:val="20"/>
        </w:rPr>
        <w:t>In updating the compensation peer group for 2025, the Compensation Committee removed Mirati Therapeutics because it had been acquired by Bristol Myers Squibb, removed Celldex Therapeutics, ImmunityBio, Iovance Biotherapeutics, SpringWorks Therapeutics and Ultragenyx Pharmaceutical because they exceeded the applicable market capitalization parameters, and removed AlloVir because it fell below the applicable market capitalization parameters. The Compensation Committee added C4 Therapeutics, CARGO Therapeutics, Cullinan Therapeutics, iTeos Therapeutics, Nkarta, Precigen, Replimune Group and Vir Biotechnology due to their overall fit relative to the peer selection criteria. At the time our 2025 compensation peer group was analyzed by Compensia, our market capitalization was at the 47</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percentile of the peer group based on 30-day average market capitalization and at the 49th percentile based on grant-date market capitalization.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Compensation Committee intends to continue reviewing and revising the peer group annually to ensure that it continues to reflect publicly traded companies comparable to Allogene.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Executive Compensation Program and Compensation Decisions for the Named Executive Officers</w:t>
      </w:r>
    </w:p>
    <w:p>
      <w:pPr>
        <w:pStyle w:val="TextBody"/>
        <w:bidi w:val="0"/>
        <w:spacing w:lineRule="auto" w:line="312" w:before="0" w:after="120"/>
        <w:jc w:val="left"/>
        <w:rPr>
          <w:rFonts w:ascii="Arial;sans-serif" w:hAnsi="Arial;sans-serif"/>
          <w:b w:val="false"/>
          <w:color w:val="000000"/>
          <w:sz w:val="20"/>
        </w:rPr>
      </w:pPr>
      <w:r>
        <w:rPr>
          <w:rFonts w:ascii="Arial;sans-serif" w:hAnsi="Arial;sans-serif"/>
          <w:b w:val="false"/>
          <w:color w:val="000000"/>
          <w:sz w:val="20"/>
        </w:rPr>
        <w:t>Our executive compensation program in 2025 primarily consisted of base salary, annual performance-based cash incentive plan, and long-term incentive program, each of which plays an important role in our pay-for-performance philosophy and in achieving our compensation program objectives. For each element of compensation, we target an overall executive compensation program that is competitive with market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2"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2025 Annual Base Salaries</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 xml:space="preserve">The base salary is designed to provide a fixed and predictable level of compensation for our executive officers and to compensate executive officers competitively at levels necessary to attract and retain qualified executives in the life sciences industry. The Compensation Committee believes base salaries should be competitive with the base salaries provided by companies in our peer group. In January 2025, the Compensation Committee performed its annual analysis of base salaries for our executive management team, including our Named Executive Officers, using the peer group market data provided by Compensia. Based on this analysis, the Compensation Committee recommended no changes to Dr. Chang’s, Dr. Roberts' and Mr. Parker’s 2024 annual base salaries, and based on that recommendation, the Board did not approve any changes.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2025 annual base salaries for our Named Executive Officers (including a comparison with the 2024 base salaries) were as follows:</w:t>
      </w:r>
    </w:p>
    <w:tbl>
      <w:tblPr>
        <w:tblW w:w="10205" w:type="dxa"/>
        <w:jc w:val="center"/>
        <w:tblInd w:w="0" w:type="dxa"/>
        <w:tblLayout w:type="fixed"/>
        <w:tblCellMar>
          <w:top w:w="28" w:type="dxa"/>
          <w:left w:w="28" w:type="dxa"/>
          <w:bottom w:w="28" w:type="dxa"/>
          <w:right w:w="28" w:type="dxa"/>
        </w:tblCellMar>
      </w:tblPr>
      <w:tblGrid>
        <w:gridCol w:w="2098"/>
        <w:gridCol w:w="1776"/>
        <w:gridCol w:w="1773"/>
        <w:gridCol w:w="109"/>
        <w:gridCol w:w="109"/>
        <w:gridCol w:w="109"/>
        <w:gridCol w:w="299"/>
        <w:gridCol w:w="299"/>
        <w:gridCol w:w="303"/>
        <w:gridCol w:w="126"/>
        <w:gridCol w:w="126"/>
        <w:gridCol w:w="126"/>
        <w:gridCol w:w="299"/>
        <w:gridCol w:w="299"/>
        <w:gridCol w:w="303"/>
        <w:gridCol w:w="109"/>
        <w:gridCol w:w="109"/>
        <w:gridCol w:w="109"/>
        <w:gridCol w:w="502"/>
        <w:gridCol w:w="502"/>
        <w:gridCol w:w="720"/>
      </w:tblGrid>
      <w:tr>
        <w:trPr/>
        <w:tc>
          <w:tcPr>
            <w:tcW w:w="209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color w:val="000000"/>
                <w:sz w:val="20"/>
              </w:rPr>
            </w:pPr>
            <w:r>
              <w:rPr>
                <w:rFonts w:ascii="Arial;sans-serif" w:hAnsi="Arial;sans-serif"/>
                <w:b/>
                <w:color w:val="000000"/>
                <w:sz w:val="20"/>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restart"/>
            <w:tcBorders/>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color w:val="000000"/>
                <w:sz w:val="20"/>
              </w:rPr>
            </w:pPr>
            <w:r>
              <w:rPr>
                <w:rFonts w:ascii="Arial;sans-serif" w:hAnsi="Arial;sans-serif"/>
                <w:b/>
                <w:color w:val="000000"/>
                <w:sz w:val="20"/>
              </w:rPr>
              <w:t>Base Salary Change</w:t>
            </w:r>
          </w:p>
        </w:tc>
      </w:tr>
      <w:tr>
        <w:trPr/>
        <w:tc>
          <w:tcPr>
            <w:tcW w:w="5647"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color w:val="000000"/>
                <w:sz w:val="20"/>
              </w:rPr>
            </w:pPr>
            <w:r>
              <w:rPr>
                <w:rFonts w:ascii="Arial;sans-serif" w:hAnsi="Arial;sans-serif"/>
                <w:b/>
                <w:color w:val="000000"/>
                <w:sz w:val="20"/>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283"/>
              <w:jc w:val="left"/>
              <w:rPr>
                <w:rFonts w:ascii="Arial;sans-serif" w:hAnsi="Arial;sans-serif"/>
                <w:b w:val="false"/>
                <w:color w:val="000000"/>
                <w:sz w:val="20"/>
              </w:rPr>
            </w:pPr>
            <w:r>
              <w:rPr>
                <w:rFonts w:ascii="Arial;sans-serif" w:hAnsi="Arial;sans-serif"/>
                <w:b w:val="false"/>
                <w:color w:val="000000"/>
                <w:sz w:val="20"/>
              </w:rPr>
              <w:t>David Chang, M.D., Ph.D.</w:t>
            </w:r>
          </w:p>
          <w:p>
            <w:pPr>
              <w:pStyle w:val="TableContents"/>
              <w:bidi w:val="0"/>
              <w:spacing w:lineRule="auto" w:line="333" w:before="0" w:after="30"/>
              <w:ind w:left="0" w:right="0" w:firstLine="304"/>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center"/>
              <w:rPr>
                <w:rFonts w:ascii="Arial;sans-serif" w:hAnsi="Arial;sans-serif"/>
                <w:b w:val="false"/>
                <w:color w:val="000000"/>
                <w:sz w:val="20"/>
              </w:rPr>
            </w:pPr>
            <w:r>
              <w:rPr>
                <w:rFonts w:ascii="Arial;sans-serif" w:hAnsi="Arial;sans-serif"/>
                <w:b w:val="false"/>
                <w:color w:val="000000"/>
                <w:sz w:val="20"/>
              </w:rPr>
              <w:t>$724,000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center"/>
              <w:rPr>
                <w:rFonts w:ascii="Arial;sans-serif" w:hAnsi="Arial;sans-serif"/>
                <w:b w:val="false"/>
                <w:color w:val="000000"/>
                <w:sz w:val="20"/>
              </w:rPr>
            </w:pPr>
            <w:r>
              <w:rPr>
                <w:rFonts w:ascii="Arial;sans-serif" w:hAnsi="Arial;sans-serif"/>
                <w:b w:val="false"/>
                <w:color w:val="000000"/>
                <w:sz w:val="20"/>
              </w:rPr>
              <w:t>$724,000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55" w:after="30"/>
              <w:jc w:val="center"/>
              <w:rPr>
                <w:rFonts w:ascii="Arial;sans-serif" w:hAnsi="Arial;sans-serif"/>
                <w:b/>
                <w:color w:val="000000"/>
                <w:sz w:val="20"/>
              </w:rPr>
            </w:pPr>
            <w:r>
              <w:rPr>
                <w:rFonts w:ascii="Arial;sans-serif" w:hAnsi="Arial;sans-serif"/>
                <w:b/>
                <w:color w:val="000000"/>
                <w:sz w:val="20"/>
              </w:rPr>
              <w:t>0%</w:t>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333" w:before="75" w:after="283"/>
              <w:jc w:val="left"/>
              <w:rPr>
                <w:rFonts w:ascii="Arial;sans-serif" w:hAnsi="Arial;sans-serif"/>
                <w:b w:val="false"/>
                <w:color w:val="000000"/>
                <w:sz w:val="20"/>
              </w:rPr>
            </w:pPr>
            <w:r>
              <w:rPr>
                <w:rFonts w:ascii="Arial;sans-serif" w:hAnsi="Arial;sans-serif"/>
                <w:b w:val="false"/>
                <w:color w:val="000000"/>
                <w:sz w:val="20"/>
              </w:rPr>
              <w:t>Zachary Roberts, M.D., Ph.D.</w:t>
            </w:r>
          </w:p>
          <w:p>
            <w:pPr>
              <w:pStyle w:val="TableContents"/>
              <w:bidi w:val="0"/>
              <w:spacing w:lineRule="auto" w:line="333" w:before="0" w:after="30"/>
              <w:jc w:val="left"/>
              <w:rPr>
                <w:rFonts w:ascii="Arial;sans-serif" w:hAnsi="Arial;sans-serif"/>
                <w:b w:val="false"/>
                <w:color w:val="000000"/>
                <w:sz w:val="20"/>
              </w:rPr>
            </w:pPr>
            <w:r>
              <w:rPr>
                <w:rFonts w:ascii="Arial;sans-serif" w:hAnsi="Arial;sans-serif"/>
                <w:b w:val="false"/>
                <w:color w:val="000000"/>
                <w:sz w:val="20"/>
              </w:rPr>
              <w:t>Executive Vice President, Research and Development and Chief Medical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val="false"/>
                <w:color w:val="000000"/>
                <w:sz w:val="20"/>
              </w:rPr>
            </w:pPr>
            <w:r>
              <w:rPr>
                <w:rFonts w:ascii="Arial;sans-serif" w:hAnsi="Arial;sans-serif"/>
                <w:b w:val="false"/>
                <w:color w:val="000000"/>
                <w:sz w:val="20"/>
              </w:rPr>
              <w:t>$530,207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val="false"/>
                <w:color w:val="000000"/>
                <w:sz w:val="20"/>
              </w:rPr>
            </w:pPr>
            <w:r>
              <w:rPr>
                <w:rFonts w:ascii="Arial;sans-serif" w:hAnsi="Arial;sans-serif"/>
                <w:b w:val="false"/>
                <w:color w:val="000000"/>
                <w:sz w:val="20"/>
              </w:rPr>
              <w:t>$530,207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center"/>
              <w:rPr>
                <w:rFonts w:ascii="Arial;sans-serif" w:hAnsi="Arial;sans-serif"/>
                <w:b/>
                <w:color w:val="000000"/>
                <w:sz w:val="20"/>
              </w:rPr>
            </w:pPr>
            <w:r>
              <w:rPr>
                <w:rFonts w:ascii="Arial;sans-serif" w:hAnsi="Arial;sans-serif"/>
                <w:b/>
                <w:color w:val="000000"/>
                <w:sz w:val="20"/>
              </w:rPr>
              <w:t>0%</w:t>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Geoffrey Parker</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rFonts w:ascii="Arial;sans-serif" w:hAnsi="Arial;sans-serif"/>
                <w:b/>
                <w:color w:val="000000"/>
                <w:sz w:val="20"/>
              </w:rPr>
            </w:pPr>
            <w:r>
              <w:rPr>
                <w:rFonts w:ascii="Arial;sans-serif" w:hAnsi="Arial;sans-serif"/>
                <w:b/>
                <w:color w:val="000000"/>
                <w:sz w:val="20"/>
              </w:rPr>
              <w:t>0%</w:t>
            </w:r>
          </w:p>
        </w:tc>
      </w:tr>
    </w:tbl>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2025 Annual Performance-Based Cash Incentive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Our Named Executive Officers are eligible to receive annual performance-based cash incentives, which are designed to provide appropriate incentives to our executive officers to achieve pre-established annual corporate goals and to reward them for individual performance towards these goals. The annual performance-based cash incentive each Named Executive Officer is eligible to receive is generally based on the extent to which we achieve the corporate goals that our Board establishes at the start of each year. At the end of the year, our Board and the Compensation Committee review our performance and approve the extent to which we achieved each of these annual corporate goals. Although our Board and the Compensation Committee, as applicable, will assess each Named Executive Officer’s individual contributions towards reaching our annual corporate goals, annual performance-based cash incentive awards for all Named Executive Officers are typically based only on the level of achievement of the annual corporate goals, and the Board and the Compensation Committee do not typically establish specific individual goals for our Named Executive Officers. This approach is consistent with our "One Allogene" culture, and reflects our belief that our leadership team should be unified in its pursuit of strategic execution and should share equally in the Company's successes and shortfalls. Any adjustments to such awards based on individual performance are discretionary, and such discretion was not exercised in 2025.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For 2025, the target annual performance-based cash incentive percentages were unchanged from 2024 and were as follows:</w:t>
      </w:r>
    </w:p>
    <w:tbl>
      <w:tblPr>
        <w:tblW w:w="5876" w:type="dxa"/>
        <w:jc w:val="center"/>
        <w:tblInd w:w="0" w:type="dxa"/>
        <w:tblLayout w:type="fixed"/>
        <w:tblCellMar>
          <w:top w:w="28" w:type="dxa"/>
          <w:left w:w="28" w:type="dxa"/>
          <w:bottom w:w="28" w:type="dxa"/>
          <w:right w:w="28" w:type="dxa"/>
        </w:tblCellMar>
      </w:tblPr>
      <w:tblGrid>
        <w:gridCol w:w="1068"/>
        <w:gridCol w:w="939"/>
        <w:gridCol w:w="948"/>
        <w:gridCol w:w="109"/>
        <w:gridCol w:w="109"/>
        <w:gridCol w:w="109"/>
        <w:gridCol w:w="759"/>
        <w:gridCol w:w="759"/>
        <w:gridCol w:w="1076"/>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color w:val="000000"/>
                <w:sz w:val="20"/>
              </w:rPr>
            </w:pPr>
            <w:r>
              <w:rPr>
                <w:rFonts w:ascii="Arial;sans-serif" w:hAnsi="Arial;sans-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333" w:before="75" w:after="283"/>
              <w:jc w:val="left"/>
              <w:rPr>
                <w:rFonts w:ascii="Arial;sans-serif" w:hAnsi="Arial;sans-serif"/>
                <w:b/>
                <w:color w:val="000000"/>
                <w:sz w:val="20"/>
              </w:rPr>
            </w:pPr>
            <w:r>
              <w:rPr>
                <w:rFonts w:ascii="Arial;sans-serif" w:hAnsi="Arial;sans-serif"/>
                <w:b/>
                <w:color w:val="000000"/>
                <w:sz w:val="20"/>
              </w:rPr>
              <w:t>2025 Target Incentive % of</w:t>
            </w:r>
          </w:p>
          <w:p>
            <w:pPr>
              <w:pStyle w:val="TableContents"/>
              <w:bidi w:val="0"/>
              <w:spacing w:lineRule="auto" w:line="333" w:before="0" w:after="30"/>
              <w:jc w:val="left"/>
              <w:rPr>
                <w:rFonts w:ascii="Arial;sans-serif" w:hAnsi="Arial;sans-serif"/>
                <w:b/>
                <w:color w:val="000000"/>
                <w:sz w:val="20"/>
              </w:rPr>
            </w:pPr>
            <w:r>
              <w:rPr>
                <w:rFonts w:ascii="Arial;sans-serif" w:hAnsi="Arial;sans-serif"/>
                <w:b/>
                <w:color w:val="000000"/>
                <w:sz w:val="20"/>
              </w:rPr>
              <w:t>Base Salary</w:t>
            </w:r>
          </w:p>
        </w:tc>
      </w:tr>
      <w:tr>
        <w:trPr/>
        <w:tc>
          <w:tcPr>
            <w:tcW w:w="2955" w:type="dxa"/>
            <w:gridSpan w:val="3"/>
            <w:tcBorders>
              <w:top w:val="single" w:sz="8" w:space="0" w:color="3A3C72"/>
            </w:tcBorders>
            <w:shd w:fill="FFFEFD" w:val="clear"/>
            <w:tcMar>
              <w:top w:w="30" w:type="dxa"/>
              <w:left w:w="0" w:type="dxa"/>
              <w:bottom w:w="0" w:type="dxa"/>
              <w:right w:w="0" w:type="dxa"/>
            </w:tcMar>
            <w:vAlign w:val="center"/>
          </w:tcPr>
          <w:p>
            <w:pPr>
              <w:pStyle w:val="TableContents"/>
              <w:bidi w:val="0"/>
              <w:spacing w:lineRule="auto" w:line="333" w:before="55" w:after="3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27" w:type="dxa"/>
            <w:gridSpan w:val="3"/>
            <w:tcBorders/>
            <w:shd w:fill="FFFEF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3A3C72"/>
            </w:tcBorders>
            <w:shd w:fill="FFFEFD" w:val="clear"/>
            <w:tcMar>
              <w:top w:w="30" w:type="dxa"/>
              <w:left w:w="0" w:type="dxa"/>
              <w:bottom w:w="0" w:type="dxa"/>
              <w:right w:w="0" w:type="dxa"/>
            </w:tcMar>
            <w:vAlign w:val="center"/>
          </w:tcPr>
          <w:p>
            <w:pPr>
              <w:pStyle w:val="TableContents"/>
              <w:bidi w:val="0"/>
              <w:spacing w:lineRule="auto" w:line="333" w:before="55" w:after="30"/>
              <w:jc w:val="left"/>
              <w:rPr>
                <w:rFonts w:ascii="Arial;sans-serif" w:hAnsi="Arial;sans-serif"/>
                <w:b w:val="false"/>
                <w:color w:val="000000"/>
                <w:sz w:val="20"/>
              </w:rPr>
            </w:pPr>
            <w:r>
              <w:rPr>
                <w:rFonts w:ascii="Arial;sans-serif" w:hAnsi="Arial;sans-serif"/>
                <w:b w:val="false"/>
                <w:color w:val="000000"/>
                <w:sz w:val="20"/>
              </w:rPr>
              <w:t>65%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val="false"/>
                <w:color w:val="000000"/>
                <w:sz w:val="20"/>
              </w:rPr>
            </w:pPr>
            <w:r>
              <w:rPr>
                <w:rFonts w:ascii="Arial;sans-serif" w:hAnsi="Arial;sans-serif"/>
                <w:b w:val="false"/>
                <w:color w:val="000000"/>
                <w:sz w:val="20"/>
              </w:rPr>
              <w:t>Other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val="false"/>
                <w:color w:val="000000"/>
                <w:sz w:val="20"/>
              </w:rPr>
            </w:pPr>
            <w:r>
              <w:rPr>
                <w:rFonts w:ascii="Arial;sans-serif" w:hAnsi="Arial;sans-serif"/>
                <w:b w:val="false"/>
                <w:color w:val="000000"/>
                <w:sz w:val="20"/>
              </w:rPr>
              <w:t>45%</w:t>
            </w:r>
          </w:p>
        </w:tc>
      </w:tr>
    </w:tbl>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Our Board and the Compensation Committee may award above-target cash incentives for extraordinary performance as measured against pre-established stretch goals.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For 2025, our corporate goals were organized around three strategic objectives: (i) delivering on our cema</w:t>
        <w:noBreakHyphen/>
        <w:t>cel ALPHA3 study, (ii) advancing our pipeline (including progress on ALLO</w:t>
        <w:noBreakHyphen/>
        <w:t xml:space="preserve">329 and other pipeline initiatives), and (iii) managing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3"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Company operations. Each strategic objective is comprised of specific core goals aligned to our annual operating plan and corresponding stretch goals designed to drive performance against more ambitious outcomes. The program design weighted core goals to a total of 100% and stretch goals to a total of 50%, with achievement of the core goals intended to drive target funding levels and achievement of the stretch goals providing the opportunity for above</w:t>
        <w:noBreakHyphen/>
        <w:t>target outcomes, up to 150% of target.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Throughout 2025, the Compensation Committee maintained active oversight of progress against the corporate goals. At its June 2025 meeting, the Compensation Committee conducted a mid</w:t>
        <w:noBreakHyphen/>
        <w:t>year review of progress toward the 2025 Corporate Goals, including discussion of goals that had been completed, were on track, or were at risk. The Compensation Committee revisited progress later in the year, including at its December 2025 meeting, at which management reviewed progress to date and provided preliminary views on expected achievement levels.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January 2026, the Compensation Committee and our Board undertook a more comprehensive review of performance against the 2025 Corporate Goals and determined that our 2025 goals were achieved at 85% of target. Consequently, the Compensation Committee approved awarding Dr. Roberts and Mr. Parker 85% of their respective target annual cash incentive opportunities for 2025, and recommended, with Board approval, awarding Dr. Chang 85% of his target annual cash incentive opportunity for 2025.</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Below is a detailed breakdown of our 2025 annual corporate goals and the level of achievement for each goal, reflecting our ongoing commitment to transparency regarding goals, except specific clinical enrollment targets, which remain confidential due to competitive and clinical trial integrity considerations. We have disclosed comprehensive performance details for all other metrics to provide a clearer view into the rigor and alignment of our pay practices with strategic milestones. We believe this high level of transparency demonstrates our commitment to clear accountability and the alignment our program creates between executive and stockholder interests.</w:t>
      </w:r>
    </w:p>
    <w:tbl>
      <w:tblPr>
        <w:tblW w:w="10205" w:type="dxa"/>
        <w:jc w:val="center"/>
        <w:tblInd w:w="0" w:type="dxa"/>
        <w:tblLayout w:type="fixed"/>
        <w:tblCellMar>
          <w:top w:w="28" w:type="dxa"/>
          <w:left w:w="28" w:type="dxa"/>
          <w:bottom w:w="28" w:type="dxa"/>
          <w:right w:w="28" w:type="dxa"/>
        </w:tblCellMar>
      </w:tblPr>
      <w:tblGrid>
        <w:gridCol w:w="759"/>
        <w:gridCol w:w="633"/>
        <w:gridCol w:w="638"/>
        <w:gridCol w:w="777"/>
        <w:gridCol w:w="777"/>
        <w:gridCol w:w="784"/>
        <w:gridCol w:w="426"/>
        <w:gridCol w:w="426"/>
        <w:gridCol w:w="428"/>
        <w:gridCol w:w="1163"/>
        <w:gridCol w:w="1031"/>
        <w:gridCol w:w="1030"/>
        <w:gridCol w:w="388"/>
        <w:gridCol w:w="388"/>
        <w:gridCol w:w="557"/>
      </w:tblGrid>
      <w:tr>
        <w:trPr/>
        <w:tc>
          <w:tcPr>
            <w:tcW w:w="75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CDC6C0"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20"/>
              </w:rPr>
            </w:pPr>
            <w:r>
              <w:rPr>
                <w:rFonts w:ascii="Arial;sans-serif" w:hAnsi="Arial;sans-serif"/>
                <w:b/>
                <w:color w:val="05686F"/>
                <w:sz w:val="20"/>
              </w:rPr>
              <w:t>Goal Category</w:t>
            </w:r>
          </w:p>
        </w:tc>
        <w:tc>
          <w:tcPr>
            <w:tcW w:w="2338" w:type="dxa"/>
            <w:gridSpan w:val="3"/>
            <w:tcBorders/>
            <w:shd w:fill="CDC6C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5686F"/>
                <w:sz w:val="20"/>
              </w:rPr>
            </w:pPr>
            <w:r>
              <w:rPr>
                <w:rFonts w:ascii="Arial;sans-serif" w:hAnsi="Arial;sans-serif"/>
                <w:b/>
                <w:color w:val="05686F"/>
                <w:sz w:val="20"/>
              </w:rPr>
              <w:t>Core Goals</w:t>
            </w:r>
          </w:p>
        </w:tc>
        <w:tc>
          <w:tcPr>
            <w:tcW w:w="1280" w:type="dxa"/>
            <w:gridSpan w:val="3"/>
            <w:tcBorders/>
            <w:shd w:fill="CDC6C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5686F"/>
                <w:sz w:val="20"/>
              </w:rPr>
            </w:pPr>
            <w:r>
              <w:rPr>
                <w:rFonts w:ascii="Arial;sans-serif" w:hAnsi="Arial;sans-serif"/>
                <w:b/>
                <w:color w:val="05686F"/>
                <w:sz w:val="20"/>
              </w:rPr>
              <w:t>Core</w:t>
            </w:r>
          </w:p>
          <w:p>
            <w:pPr>
              <w:pStyle w:val="TableContents"/>
              <w:bidi w:val="0"/>
              <w:spacing w:lineRule="auto" w:line="288" w:before="0" w:after="0"/>
              <w:jc w:val="center"/>
              <w:rPr>
                <w:rFonts w:ascii="Arial;sans-serif" w:hAnsi="Arial;sans-serif"/>
                <w:b/>
                <w:color w:val="05686F"/>
                <w:sz w:val="20"/>
              </w:rPr>
            </w:pPr>
            <w:r>
              <w:rPr>
                <w:rFonts w:ascii="Arial;sans-serif" w:hAnsi="Arial;sans-serif"/>
                <w:b/>
                <w:color w:val="05686F"/>
                <w:sz w:val="20"/>
              </w:rPr>
              <w:t>Goal Weighting</w:t>
            </w:r>
          </w:p>
        </w:tc>
        <w:tc>
          <w:tcPr>
            <w:tcW w:w="3224" w:type="dxa"/>
            <w:gridSpan w:val="3"/>
            <w:tcBorders/>
            <w:shd w:fill="CDC6C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5686F"/>
                <w:sz w:val="20"/>
              </w:rPr>
            </w:pPr>
            <w:r>
              <w:rPr>
                <w:rFonts w:ascii="Arial;sans-serif" w:hAnsi="Arial;sans-serif"/>
                <w:b/>
                <w:color w:val="05686F"/>
                <w:sz w:val="20"/>
              </w:rPr>
              <w:t>Stretch Goals</w:t>
            </w:r>
          </w:p>
        </w:tc>
        <w:tc>
          <w:tcPr>
            <w:tcW w:w="1333" w:type="dxa"/>
            <w:gridSpan w:val="3"/>
            <w:tcBorders>
              <w:right w:val="single" w:sz="12" w:space="0" w:color="CDC6C0"/>
            </w:tcBorders>
            <w:shd w:fill="CDC6C0" w:val="clear"/>
            <w:tcMar>
              <w:top w:w="0" w:type="dxa"/>
              <w:left w:w="0" w:type="dxa"/>
              <w:bottom w:w="0" w:type="dxa"/>
            </w:tcMar>
            <w:vAlign w:val="center"/>
          </w:tcPr>
          <w:p>
            <w:pPr>
              <w:pStyle w:val="TableContents"/>
              <w:bidi w:val="0"/>
              <w:spacing w:lineRule="auto" w:line="288" w:before="0" w:after="0"/>
              <w:jc w:val="center"/>
              <w:rPr>
                <w:rFonts w:ascii="Arial;sans-serif" w:hAnsi="Arial;sans-serif"/>
                <w:b/>
                <w:color w:val="05686F"/>
                <w:sz w:val="20"/>
              </w:rPr>
            </w:pPr>
            <w:r>
              <w:rPr>
                <w:rFonts w:ascii="Arial;sans-serif" w:hAnsi="Arial;sans-serif"/>
                <w:b/>
                <w:color w:val="05686F"/>
                <w:sz w:val="20"/>
              </w:rPr>
              <w:t>Stretch</w:t>
            </w:r>
          </w:p>
          <w:p>
            <w:pPr>
              <w:pStyle w:val="TableContents"/>
              <w:bidi w:val="0"/>
              <w:spacing w:lineRule="auto" w:line="288" w:before="0" w:after="0"/>
              <w:jc w:val="center"/>
              <w:rPr>
                <w:rFonts w:ascii="Arial;sans-serif" w:hAnsi="Arial;sans-serif"/>
                <w:b/>
                <w:color w:val="05686F"/>
                <w:sz w:val="20"/>
              </w:rPr>
            </w:pPr>
            <w:r>
              <w:rPr>
                <w:rFonts w:ascii="Arial;sans-serif" w:hAnsi="Arial;sans-serif"/>
                <w:b/>
                <w:color w:val="05686F"/>
                <w:sz w:val="20"/>
              </w:rPr>
              <w:t>Goal Weighting</w:t>
            </w:r>
          </w:p>
        </w:tc>
      </w:tr>
      <w:tr>
        <w:trPr/>
        <w:tc>
          <w:tcPr>
            <w:tcW w:w="2030" w:type="dxa"/>
            <w:gridSpan w:val="3"/>
            <w:vMerge w:val="restart"/>
            <w:tcBorders/>
            <w:shd w:fill="0E686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FFFFFF"/>
                <w:sz w:val="18"/>
              </w:rPr>
            </w:pPr>
            <w:r>
              <w:rPr>
                <w:rFonts w:ascii="Arial;sans-serif" w:hAnsi="Arial;sans-serif"/>
                <w:b w:val="false"/>
                <w:color w:val="FFFFFF"/>
                <w:sz w:val="18"/>
              </w:rPr>
              <w:t>Execute on Cema-Cel ALPHA3 Study</w:t>
            </w:r>
          </w:p>
        </w:tc>
        <w:tc>
          <w:tcPr>
            <w:tcW w:w="23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Determine lymphodepletion regimen</w:t>
            </w:r>
          </w:p>
        </w:tc>
        <w:tc>
          <w:tcPr>
            <w:tcW w:w="1280" w:type="dxa"/>
            <w:gridSpan w:val="3"/>
            <w:tcBorders>
              <w:left w:val="single" w:sz="12" w:space="0" w:color="CDC6C0"/>
            </w:tcBorders>
            <w:tcMar>
              <w:top w:w="0" w:type="dxa"/>
              <w:left w:w="37"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20%</w:t>
            </w:r>
          </w:p>
        </w:tc>
        <w:tc>
          <w:tcPr>
            <w:tcW w:w="3224" w:type="dxa"/>
            <w:gridSpan w:val="3"/>
            <w:tcBorders>
              <w:left w:val="single" w:sz="12" w:space="0" w:color="CDC6C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left w:val="single" w:sz="12" w:space="0" w:color="CDC6C0"/>
              <w:right w:val="single" w:sz="12" w:space="0" w:color="CDC6C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030" w:type="dxa"/>
            <w:gridSpan w:val="3"/>
            <w:vMerge w:val="continue"/>
            <w:tcBorders/>
            <w:shd w:fill="0E686F" w:val="clear"/>
            <w:tcMar>
              <w:top w:w="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Activate 50th clinical trial site</w:t>
            </w:r>
          </w:p>
        </w:tc>
        <w:tc>
          <w:tcPr>
            <w:tcW w:w="1280"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10%</w:t>
            </w:r>
          </w:p>
        </w:tc>
        <w:tc>
          <w:tcPr>
            <w:tcW w:w="3224" w:type="dxa"/>
            <w:gridSpan w:val="3"/>
            <w:tcBorders>
              <w:top w:val="single" w:sz="4" w:space="0" w:color="B6B6B6"/>
              <w:left w:val="single" w:sz="12" w:space="0" w:color="CDC6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B6B6B6"/>
              <w:left w:val="single" w:sz="12" w:space="0" w:color="CDC6C0"/>
              <w:right w:val="single" w:sz="12" w:space="0" w:color="CDC6C0"/>
            </w:tcBorders>
            <w:tcMar>
              <w:bottom w:w="0" w:type="dxa"/>
            </w:tcMar>
            <w:vAlign w:val="center"/>
          </w:tcPr>
          <w:p>
            <w:pPr>
              <w:pStyle w:val="TableContents"/>
              <w:bidi w:val="0"/>
              <w:spacing w:before="0" w:after="283"/>
              <w:jc w:val="left"/>
              <w:rPr>
                <w:sz w:val="4"/>
                <w:szCs w:val="4"/>
              </w:rPr>
            </w:pPr>
            <w:r>
              <w:rPr>
                <w:sz w:val="4"/>
                <w:szCs w:val="4"/>
              </w:rPr>
            </w:r>
          </w:p>
        </w:tc>
      </w:tr>
      <w:tr>
        <w:trPr/>
        <w:tc>
          <w:tcPr>
            <w:tcW w:w="2030" w:type="dxa"/>
            <w:gridSpan w:val="3"/>
            <w:vMerge w:val="continue"/>
            <w:tcBorders/>
            <w:shd w:fill="0E686F" w:val="clear"/>
            <w:tcMar>
              <w:top w:w="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Activate 1st Ex-U.S. clinical trial site</w:t>
            </w:r>
          </w:p>
        </w:tc>
        <w:tc>
          <w:tcPr>
            <w:tcW w:w="1280"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10%</w:t>
            </w:r>
          </w:p>
        </w:tc>
        <w:tc>
          <w:tcPr>
            <w:tcW w:w="3224" w:type="dxa"/>
            <w:gridSpan w:val="3"/>
            <w:tcBorders>
              <w:top w:val="single" w:sz="4" w:space="0" w:color="B6B6B6"/>
              <w:left w:val="single" w:sz="12" w:space="0" w:color="CDC6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B6B6B6"/>
              <w:left w:val="single" w:sz="12" w:space="0" w:color="CDC6C0"/>
              <w:right w:val="single" w:sz="12" w:space="0" w:color="CDC6C0"/>
            </w:tcBorders>
            <w:tcMar>
              <w:bottom w:w="0" w:type="dxa"/>
            </w:tcMar>
            <w:vAlign w:val="center"/>
          </w:tcPr>
          <w:p>
            <w:pPr>
              <w:pStyle w:val="TableContents"/>
              <w:bidi w:val="0"/>
              <w:spacing w:before="0" w:after="283"/>
              <w:jc w:val="left"/>
              <w:rPr>
                <w:sz w:val="4"/>
                <w:szCs w:val="4"/>
              </w:rPr>
            </w:pPr>
            <w:r>
              <w:rPr>
                <w:sz w:val="4"/>
                <w:szCs w:val="4"/>
              </w:rPr>
            </w:r>
          </w:p>
        </w:tc>
      </w:tr>
      <w:tr>
        <w:trPr/>
        <w:tc>
          <w:tcPr>
            <w:tcW w:w="2030" w:type="dxa"/>
            <w:gridSpan w:val="3"/>
            <w:vMerge w:val="continue"/>
            <w:tcBorders/>
            <w:shd w:fill="0E686F" w:val="clear"/>
            <w:tcMar>
              <w:top w:w="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Enroll X patients</w:t>
            </w:r>
          </w:p>
        </w:tc>
        <w:tc>
          <w:tcPr>
            <w:tcW w:w="1280" w:type="dxa"/>
            <w:gridSpan w:val="3"/>
            <w:tcBorders>
              <w:top w:val="single" w:sz="4" w:space="0" w:color="B6B6B6"/>
              <w:left w:val="single" w:sz="12" w:space="0" w:color="CDC6C0"/>
            </w:tcBorders>
            <w:tcMar>
              <w:top w:w="30" w:type="dxa"/>
              <w:left w:w="37"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24" w:type="dxa"/>
            <w:gridSpan w:val="3"/>
            <w:tcBorders>
              <w:top w:val="single" w:sz="4" w:space="0" w:color="B6B6B6"/>
              <w:left w:val="single" w:sz="12" w:space="0" w:color="CDC6C0"/>
            </w:tcBorders>
            <w:tcMar>
              <w:top w:w="30" w:type="dxa"/>
              <w:left w:w="20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Exceed enrollment of X patients by 33%</w:t>
            </w:r>
          </w:p>
        </w:tc>
        <w:tc>
          <w:tcPr>
            <w:tcW w:w="1333" w:type="dxa"/>
            <w:gridSpan w:val="3"/>
            <w:tcBorders>
              <w:top w:val="single" w:sz="4" w:space="0" w:color="B6B6B6"/>
              <w:left w:val="single" w:sz="12" w:space="0" w:color="CDC6C0"/>
              <w:right w:val="single" w:sz="12" w:space="0" w:color="CDC6C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2030" w:type="dxa"/>
            <w:gridSpan w:val="3"/>
            <w:vMerge w:val="restart"/>
            <w:tcBorders>
              <w:top w:val="single" w:sz="12" w:space="0" w:color="CDC6C0"/>
            </w:tcBorders>
            <w:shd w:fill="0E686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FFFFFF"/>
                <w:sz w:val="18"/>
              </w:rPr>
            </w:pPr>
            <w:r>
              <w:rPr>
                <w:rFonts w:ascii="Arial;sans-serif" w:hAnsi="Arial;sans-serif"/>
                <w:b w:val="false"/>
                <w:color w:val="FFFFFF"/>
                <w:sz w:val="18"/>
              </w:rPr>
              <w:t>Advance the Pipeline</w:t>
            </w:r>
          </w:p>
        </w:tc>
        <w:tc>
          <w:tcPr>
            <w:tcW w:w="2338" w:type="dxa"/>
            <w:gridSpan w:val="3"/>
            <w:tcBorders>
              <w:top w:val="single" w:sz="12" w:space="0" w:color="CDC6C0"/>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Receive ALLO-329 IND Clearance</w:t>
            </w:r>
          </w:p>
        </w:tc>
        <w:tc>
          <w:tcPr>
            <w:tcW w:w="1280" w:type="dxa"/>
            <w:gridSpan w:val="3"/>
            <w:tcBorders>
              <w:top w:val="single" w:sz="12" w:space="0" w:color="CDC6C0"/>
              <w:left w:val="single" w:sz="12" w:space="0" w:color="CDC6C0"/>
            </w:tcBorders>
            <w:tcMar>
              <w:top w:w="30" w:type="dxa"/>
              <w:left w:w="37"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c>
          <w:tcPr>
            <w:tcW w:w="3224" w:type="dxa"/>
            <w:gridSpan w:val="3"/>
            <w:tcBorders>
              <w:top w:val="single" w:sz="12" w:space="0" w:color="CDC6C0"/>
              <w:left w:val="single" w:sz="12" w:space="0" w:color="CDC6C0"/>
            </w:tcBorders>
            <w:tcMar>
              <w:top w:w="30" w:type="dxa"/>
              <w:left w:w="20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Enroll Y patients in ALLO-329</w:t>
            </w:r>
          </w:p>
        </w:tc>
        <w:tc>
          <w:tcPr>
            <w:tcW w:w="1333" w:type="dxa"/>
            <w:gridSpan w:val="3"/>
            <w:tcBorders>
              <w:top w:val="single" w:sz="12" w:space="0" w:color="CDC6C0"/>
              <w:left w:val="single" w:sz="12" w:space="0" w:color="CDC6C0"/>
              <w:right w:val="single" w:sz="12" w:space="0" w:color="CDC6C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030" w:type="dxa"/>
            <w:gridSpan w:val="3"/>
            <w:vMerge w:val="continue"/>
            <w:tcBorders>
              <w:top w:val="single" w:sz="12" w:space="0" w:color="CDC6C0"/>
            </w:tcBorders>
            <w:shd w:fill="0E686F" w:val="clear"/>
            <w:tcMar>
              <w:top w:w="3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Deliver ALLO-329 clinical supply</w:t>
            </w:r>
          </w:p>
        </w:tc>
        <w:tc>
          <w:tcPr>
            <w:tcW w:w="1280" w:type="dxa"/>
            <w:gridSpan w:val="3"/>
            <w:tcBorders>
              <w:top w:val="single" w:sz="4" w:space="0" w:color="B6B6B6"/>
              <w:left w:val="single" w:sz="12" w:space="0" w:color="CDC6C0"/>
            </w:tcBorders>
            <w:tcMar>
              <w:top w:w="30" w:type="dxa"/>
              <w:left w:w="37"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c>
          <w:tcPr>
            <w:tcW w:w="3224" w:type="dxa"/>
            <w:gridSpan w:val="3"/>
            <w:tcBorders>
              <w:top w:val="single" w:sz="4" w:space="0" w:color="B6B6B6"/>
              <w:left w:val="single" w:sz="12" w:space="0" w:color="CDC6C0"/>
            </w:tcBorders>
            <w:tcMar>
              <w:top w:w="30" w:type="dxa"/>
              <w:left w:w="20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Expand ALLO-329 INDa submission readiness beyond SLE, IIM, SSc</w:t>
            </w:r>
          </w:p>
        </w:tc>
        <w:tc>
          <w:tcPr>
            <w:tcW w:w="1333" w:type="dxa"/>
            <w:gridSpan w:val="3"/>
            <w:tcBorders>
              <w:top w:val="single" w:sz="4" w:space="0" w:color="B6B6B6"/>
              <w:left w:val="single" w:sz="12" w:space="0" w:color="CDC6C0"/>
              <w:right w:val="single" w:sz="12" w:space="0" w:color="CDC6C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2030" w:type="dxa"/>
            <w:gridSpan w:val="3"/>
            <w:vMerge w:val="continue"/>
            <w:tcBorders>
              <w:top w:val="single" w:sz="12" w:space="0" w:color="CDC6C0"/>
            </w:tcBorders>
            <w:shd w:fill="0E686F" w:val="clear"/>
            <w:tcMar>
              <w:top w:w="3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Dose ALLO-329 study</w:t>
            </w:r>
          </w:p>
        </w:tc>
        <w:tc>
          <w:tcPr>
            <w:tcW w:w="1280"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c>
          <w:tcPr>
            <w:tcW w:w="3224"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Present ALLO-316 Phase 1b data</w:t>
            </w:r>
          </w:p>
        </w:tc>
        <w:tc>
          <w:tcPr>
            <w:tcW w:w="1333" w:type="dxa"/>
            <w:gridSpan w:val="3"/>
            <w:tcBorders>
              <w:top w:val="single" w:sz="4" w:space="0" w:color="B6B6B6"/>
              <w:left w:val="single" w:sz="12" w:space="0" w:color="CDC6C0"/>
              <w:right w:val="single" w:sz="12" w:space="0" w:color="CDC6C0"/>
            </w:tcBorders>
            <w:tcMar>
              <w:top w:w="30" w:type="dxa"/>
              <w:bottom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r>
      <w:tr>
        <w:trPr/>
        <w:tc>
          <w:tcPr>
            <w:tcW w:w="2030" w:type="dxa"/>
            <w:gridSpan w:val="3"/>
            <w:vMerge w:val="continue"/>
            <w:tcBorders>
              <w:top w:val="single" w:sz="12" w:space="0" w:color="CDC6C0"/>
            </w:tcBorders>
            <w:shd w:fill="0E686F" w:val="clear"/>
            <w:tcMar>
              <w:top w:w="3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Activate Ex-U.S. ALLO-329 study</w:t>
            </w:r>
          </w:p>
        </w:tc>
        <w:tc>
          <w:tcPr>
            <w:tcW w:w="1280"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c>
          <w:tcPr>
            <w:tcW w:w="3224"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Nominate next IND candidate</w:t>
            </w:r>
          </w:p>
        </w:tc>
        <w:tc>
          <w:tcPr>
            <w:tcW w:w="1333" w:type="dxa"/>
            <w:gridSpan w:val="3"/>
            <w:tcBorders>
              <w:top w:val="single" w:sz="4" w:space="0" w:color="B6B6B6"/>
              <w:left w:val="single" w:sz="12" w:space="0" w:color="CDC6C0"/>
              <w:right w:val="single" w:sz="12" w:space="0" w:color="CDC6C0"/>
            </w:tcBorders>
            <w:tcMar>
              <w:top w:w="30" w:type="dxa"/>
              <w:bottom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r>
      <w:tr>
        <w:trPr/>
        <w:tc>
          <w:tcPr>
            <w:tcW w:w="2030" w:type="dxa"/>
            <w:gridSpan w:val="3"/>
            <w:vMerge w:val="continue"/>
            <w:tcBorders>
              <w:top w:val="single" w:sz="12" w:space="0" w:color="CDC6C0"/>
            </w:tcBorders>
            <w:shd w:fill="0E686F" w:val="clear"/>
            <w:tcMar>
              <w:top w:w="30" w:type="dxa"/>
              <w:left w:w="0" w:type="dxa"/>
              <w:bottom w:w="0" w:type="dxa"/>
              <w:right w:w="0" w:type="dxa"/>
            </w:tcMar>
            <w:vAlign w:val="center"/>
          </w:tcPr>
          <w:p>
            <w:pPr>
              <w:pStyle w:val="Normal"/>
              <w:bidi w:val="0"/>
              <w:jc w:val="left"/>
              <w:rPr/>
            </w:pPr>
            <w:r>
              <w:rPr/>
            </w:r>
          </w:p>
        </w:tc>
        <w:tc>
          <w:tcPr>
            <w:tcW w:w="23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Deliver ALLO-329 Proof of Concept</w:t>
            </w:r>
          </w:p>
        </w:tc>
        <w:tc>
          <w:tcPr>
            <w:tcW w:w="1280"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24" w:type="dxa"/>
            <w:gridSpan w:val="3"/>
            <w:tcBorders>
              <w:top w:val="single" w:sz="4" w:space="0" w:color="B6B6B6"/>
              <w:left w:val="single" w:sz="12" w:space="0" w:color="CDC6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B6B6B6"/>
              <w:left w:val="single" w:sz="12" w:space="0" w:color="CDC6C0"/>
              <w:right w:val="single" w:sz="12" w:space="0" w:color="CDC6C0"/>
            </w:tcBorders>
            <w:tcMar>
              <w:bottom w:w="0" w:type="dxa"/>
            </w:tcMar>
            <w:vAlign w:val="center"/>
          </w:tcPr>
          <w:p>
            <w:pPr>
              <w:pStyle w:val="TableContents"/>
              <w:bidi w:val="0"/>
              <w:spacing w:before="0" w:after="283"/>
              <w:jc w:val="left"/>
              <w:rPr>
                <w:sz w:val="4"/>
                <w:szCs w:val="4"/>
              </w:rPr>
            </w:pPr>
            <w:r>
              <w:rPr>
                <w:sz w:val="4"/>
                <w:szCs w:val="4"/>
              </w:rPr>
            </w:r>
          </w:p>
        </w:tc>
      </w:tr>
      <w:tr>
        <w:trPr/>
        <w:tc>
          <w:tcPr>
            <w:tcW w:w="2030" w:type="dxa"/>
            <w:gridSpan w:val="3"/>
            <w:vMerge w:val="restart"/>
            <w:tcBorders>
              <w:top w:val="single" w:sz="12" w:space="0" w:color="CDC6C0"/>
              <w:bottom w:val="single" w:sz="12" w:space="0" w:color="05686F"/>
            </w:tcBorders>
            <w:shd w:fill="0E686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FFFFFF"/>
                <w:sz w:val="18"/>
              </w:rPr>
            </w:pPr>
            <w:r>
              <w:rPr>
                <w:rFonts w:ascii="Arial;sans-serif" w:hAnsi="Arial;sans-serif"/>
                <w:b w:val="false"/>
                <w:color w:val="FFFFFF"/>
                <w:sz w:val="18"/>
              </w:rPr>
              <w:t>Manage Company</w:t>
            </w:r>
          </w:p>
          <w:p>
            <w:pPr>
              <w:pStyle w:val="TableContents"/>
              <w:bidi w:val="0"/>
              <w:spacing w:lineRule="auto" w:line="288" w:before="0" w:after="0"/>
              <w:jc w:val="left"/>
              <w:rPr>
                <w:rFonts w:ascii="Arial;sans-serif" w:hAnsi="Arial;sans-serif"/>
                <w:b w:val="false"/>
                <w:color w:val="FFFFFF"/>
                <w:sz w:val="18"/>
              </w:rPr>
            </w:pPr>
            <w:r>
              <w:rPr>
                <w:rFonts w:ascii="Arial;sans-serif" w:hAnsi="Arial;sans-serif"/>
                <w:b w:val="false"/>
                <w:color w:val="FFFFFF"/>
                <w:sz w:val="18"/>
              </w:rPr>
              <w:t>Operations</w:t>
            </w:r>
          </w:p>
        </w:tc>
        <w:tc>
          <w:tcPr>
            <w:tcW w:w="2338" w:type="dxa"/>
            <w:gridSpan w:val="3"/>
            <w:tcBorders>
              <w:top w:val="single" w:sz="12" w:space="0" w:color="CDC6C0"/>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Ensure 12 months cash on hand</w:t>
            </w:r>
          </w:p>
        </w:tc>
        <w:tc>
          <w:tcPr>
            <w:tcW w:w="1280" w:type="dxa"/>
            <w:gridSpan w:val="3"/>
            <w:tcBorders>
              <w:top w:val="single" w:sz="12" w:space="0" w:color="CDC6C0"/>
              <w:left w:val="single" w:sz="12" w:space="0" w:color="CDC6C0"/>
            </w:tcBorders>
            <w:tcMar>
              <w:top w:w="30" w:type="dxa"/>
              <w:left w:w="37" w:type="dxa"/>
              <w:bottom w:w="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c>
          <w:tcPr>
            <w:tcW w:w="3224" w:type="dxa"/>
            <w:gridSpan w:val="3"/>
            <w:tcBorders>
              <w:top w:val="single" w:sz="12" w:space="0" w:color="CDC6C0"/>
              <w:left w:val="single" w:sz="12" w:space="0" w:color="CDC6C0"/>
            </w:tcBorders>
            <w:tcMar>
              <w:top w:w="30" w:type="dxa"/>
              <w:bottom w:w="0" w:type="dxa"/>
              <w:right w:w="0" w:type="dxa"/>
            </w:tcMar>
            <w:vAlign w:val="center"/>
          </w:tcPr>
          <w:p>
            <w:pPr>
              <w:pStyle w:val="TableContents"/>
              <w:bidi w:val="0"/>
              <w:spacing w:lineRule="auto" w:line="288" w:before="0" w:after="0"/>
              <w:ind w:left="0" w:right="0" w:hanging="180"/>
              <w:jc w:val="left"/>
              <w:rPr>
                <w:color w:val="05686F"/>
              </w:rPr>
            </w:pPr>
            <w:r>
              <w:rPr>
                <w:color w:val="05686F"/>
              </w:rPr>
              <w:t xml:space="preserve">✓ </w:t>
            </w:r>
            <w:r>
              <w:rPr>
                <w:rFonts w:ascii="Arial;sans-serif" w:hAnsi="Arial;sans-serif"/>
                <w:b/>
                <w:color w:val="05686F"/>
                <w:sz w:val="18"/>
              </w:rPr>
              <w:t>Ensure 18 months cash on hand</w:t>
            </w:r>
          </w:p>
        </w:tc>
        <w:tc>
          <w:tcPr>
            <w:tcW w:w="1333" w:type="dxa"/>
            <w:gridSpan w:val="3"/>
            <w:tcBorders>
              <w:top w:val="single" w:sz="12" w:space="0" w:color="CDC6C0"/>
              <w:left w:val="single" w:sz="12" w:space="0" w:color="CDC6C0"/>
              <w:right w:val="single" w:sz="12" w:space="0" w:color="CDC6C0"/>
            </w:tcBorders>
            <w:tcMar>
              <w:top w:w="30" w:type="dxa"/>
              <w:left w:w="37" w:type="dxa"/>
              <w:bottom w:w="0" w:type="dxa"/>
              <w:right w:w="37"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r>
      <w:tr>
        <w:trPr/>
        <w:tc>
          <w:tcPr>
            <w:tcW w:w="2030" w:type="dxa"/>
            <w:gridSpan w:val="3"/>
            <w:vMerge w:val="continue"/>
            <w:tcBorders>
              <w:top w:val="single" w:sz="12" w:space="0" w:color="CDC6C0"/>
              <w:bottom w:val="single" w:sz="12" w:space="0" w:color="05686F"/>
            </w:tcBorders>
            <w:shd w:fill="0E686F" w:val="clear"/>
            <w:tcMar>
              <w:top w:w="30" w:type="dxa"/>
              <w:left w:w="0" w:type="dxa"/>
              <w:bottom w:w="30" w:type="dxa"/>
              <w:right w:w="0" w:type="dxa"/>
            </w:tcMar>
            <w:vAlign w:val="center"/>
          </w:tcPr>
          <w:p>
            <w:pPr>
              <w:pStyle w:val="Normal"/>
              <w:bidi w:val="0"/>
              <w:jc w:val="left"/>
              <w:rPr/>
            </w:pPr>
            <w:r>
              <w:rPr/>
            </w:r>
          </w:p>
        </w:tc>
        <w:tc>
          <w:tcPr>
            <w:tcW w:w="2338" w:type="dxa"/>
            <w:gridSpan w:val="3"/>
            <w:tcBorders>
              <w:top w:val="single" w:sz="4" w:space="0" w:color="B6B6B6"/>
              <w:left w:val="single" w:sz="12" w:space="0" w:color="CDC6C0"/>
            </w:tcBorders>
            <w:tcMar>
              <w:top w:w="30" w:type="dxa"/>
              <w:left w:w="20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Partner an asset</w:t>
            </w:r>
          </w:p>
        </w:tc>
        <w:tc>
          <w:tcPr>
            <w:tcW w:w="1280" w:type="dxa"/>
            <w:gridSpan w:val="3"/>
            <w:tcBorders>
              <w:top w:val="single" w:sz="4" w:space="0" w:color="B6B6B6"/>
              <w:left w:val="single" w:sz="12" w:space="0" w:color="CDC6C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24" w:type="dxa"/>
            <w:gridSpan w:val="3"/>
            <w:tcBorders>
              <w:top w:val="single" w:sz="4" w:space="0" w:color="B6B6B6"/>
              <w:left w:val="single" w:sz="12" w:space="0" w:color="CDC6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B6B6B6"/>
              <w:left w:val="single" w:sz="12" w:space="0" w:color="CDC6C0"/>
              <w:right w:val="single" w:sz="12" w:space="0" w:color="CDC6C0"/>
            </w:tcBorders>
            <w:tcMar>
              <w:bottom w:w="0" w:type="dxa"/>
            </w:tcMar>
            <w:vAlign w:val="center"/>
          </w:tcPr>
          <w:p>
            <w:pPr>
              <w:pStyle w:val="TableContents"/>
              <w:bidi w:val="0"/>
              <w:spacing w:before="0" w:after="283"/>
              <w:jc w:val="left"/>
              <w:rPr>
                <w:sz w:val="4"/>
                <w:szCs w:val="4"/>
              </w:rPr>
            </w:pPr>
            <w:r>
              <w:rPr>
                <w:sz w:val="4"/>
                <w:szCs w:val="4"/>
              </w:rPr>
            </w:r>
          </w:p>
        </w:tc>
      </w:tr>
      <w:tr>
        <w:trPr/>
        <w:tc>
          <w:tcPr>
            <w:tcW w:w="2030" w:type="dxa"/>
            <w:gridSpan w:val="3"/>
            <w:vMerge w:val="continue"/>
            <w:tcBorders>
              <w:top w:val="single" w:sz="12" w:space="0" w:color="CDC6C0"/>
              <w:bottom w:val="single" w:sz="12" w:space="0" w:color="05686F"/>
            </w:tcBorders>
            <w:shd w:fill="0E686F" w:val="clear"/>
            <w:tcMar>
              <w:top w:w="30" w:type="dxa"/>
              <w:left w:w="0" w:type="dxa"/>
              <w:bottom w:w="30" w:type="dxa"/>
              <w:right w:w="0" w:type="dxa"/>
            </w:tcMar>
            <w:vAlign w:val="center"/>
          </w:tcPr>
          <w:p>
            <w:pPr>
              <w:pStyle w:val="Normal"/>
              <w:bidi w:val="0"/>
              <w:jc w:val="left"/>
              <w:rPr/>
            </w:pPr>
            <w:r>
              <w:rPr/>
            </w:r>
          </w:p>
        </w:tc>
        <w:tc>
          <w:tcPr>
            <w:tcW w:w="2338" w:type="dxa"/>
            <w:gridSpan w:val="3"/>
            <w:tcBorders>
              <w:top w:val="single" w:sz="4" w:space="0" w:color="B6B6B6"/>
              <w:left w:val="single" w:sz="12" w:space="0" w:color="CDC6C0"/>
              <w:bottom w:val="single" w:sz="12" w:space="0" w:color="CDC6C0"/>
            </w:tcBorders>
            <w:tcMar>
              <w:top w:w="30" w:type="dxa"/>
              <w:bottom w:w="30" w:type="dxa"/>
              <w:right w:w="0" w:type="dxa"/>
            </w:tcMar>
            <w:vAlign w:val="center"/>
          </w:tcPr>
          <w:p>
            <w:pPr>
              <w:pStyle w:val="TableContents"/>
              <w:bidi w:val="0"/>
              <w:spacing w:lineRule="auto" w:line="240" w:before="0" w:after="0"/>
              <w:ind w:left="0" w:right="0" w:hanging="180"/>
              <w:jc w:val="left"/>
              <w:rPr>
                <w:color w:val="05686F"/>
              </w:rPr>
            </w:pPr>
            <w:r>
              <w:rPr>
                <w:color w:val="05686F"/>
              </w:rPr>
              <w:t xml:space="preserve">✓ </w:t>
            </w:r>
            <w:r>
              <w:rPr>
                <w:rFonts w:ascii="Arial;sans-serif" w:hAnsi="Arial;sans-serif"/>
                <w:b/>
                <w:color w:val="05686F"/>
                <w:sz w:val="18"/>
              </w:rPr>
              <w:t>Maintain staff engagement</w:t>
            </w:r>
          </w:p>
        </w:tc>
        <w:tc>
          <w:tcPr>
            <w:tcW w:w="1280" w:type="dxa"/>
            <w:gridSpan w:val="3"/>
            <w:tcBorders>
              <w:top w:val="single" w:sz="4" w:space="0" w:color="B6B6B6"/>
              <w:bottom w:val="single" w:sz="12" w:space="0" w:color="CDC6C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5686F"/>
                <w:sz w:val="18"/>
              </w:rPr>
            </w:pPr>
            <w:r>
              <w:rPr>
                <w:rFonts w:ascii="Arial;sans-serif" w:hAnsi="Arial;sans-serif"/>
                <w:b/>
                <w:color w:val="05686F"/>
                <w:sz w:val="18"/>
              </w:rPr>
              <w:t>5%</w:t>
            </w:r>
          </w:p>
        </w:tc>
        <w:tc>
          <w:tcPr>
            <w:tcW w:w="3224" w:type="dxa"/>
            <w:gridSpan w:val="3"/>
            <w:tcBorders>
              <w:top w:val="single" w:sz="4" w:space="0" w:color="B6B6B6"/>
              <w:left w:val="single" w:sz="12" w:space="0" w:color="CDC6C0"/>
              <w:bottom w:val="single" w:sz="12" w:space="0" w:color="CDC6C0"/>
            </w:tcBorders>
            <w:tcMar>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B6B6B6"/>
              <w:left w:val="single" w:sz="12" w:space="0" w:color="CDC6C0"/>
              <w:bottom w:val="single" w:sz="12" w:space="0" w:color="CDC6C0"/>
              <w:right w:val="single" w:sz="12" w:space="0" w:color="CDC6C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20"/>
        <w:ind w:left="0" w:right="0" w:firstLine="270"/>
        <w:jc w:val="left"/>
        <w:rPr/>
      </w:pPr>
      <w:r>
        <w:rPr>
          <w:color w:val="05686F"/>
        </w:rPr>
        <w:t>✓</w:t>
      </w:r>
      <w:r>
        <w:rPr>
          <w:color w:val="000000"/>
        </w:rPr>
        <w:t xml:space="preserve"> </w:t>
      </w:r>
      <w:r>
        <w:rPr>
          <w:rFonts w:ascii="Arial;sans-serif" w:hAnsi="Arial;sans-serif"/>
          <w:b w:val="false"/>
          <w:color w:val="000000"/>
          <w:sz w:val="20"/>
        </w:rPr>
        <w:t>- Designates the goals that the Board determined were achieved.</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2025 annual cash incentive payments are summarized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4"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tbl>
      <w:tblPr>
        <w:tblW w:w="5276" w:type="dxa"/>
        <w:jc w:val="center"/>
        <w:tblInd w:w="0" w:type="dxa"/>
        <w:tblLayout w:type="fixed"/>
        <w:tblCellMar>
          <w:top w:w="28" w:type="dxa"/>
          <w:left w:w="28" w:type="dxa"/>
          <w:bottom w:w="28" w:type="dxa"/>
          <w:right w:w="28" w:type="dxa"/>
        </w:tblCellMar>
      </w:tblPr>
      <w:tblGrid>
        <w:gridCol w:w="981"/>
        <w:gridCol w:w="859"/>
        <w:gridCol w:w="874"/>
        <w:gridCol w:w="109"/>
        <w:gridCol w:w="109"/>
        <w:gridCol w:w="109"/>
        <w:gridCol w:w="654"/>
        <w:gridCol w:w="654"/>
        <w:gridCol w:w="927"/>
      </w:tblGrid>
      <w:tr>
        <w:trPr/>
        <w:tc>
          <w:tcPr>
            <w:tcW w:w="98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Annual Cash Incentive</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Chang,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400,010</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Zachary Roberts,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202,804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Geoffrey Parker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191,250</w:t>
            </w:r>
          </w:p>
        </w:tc>
      </w:tr>
    </w:tbl>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Long-Term Incentive Compensation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provide long-term incentive compensation to our executive officers through equity awards. Our 2018 Equity Incentive Plan, as amended ("EIP"), authorizes us to grant stock options, RSUs, PSUs and other equity-based awards. Our equity award program is the primary long-term incentive ("LTI") vehicle for our NEOs, and is designed to align executive compensation with the creation of long-term stockholder value, incentivize the achievement of key strategic milestones, and promote executive retention. Equity awards comprise the largest “at-risk” component of our NEOs’ compensation packages and are a key driver of our pay-for-performance philosophy. We believe that the use of stock options and RSUs directly links executive rewards to our stock price performance and the sustained success of our business, while multi-year vesting promotes continuity in leadership. In years where included, PSUs provide an additional layer of performance alignment by rewarding executives only upon the achievement of strategic, value-creating clinical objectives.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Compensation Committee annually evaluates our equity program design, including the mix of award types, vesting schedules, performance criteria, and market competitiveness, with the assistance of its independent compensation consultant, Compensia.</w:t>
      </w:r>
    </w:p>
    <w:p>
      <w:pPr>
        <w:pStyle w:val="TextBody"/>
        <w:bidi w:val="0"/>
        <w:spacing w:lineRule="auto" w:line="333" w:before="0" w:after="120"/>
        <w:ind w:left="0" w:right="0" w:firstLine="720"/>
        <w:jc w:val="left"/>
        <w:rPr>
          <w:rFonts w:ascii="Arial;sans-serif" w:hAnsi="Arial;sans-serif"/>
          <w:b w:val="false"/>
          <w:i/>
          <w:color w:val="000000"/>
          <w:sz w:val="20"/>
        </w:rPr>
      </w:pPr>
      <w:r>
        <w:rPr>
          <w:rFonts w:ascii="Arial;sans-serif" w:hAnsi="Arial;sans-serif"/>
          <w:b w:val="false"/>
          <w:i/>
          <w:color w:val="000000"/>
          <w:sz w:val="20"/>
        </w:rPr>
        <w:t>2025 Annual Equity Awards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January 2025, the Compensation Committee reviewed, evaluated and approved the Company's annual equity award approach and the proposed annual equity awards for eligible executive officers and the Board approved the equity awards for the CEO and Executive Chair as required under our governance processes. The Compensation Committee’s review was informed by management’s recommendations and input from the Company’s independent compensation consultant, Compensia, including market benchmarking analyses and equity program design considerations.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In structuring the 2025 annual equity awards for executive officers, the Compensation Committee reintroduced PSUs into the annual equity award program. The Committee utilized a mix of RSUs, PSUs and stock options to provide a target long-term incentive ("LTI") award opportunity that was heavily weighted towards performance-based vehicles, consisting of approximately 20% PSUs, 55% stock options and 25% RSUs. The Compensation Committee continues to view stock options as strongly performance-based and aligned with long-term stockholder interests given our pre-commercial stage of maturity. Individual adjustments were then made to reflect performance and maintain consistency across positions.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Regarding vesting, the 2025 stock option and RSU awards follow the Company’s standard four-year vesting schedule, with one-fourth of the stock options vesting on the one-year anniversary of the grant and the balance vesting monthly thereafter, while RSUs vest in equal annual installments over four years, in each case subject to continued service.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 2025 PSUs are performance-based awards with vesting tied to achievement of specified clinical development and strategic milestones related to the Company's ALLO-329 program. The PSU awards are divided into three equal tranches, with each tranche becoming eligible to vest upon achievement of a corresponding milestone. For each milestone, payouts may range from 100% to 150% of the applicable tranche based on the level of achievement.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 Compensation Committee determined not to disclose the specific performance milestones because they relate to sensitive clinical development objectives and strategic priorities, the disclosure of which could result in competitive harm to the Company.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To provide for the maximum payout opportunity, the PSU awards were issued at the 150% level, so that sufficient shares would be reserved for the full vesting opportunity. Accordingly, although the PSU component was valued at the 100% level to target the overall equity award value (stock options, RSUs, and PSUs) at the 50th percentile of peer data, the PSU share amounts shown in the tables below reflect the maximum number of shares that may be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5"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structuring this equity mix, the Compensation Committee continued to view stock options as strongly aligned with long-term stockholder value creation, particularly given our pre-commercial stage of maturity, while PSUs link a portion of long-term incentives to the achievement of key development milestones for our ALLO-329 autoimmune program. The Committee believed the PSU component further strengthened the link between compensation and execution of strategic, value-creating clinical objectives. RSUs serve as a complementary retention and incentivization vehicle and provide a measure of program durability while still providing alignment between executive and stockholder interests.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Company notes that certain prior PSU awards, which were subject to rigorous performance conditions tied to stock price appreciation over a specified performance period, did not result in any payout following the conclusion of the performance period in March 2026 because the applicable performance conditions were not achieved. This outcome reflects the Company’s disciplined approach to goal setting and underscores its pay-for-performance philosophy, pursuant to which realizable compensation from performance-based awards is contingent on the achievement of challenging and objective performance criteria.</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evaluating the 2025 executive equity program, the Compensation Committee considered evolving investor and governance expectations favoring performance-based equity, including stockholder feedback indicating a preference that equity programs include performance-based awards as a further expression of a pay-for-performance compensation strategy. The Compensation Committee considered these perspectives alongside retention, internal equity and long-term incentive alignment objectives in approving the 2025 annual executive equity program, including the reintroduction of a PSU component.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table summarizes the CEO January 2025 equity grants:</w:t>
      </w:r>
    </w:p>
    <w:tbl>
      <w:tblPr>
        <w:tblW w:w="10205" w:type="dxa"/>
        <w:jc w:val="left"/>
        <w:tblInd w:w="0" w:type="dxa"/>
        <w:tblLayout w:type="fixed"/>
        <w:tblCellMar>
          <w:top w:w="28" w:type="dxa"/>
          <w:left w:w="28" w:type="dxa"/>
          <w:bottom w:w="28" w:type="dxa"/>
          <w:right w:w="28" w:type="dxa"/>
        </w:tblCellMar>
      </w:tblPr>
      <w:tblGrid>
        <w:gridCol w:w="948"/>
        <w:gridCol w:w="755"/>
        <w:gridCol w:w="736"/>
        <w:gridCol w:w="109"/>
        <w:gridCol w:w="109"/>
        <w:gridCol w:w="109"/>
        <w:gridCol w:w="594"/>
        <w:gridCol w:w="502"/>
        <w:gridCol w:w="419"/>
        <w:gridCol w:w="109"/>
        <w:gridCol w:w="109"/>
        <w:gridCol w:w="109"/>
        <w:gridCol w:w="1632"/>
        <w:gridCol w:w="1632"/>
        <w:gridCol w:w="2333"/>
      </w:tblGrid>
      <w:tr>
        <w:trPr/>
        <w:tc>
          <w:tcPr>
            <w:tcW w:w="9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Number of Shares</w:t>
            </w:r>
          </w:p>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3"/>
            <w:tcBorders/>
            <w:tcMar>
              <w:top w:w="0" w:type="dxa"/>
              <w:left w:w="0" w:type="dxa"/>
              <w:bottom w:w="0" w:type="dxa"/>
              <w:right w:w="0" w:type="dxa"/>
            </w:tcMar>
            <w:vAlign w:val="center"/>
          </w:tcPr>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Vesting</w:t>
            </w:r>
          </w:p>
        </w:tc>
      </w:tr>
      <w:tr>
        <w:trPr/>
        <w:tc>
          <w:tcPr>
            <w:tcW w:w="2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44" w:after="144"/>
              <w:jc w:val="right"/>
              <w:rPr>
                <w:rFonts w:ascii="Arial;sans-serif" w:hAnsi="Arial;sans-serif"/>
                <w:b w:val="false"/>
                <w:color w:val="000000"/>
                <w:sz w:val="20"/>
              </w:rPr>
            </w:pPr>
            <w:r>
              <w:rPr>
                <w:rFonts w:ascii="Arial;sans-serif" w:hAnsi="Arial;sans-serif"/>
                <w:b w:val="false"/>
                <w:color w:val="000000"/>
                <w:sz w:val="20"/>
              </w:rPr>
              <w:t>1,952,130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44" w:after="144"/>
              <w:jc w:val="left"/>
              <w:rPr/>
            </w:pPr>
            <w:r>
              <w:rPr>
                <w:rFonts w:ascii="Arial;sans-serif" w:hAnsi="Arial;sans-serif"/>
                <w:b w:val="false"/>
                <w:color w:val="000000"/>
                <w:sz w:val="20"/>
              </w:rPr>
              <w:t>1/4th on the first anniversary of the vesting commencement date and 1/36</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of the remaining shares each month thereafter</w:t>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3"/>
            <w:tcBorders/>
            <w:shd w:fill="FFFFFF" w:val="clear"/>
            <w:tcMar>
              <w:top w:w="0" w:type="dxa"/>
              <w:left w:w="0" w:type="dxa"/>
              <w:bottom w:w="0" w:type="dxa"/>
              <w:right w:w="0" w:type="dxa"/>
            </w:tcMar>
            <w:vAlign w:val="center"/>
          </w:tcPr>
          <w:p>
            <w:pPr>
              <w:pStyle w:val="TableContents"/>
              <w:bidi w:val="0"/>
              <w:spacing w:lineRule="auto" w:line="288" w:before="144" w:after="144"/>
              <w:jc w:val="left"/>
              <w:rPr>
                <w:rFonts w:ascii="Arial;sans-serif" w:hAnsi="Arial;sans-serif"/>
                <w:b w:val="false"/>
                <w:color w:val="000000"/>
                <w:sz w:val="20"/>
              </w:rPr>
            </w:pPr>
            <w:r>
              <w:rPr>
                <w:rFonts w:ascii="Arial;sans-serif" w:hAnsi="Arial;sans-serif"/>
                <w:b w:val="false"/>
                <w:color w:val="000000"/>
                <w:sz w:val="20"/>
              </w:rPr>
              <w:t>1/4th annually over four years</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PSUs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689,855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1/3 equal installments vesting upon occurrence of specific achievements.</w:t>
            </w:r>
          </w:p>
        </w:tc>
      </w:tr>
      <w:tr>
        <w:trPr/>
        <w:tc>
          <w:tcPr>
            <w:tcW w:w="2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Awards Aggregate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144" w:after="144"/>
              <w:jc w:val="right"/>
              <w:rPr>
                <w:rFonts w:ascii="Arial;sans-serif" w:hAnsi="Arial;sans-serif"/>
                <w:b w:val="false"/>
                <w:color w:val="000000"/>
                <w:sz w:val="20"/>
              </w:rPr>
            </w:pPr>
            <w:r>
              <w:rPr>
                <w:rFonts w:ascii="Arial;sans-serif" w:hAnsi="Arial;sans-serif"/>
                <w:b w:val="false"/>
                <w:color w:val="000000"/>
                <w:sz w:val="20"/>
              </w:rPr>
              <w:t>$    4,997,865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(1) PSU amount reflects maximum possible payout of 150%.</w:t>
      </w:r>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Dr. Roberts’ and Mr. Parker’s 2025 equity grants:</w:t>
      </w:r>
    </w:p>
    <w:tbl>
      <w:tblPr>
        <w:tblW w:w="10205" w:type="dxa"/>
        <w:jc w:val="center"/>
        <w:tblInd w:w="0" w:type="dxa"/>
        <w:tblLayout w:type="fixed"/>
        <w:tblCellMar>
          <w:top w:w="28" w:type="dxa"/>
          <w:left w:w="28" w:type="dxa"/>
          <w:bottom w:w="28" w:type="dxa"/>
          <w:right w:w="28" w:type="dxa"/>
        </w:tblCellMar>
      </w:tblPr>
      <w:tblGrid>
        <w:gridCol w:w="807"/>
        <w:gridCol w:w="615"/>
        <w:gridCol w:w="588"/>
        <w:gridCol w:w="109"/>
        <w:gridCol w:w="109"/>
        <w:gridCol w:w="109"/>
        <w:gridCol w:w="224"/>
        <w:gridCol w:w="1086"/>
        <w:gridCol w:w="115"/>
        <w:gridCol w:w="109"/>
        <w:gridCol w:w="109"/>
        <w:gridCol w:w="109"/>
        <w:gridCol w:w="220"/>
        <w:gridCol w:w="1068"/>
        <w:gridCol w:w="113"/>
        <w:gridCol w:w="109"/>
        <w:gridCol w:w="109"/>
        <w:gridCol w:w="109"/>
        <w:gridCol w:w="1278"/>
        <w:gridCol w:w="1278"/>
        <w:gridCol w:w="1832"/>
      </w:tblGrid>
      <w:tr>
        <w:trPr/>
        <w:tc>
          <w:tcPr>
            <w:tcW w:w="8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20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Vesting</w:t>
            </w:r>
          </w:p>
        </w:tc>
      </w:tr>
      <w:tr>
        <w:trPr/>
        <w:tc>
          <w:tcPr>
            <w:tcW w:w="20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Zachary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Geoffrey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614,844 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614,844 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144" w:after="144"/>
              <w:jc w:val="left"/>
              <w:rPr/>
            </w:pPr>
            <w:r>
              <w:rPr>
                <w:rFonts w:ascii="Arial;sans-serif" w:hAnsi="Arial;sans-serif"/>
                <w:b w:val="false"/>
                <w:color w:val="000000"/>
                <w:sz w:val="20"/>
              </w:rPr>
              <w:t>1/4th on the first anniversary of the vesting commencement date and 1/36</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of the remaining shares each month thereafter</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1/4th annually over four years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PSUs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217,392 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217,392 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1/3 equal installments vesting upon occurrence of specific achievements.</w:t>
            </w:r>
          </w:p>
        </w:tc>
      </w:tr>
      <w:tr>
        <w:trPr/>
        <w:tc>
          <w:tcPr>
            <w:tcW w:w="2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Awards Aggregate Grant 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1,574,353 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1,574,353 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(1) PSU amount reflects maximum possible payout of 150%.</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Health and Welfare Benefits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Named Executive Officers, during their employment with us, are eligible to participate in our employee benefit plans, including our medical, dental, group term life, disability and accidental death and dismemberment insurance plans, in each case on the same basis as all of our other employees. In addition, we provide a Section 401(k) plan to our employees, including our Named Executive Officers, as discussed in the section below entitled “—Section 401(k)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66"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Section 401(k) Plan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maintain a defined contribution employee retirement savings plan (the "401(k) Plan"), for our employees. Our executive officers are eligible to participate in the 401(k) Plan on the same basis as our other employees. The 401(k) Plan is intended to qualify as a tax-qualified plan under Section 401(a) of the Internal Revenue Code (the "Code"). The 401(k) Plan provides that each participant may contribute up to the lesser of 100% of compensation or the statutory limit, which was $23,500 for calendar year 2025. Participants who are 50 years or older can also make “catch-up” contributions, which in calendar year 2025 may have been up to an additional $7,500 above the statutory limit. Participants who are ages 60 to 63 by December 31 are eligible for a “super catch-up” limit of up to $11,250 above the statutory limit. We currently make matching contributions into the 401(k) Plan on behalf of participants. We match 100% of eligible contributions up to the first 3% of eligible compensation, with an additional match of 50% on the next 3% (maximum of 4.5%). Participant contributions are held and invested, pursuant to the participant’s instructions, by the plan’s trustee.</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Perquisites and Other Personal Benefits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We generally do not provide perquisites or personal benefits to our Named Executive Officers. We do, however, pay a portion of the premiums for medical, dental, group term life, disability and accidental death and dismemberment insurance for all of our full-time employees. Our Board may elect to adopt qualified or nonqualified benefit plans in the future if it determines that doing so is in our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Agreements with our Named Executive Officers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have entered into employment letter agreements with each of our Named Executive Officers. These letter agreements provide for at-will employment and set forth the Named Executive Officer’s initial base salary, eligibility for employee benefits and recommended initial equity grant. In addition, each of our Named Executive Officers has executed a form of our standard confidential information and invention assignment agreement. The key terms of the letter agreements with our Named Executive Officers are described below. Any potential payments and benefits due upon a qualifying termination of employment or a change in control of the Company are further described below under “—Potential Payments and Benefits upon Termination or Change in Control.”</w:t>
      </w:r>
    </w:p>
    <w:p>
      <w:pPr>
        <w:pStyle w:val="TextBody"/>
        <w:bidi w:val="0"/>
        <w:spacing w:lineRule="auto" w:line="333" w:before="0" w:after="120"/>
        <w:jc w:val="left"/>
        <w:rPr/>
      </w:pPr>
      <w:r>
        <w:rPr>
          <w:rFonts w:ascii="Arial;sans-serif" w:hAnsi="Arial;sans-serif"/>
          <w:b w:val="false"/>
          <w:i/>
          <w:color w:val="000000"/>
          <w:sz w:val="20"/>
        </w:rPr>
        <w:t>David Chang, M.D., Ph.D</w:t>
      </w:r>
      <w:r>
        <w:rPr>
          <w:rFonts w:ascii="Arial;sans-serif" w:hAnsi="Arial;sans-serif"/>
          <w:b w:val="false"/>
          <w:color w:val="000000"/>
          <w:sz w:val="20"/>
        </w:rPr>
        <w:t>. We entered into a letter agreement with Dr. Chang, our President and Chief Executive Officer, in June 2018 that governs the current terms of his employment with us. We have previously increased Dr. Chang’s annual base salary and annual target performance cash incentive over the levels originally set in 2018, and his current annual base salary effective for 2026 is now $738,480 with an annual target performance cash incentive of 65% of his base salary.</w:t>
      </w:r>
    </w:p>
    <w:p>
      <w:pPr>
        <w:pStyle w:val="TextBody"/>
        <w:bidi w:val="0"/>
        <w:spacing w:lineRule="auto" w:line="333" w:before="0" w:after="120"/>
        <w:jc w:val="left"/>
        <w:rPr/>
      </w:pPr>
      <w:r>
        <w:rPr>
          <w:rFonts w:ascii="Arial;sans-serif" w:hAnsi="Arial;sans-serif"/>
          <w:b w:val="false"/>
          <w:i/>
          <w:color w:val="000000"/>
          <w:sz w:val="20"/>
        </w:rPr>
        <w:t>Zachary Roberts, M.D., Ph.D.</w:t>
      </w:r>
      <w:r>
        <w:rPr>
          <w:color w:val="000000"/>
        </w:rPr>
        <w:t xml:space="preserve"> </w:t>
      </w:r>
      <w:r>
        <w:rPr>
          <w:rFonts w:ascii="Arial;sans-serif" w:hAnsi="Arial;sans-serif"/>
          <w:b w:val="false"/>
          <w:color w:val="000000"/>
          <w:sz w:val="20"/>
        </w:rPr>
        <w:t>We entered into a letter agreement with Dr. Roberts, our Executive Vice President, Research and Development and Chief Medical Officer, in January 2023 that governs the current terms of his employment with us. We have previously increased Dr. Roberts' annual base salary over the level originally set in 2023, and his current annual base salary effective for 2026 is now $540,811 and he remains eligible to receive an annual target performance cash incentive of 45% of his base salary. Dr. Roberts was paid a $75,000 sign-on advance that was considered earned when Dr. Roberts successfully completed one year of continuous employment with the Company. Dr. Roberts was granted an initial stock option to purchase 873,015 shares of our common stock. Dr. Roberts was also granted an initial RSU for 251,908 shares of our common stock, which settle on an annual basis over four years. In addition, Dr. Roberts was awarded new hire PSUs for a total of 190,836 shares, which will settle within a five-year period, if at all, based on the achievement of certain stated performance metrics.</w:t>
      </w:r>
    </w:p>
    <w:p>
      <w:pPr>
        <w:pStyle w:val="TextBody"/>
        <w:bidi w:val="0"/>
        <w:spacing w:lineRule="auto" w:line="333" w:before="0" w:after="120"/>
        <w:jc w:val="left"/>
        <w:rPr/>
      </w:pPr>
      <w:r>
        <w:rPr>
          <w:rFonts w:ascii="Arial;sans-serif" w:hAnsi="Arial;sans-serif"/>
          <w:b w:val="false"/>
          <w:i/>
          <w:color w:val="000000"/>
          <w:sz w:val="20"/>
        </w:rPr>
        <w:t xml:space="preserve">Geoffrey Parker. </w:t>
      </w:r>
      <w:r>
        <w:rPr>
          <w:rFonts w:ascii="Arial;sans-serif" w:hAnsi="Arial;sans-serif"/>
          <w:b w:val="false"/>
          <w:color w:val="000000"/>
          <w:sz w:val="20"/>
        </w:rPr>
        <w:t xml:space="preserve">We entered into an employment letter agreement with Mr. Parker, our Executive Vice President and Chief Financial Officer, in October 2023 that governs the current terms of his employment with us. We have previously increased Mr. Parker's annual base salary over the level originally set in 2023, and his current annual base salary effective for 2026 is $510,000, and he remains eligible to receive an annual target performance cash incentive of 45% of his base salary. In connection with his appointment, Mr. Parker was granted an initial stock option to purchase 950,000 shares of our common stock. Mr. Parker was also granted an initial RSU award covering 400,000 shares of our common stock, which vests over four years. In addition, Mr. Parker was granted a performance-based RSU award covering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67"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390,000 shares of our common stock, which vests upon the achievement of specified performance milestones, including stock price and regulatory approval objectives.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Each of the options granted to our Named Executive Officers pursuant to their letter agreements are subject to a four-year vesting schedule, with 25% vesting one year after the vesting commencement date and the balance vesting monthly over the remaining 36 months, subject to each individual’s continued service through each vesting date.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For additional information regarding our long-term compensation and equity grants, please see “Executive Compensation―Executive Compensation Program and Compensation Decisions for the Named Executive Officers―Long-Term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Potential Payments and Benefits Upon Termination or Change in Control</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Our executive officers, including our Named Executive Officers are entitled to certain severance and change of control payments and benefits pursuant to our change in control and severance benefit plan (the "Change in Control Plan"). Given the industry in which we participate and the range of strategic initiatives that we may explore, we believe these arrangements are an essential element of our executive compensation program and assist us in recruiting and retaining talented individuals. In addition, since we believe it may be difficult for our executive officers to find comparable employment following an involuntary termination of employment in connection with or following a change of control of the Company, these payments and benefits are intended to ease the consequences to an executive officer of an unexpected termination of employment. By establishing these payments and benefits, we believe we can mitigate the distraction and loss of executive officers that may occur in connection with rumored or actual fundamental corporate changes and thereby protect stockholder interests while a transaction is under consideration or pending.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Change in Control Plan provides for, in the event of an involuntary termination of employment without “cause” or a resignation with “good reason,” and subject to our receipt of an effective waiver and release of claims from the executive, a combination of (1) cash severance for the severance period and (2) the payment or reimbursement of premiums for continuation of coverage under group health plans for the severance period. The severance period is 24 months in the case of our Chief Executive Officer, and 12 months in the case of our other executive officers.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the event that the involuntary termination of employment occurs within the period commencing three months before and ending 12 months after a change in control of the Company, then the participants in the Change in Control Plan are entitled to the same benefits described above, but the severance period is 18 months for our executive officers other than our Chief Executive Officer. In addition, our Chief Executive Officer would be entitled to 200% of his annual target cash incentive and our other executive officers would be entitled to 150% of their annual target cash incentive, and each of our executive officers would be entitled to accelerated vesting of outstanding equity compensation awards.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Under the Change in Control Plan, the term “cause” generally means (i) the employee’s commission of any crime involving fraud, dishonesty or moral turpitude; (ii) the employee’s attempted commission of or participation in a fraud or act of dishonesty against us that results in (or might have reasonably resulted in) material harm to our business; (iii) the employee’s intentional, material violation of any contract or agreement between us and the employee or any statutory duty that the employee owes to us; or (iv) the employee’s conduct that constitutes gross insubordination, incompetence or habitual neglect of duties and that results in (or might have reasonably resulted in) material harm to our business. Under the Change in Control Plan, the term “change in control” generally means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a complete dissolution or liquidation of the company.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Under the Change in Control Plan, the term “good reason” generally means (i) a material reduction of such employee’s annual base salary, which is a reduction of at least 10% of such employee’s base salary (unless pursuant to a salary reduction program applicable generally to the Company’s similarly situated employees); (ii) a material reduction in such employee’s authority, duties or responsibilities; (iii) a relocation of such employee’s principal place of employment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68"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Company (or successor to the Company, if applicable) to a place that increases such employee’s one-way commute by more than 50 miles as compared to such employee’s then-current principal place of employment immediately prior to such relocation (excluding regular travel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Stock Ownership Guidelines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maintain stock ownership and retention guidelines for our directors and executive officers to ensure that each of them has a long-term equity stake in Allogene, in order to both closely align the interests of directors and executive officers to those of our stockholders and to further our commitment to corporate governance.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Under the stock ownership guidelines, executive officers and directors must maintain stock ownership at a value equal to a multiple of their annual retainer or base salary, as applicable, as follows:</w:t>
      </w:r>
    </w:p>
    <w:tbl>
      <w:tblPr>
        <w:tblW w:w="5264" w:type="dxa"/>
        <w:jc w:val="center"/>
        <w:tblInd w:w="0" w:type="dxa"/>
        <w:tblLayout w:type="fixed"/>
        <w:tblCellMar>
          <w:top w:w="28" w:type="dxa"/>
          <w:left w:w="28" w:type="dxa"/>
          <w:bottom w:w="28" w:type="dxa"/>
          <w:right w:w="28" w:type="dxa"/>
        </w:tblCellMar>
      </w:tblPr>
      <w:tblGrid>
        <w:gridCol w:w="823"/>
        <w:gridCol w:w="724"/>
        <w:gridCol w:w="732"/>
        <w:gridCol w:w="873"/>
        <w:gridCol w:w="873"/>
        <w:gridCol w:w="1239"/>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color w:val="000000"/>
                <w:sz w:val="20"/>
              </w:rPr>
            </w:pPr>
            <w:r>
              <w:rPr>
                <w:rFonts w:ascii="Arial;sans-serif" w:hAnsi="Arial;sans-serif"/>
                <w:b/>
                <w:color w:val="000000"/>
                <w:sz w:val="20"/>
              </w:rPr>
              <w:t>Position</w:t>
            </w:r>
          </w:p>
        </w:tc>
        <w:tc>
          <w:tcPr>
            <w:tcW w:w="2985" w:type="dxa"/>
            <w:gridSpan w:val="3"/>
            <w:tcBorders/>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color w:val="000000"/>
                <w:sz w:val="20"/>
              </w:rPr>
            </w:pPr>
            <w:r>
              <w:rPr>
                <w:rFonts w:ascii="Arial;sans-serif" w:hAnsi="Arial;sans-serif"/>
                <w:b/>
                <w:color w:val="000000"/>
                <w:sz w:val="20"/>
              </w:rPr>
              <w:t>Stock Retention Amount</w:t>
            </w:r>
          </w:p>
        </w:tc>
      </w:tr>
      <w:tr>
        <w:trPr/>
        <w:tc>
          <w:tcPr>
            <w:tcW w:w="2279" w:type="dxa"/>
            <w:gridSpan w:val="3"/>
            <w:tcBorders>
              <w:top w:val="single" w:sz="8" w:space="0" w:color="3A3C72"/>
            </w:tcBorders>
            <w:shd w:fill="CCEEFF" w:val="clear"/>
            <w:tcMar>
              <w:top w:w="30" w:type="dxa"/>
              <w:left w:w="0" w:type="dxa"/>
              <w:bottom w:w="0" w:type="dxa"/>
              <w:right w:w="0" w:type="dxa"/>
            </w:tcMar>
            <w:vAlign w:val="center"/>
          </w:tcPr>
          <w:p>
            <w:pPr>
              <w:pStyle w:val="TableContents"/>
              <w:bidi w:val="0"/>
              <w:spacing w:lineRule="auto" w:line="333" w:before="55" w:after="3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2985" w:type="dxa"/>
            <w:gridSpan w:val="3"/>
            <w:tcBorders>
              <w:top w:val="single" w:sz="8" w:space="0" w:color="3A3C72"/>
            </w:tcBorders>
            <w:shd w:fill="CCEEFF" w:val="clear"/>
            <w:tcMar>
              <w:top w:w="30" w:type="dxa"/>
              <w:left w:w="0" w:type="dxa"/>
              <w:bottom w:w="0" w:type="dxa"/>
              <w:right w:w="0" w:type="dxa"/>
            </w:tcMar>
            <w:vAlign w:val="center"/>
          </w:tcPr>
          <w:p>
            <w:pPr>
              <w:pStyle w:val="TableContents"/>
              <w:bidi w:val="0"/>
              <w:spacing w:lineRule="auto" w:line="333" w:before="55" w:after="30"/>
              <w:jc w:val="left"/>
              <w:rPr>
                <w:rFonts w:ascii="Arial;sans-serif" w:hAnsi="Arial;sans-serif"/>
                <w:b w:val="false"/>
                <w:color w:val="000000"/>
                <w:sz w:val="20"/>
              </w:rPr>
            </w:pPr>
            <w:r>
              <w:rPr>
                <w:rFonts w:ascii="Arial;sans-serif" w:hAnsi="Arial;sans-serif"/>
                <w:b w:val="false"/>
                <w:color w:val="000000"/>
                <w:sz w:val="20"/>
              </w:rPr>
              <w:t>6 times executive’s base salary</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val="false"/>
                <w:color w:val="000000"/>
                <w:sz w:val="20"/>
              </w:rPr>
            </w:pPr>
            <w:r>
              <w:rPr>
                <w:rFonts w:ascii="Arial;sans-serif" w:hAnsi="Arial;sans-serif"/>
                <w:b w:val="false"/>
                <w:color w:val="000000"/>
                <w:sz w:val="20"/>
              </w:rPr>
              <w:t>Non-Employee Directors</w:t>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val="false"/>
                <w:color w:val="000000"/>
                <w:sz w:val="20"/>
              </w:rPr>
            </w:pPr>
            <w:r>
              <w:rPr>
                <w:rFonts w:ascii="Arial;sans-serif" w:hAnsi="Arial;sans-serif"/>
                <w:b w:val="false"/>
                <w:color w:val="000000"/>
                <w:sz w:val="20"/>
              </w:rPr>
              <w:t>5 times director’s annual retainer</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val="false"/>
                <w:color w:val="000000"/>
                <w:sz w:val="20"/>
              </w:rPr>
            </w:pPr>
            <w:r>
              <w:rPr>
                <w:rFonts w:ascii="Arial;sans-serif" w:hAnsi="Arial;sans-serif"/>
                <w:b w:val="false"/>
                <w:color w:val="000000"/>
                <w:sz w:val="20"/>
              </w:rPr>
              <w:t>Other Executive Officers</w:t>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rFonts w:ascii="Arial;sans-serif" w:hAnsi="Arial;sans-serif"/>
                <w:b w:val="false"/>
                <w:color w:val="000000"/>
                <w:sz w:val="20"/>
              </w:rPr>
            </w:pPr>
            <w:r>
              <w:rPr>
                <w:rFonts w:ascii="Arial;sans-serif" w:hAnsi="Arial;sans-serif"/>
                <w:b w:val="false"/>
                <w:color w:val="000000"/>
                <w:sz w:val="20"/>
              </w:rPr>
              <w:t>1 times executive’s base salary</w:t>
            </w:r>
          </w:p>
        </w:tc>
      </w:tr>
    </w:tbl>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Under these guidelines, the compliance deadline for all of our executive officers and directors is the later of December 2023 and five years from an individual’s commencement of employment or appointment to our Board. In March 2026, our Board of Directors approved and adopted an amendment to our Stock Ownership Guidelines pursuant to which the forms of equity that count toward satisfaction of the ownership requirement were modified. Previously under the policy, up to 50% of vested, in-the-money stock options could be counted toward compliance. That provision was deleted, and the amended policy now provides that shares underlying unvested time-based restricted stock units and vested but deferred restricted stock units are eligible to be counted. Additionally, shares of common stock continue to count toward compliance. Unvested stock options, unvested PSUs, and vested but unexercised stock options are not counted for purposes of determining compliance with these guidelines. The Compensation Committee annually monitors compliance with this policy. All Named Executive Officers and directors are currently in compliance with our stock ownership guidelines, as applicable. One director was not in compliance as of December 31, 2025 based on the calculation required under the policy, which utilizes the average stock price over the 90 trading days prior to such date. This temporary non-compliance resulted from a decline in the Company’s stock price and not from any disposition of shares by the director. The Compensation Committee reviewed the matter and determined that no action was warranted in light of the director’s prior compliance as of December 31, 2024 and the director’s return to compliance during the first quarter of 2026 as the Company’s stock price increased. The director has remained in compliance following the policy amendments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Insider Trading Policy; Prohibition on Hedging, Pledging, and Speculative Trading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have adopted an Insider Trading Policy governing the purchase, sale, and/or other dispositions of the Company’s securities by directors, officers, employees and consultants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 Company considers it inappropriate for persons employed by or associated with the Company to engage in certain transactions related to the securities of the Company (the "Subject Securities") that could result in their interests no longer being aligned with the same interests and objectives as other stockholders of the Company. Therefore, as part of our insider trading policy, Allogene prohibits our directors, officers, employees and consultants from engaging in “hedging” or other inherently speculative transactions with respect to our common stock or borrowing against our common stock. Specifically, no officer, director, employee or consultant may engage in short sales, transactions in put or call options, hedging transactions or other inherently speculative transactions with respect to our common stock at any time. Certain hedging and monetization transactions involve the establishment of a short position in the Subject Securities and limit or eliminate a person’s ability to profit from an increase in the value of the Subject Securities. Accordingly, these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69"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can cause a person’s interests to be misaligned with other stockholders of the Company. The Company therefore prohibits its directors, executive officers, employees and consultants from engaging in such transactions.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addition, no executive officer, director, employee or consultant may margin, or make any offer to margin, or otherwise pledge as security, any of our common stock, including without limitation, borrowing against such stock, at any time. Stock held in a margin account or pledged as collateral for a loan may be sold without a person’s consent if he or she fails to meet a margin call or defaults on a loan, which may occur at a time when the covered person is aware of material nonpublic information or is otherwise not permitted to trade in Company securities. Therefore, our directors, executive officers, employees and consultants are prohibited from engaging in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Clawback Policy</w:t>
      </w:r>
    </w:p>
    <w:p>
      <w:pPr>
        <w:pStyle w:val="TextBody"/>
        <w:bidi w:val="0"/>
        <w:spacing w:lineRule="auto" w:line="319" w:before="0" w:after="120"/>
        <w:jc w:val="left"/>
        <w:rPr/>
      </w:pPr>
      <w:r>
        <w:rPr>
          <w:rFonts w:ascii="Arial;sans-serif" w:hAnsi="Arial;sans-serif"/>
          <w:b w:val="false"/>
          <w:color w:val="000000"/>
          <w:sz w:val="20"/>
        </w:rPr>
        <w:t xml:space="preserve">In November 2023, our Board adopted an incentive compensation recoupment policy </w:t>
      </w:r>
      <w:r>
        <w:rPr>
          <w:rFonts w:ascii="Arial;sans-serif" w:hAnsi="Arial;sans-serif"/>
          <w:b w:val="false"/>
          <w:color w:val="181717"/>
          <w:sz w:val="20"/>
        </w:rPr>
        <w:t xml:space="preserve">(the "Clawback Policy") </w:t>
      </w:r>
      <w:r>
        <w:rPr>
          <w:rFonts w:ascii="Arial;sans-serif" w:hAnsi="Arial;sans-serif"/>
          <w:b w:val="false"/>
          <w:color w:val="000000"/>
          <w:sz w:val="20"/>
        </w:rPr>
        <w:t xml:space="preserve">in accordance with Rule 10D-1 of the Exchange Act and Nasdaq Rule 5608 that requires the Company to recover excess incentive compensation that was paid to an executive officer based in whole or in part on financial results that were subject to a restatement of the Company’s financial statements. The </w:t>
      </w:r>
      <w:r>
        <w:rPr>
          <w:rFonts w:ascii="Arial;sans-serif" w:hAnsi="Arial;sans-serif"/>
          <w:b w:val="false"/>
          <w:color w:val="181717"/>
          <w:sz w:val="20"/>
        </w:rPr>
        <w:t xml:space="preserve">Clawback Policy </w:t>
      </w:r>
      <w:r>
        <w:rPr>
          <w:rFonts w:ascii="Arial;sans-serif" w:hAnsi="Arial;sans-serif"/>
          <w:b w:val="false"/>
          <w:color w:val="000000"/>
          <w:sz w:val="20"/>
        </w:rPr>
        <w:t>specifies that following an accounting restatement, the Company must reasonably promptly recoup any compensation that is granted, earned or vested based wholly or in part upon the attainment of a financial reporting measure (the "Incentive Compensation") and which exceeds the amount that would have been received had such Incentive Compensation been determined based on the accounting restatement, unless the Compensation Committee determines that such recoupment would be impracticable. The Clawback Policy applies to all Incentive Compensation received during a three-year period preceding a restatement by a person (a) after beginning services as an executive officer, (b) who served as an executive officer at any time during the performance period for the applicable Incentive Compensation and (c) while the Company has securities listed on Nasdaq or another national securities exchange or association.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5686F"/>
          <w:sz w:val="20"/>
        </w:rPr>
      </w:pPr>
      <w:r>
        <w:rPr>
          <w:rFonts w:ascii="Arial;sans-serif" w:hAnsi="Arial;sans-serif"/>
          <w:b/>
          <w:color w:val="05686F"/>
          <w:sz w:val="20"/>
        </w:rPr>
        <w:t>2025 Outstanding Equity Awards at Fiscal Year-End Table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table presents information concerning equity awards held by our Named Executive Officers as of December 31, 2025.</w:t>
      </w:r>
    </w:p>
    <w:tbl>
      <w:tblPr>
        <w:tblW w:w="11128" w:type="dxa"/>
        <w:jc w:val="center"/>
        <w:tblInd w:w="0" w:type="dxa"/>
        <w:tblLayout w:type="fixed"/>
        <w:tblCellMar>
          <w:top w:w="28" w:type="dxa"/>
          <w:left w:w="28" w:type="dxa"/>
          <w:bottom w:w="28" w:type="dxa"/>
          <w:right w:w="28" w:type="dxa"/>
        </w:tblCellMar>
      </w:tblPr>
      <w:tblGrid>
        <w:gridCol w:w="318"/>
        <w:gridCol w:w="200"/>
        <w:gridCol w:w="203"/>
        <w:gridCol w:w="109"/>
        <w:gridCol w:w="109"/>
        <w:gridCol w:w="109"/>
        <w:gridCol w:w="170"/>
        <w:gridCol w:w="170"/>
        <w:gridCol w:w="171"/>
        <w:gridCol w:w="109"/>
        <w:gridCol w:w="109"/>
        <w:gridCol w:w="109"/>
        <w:gridCol w:w="345"/>
        <w:gridCol w:w="345"/>
        <w:gridCol w:w="346"/>
        <w:gridCol w:w="109"/>
        <w:gridCol w:w="109"/>
        <w:gridCol w:w="109"/>
        <w:gridCol w:w="405"/>
        <w:gridCol w:w="405"/>
        <w:gridCol w:w="406"/>
        <w:gridCol w:w="109"/>
        <w:gridCol w:w="109"/>
        <w:gridCol w:w="109"/>
        <w:gridCol w:w="255"/>
        <w:gridCol w:w="255"/>
        <w:gridCol w:w="256"/>
        <w:gridCol w:w="109"/>
        <w:gridCol w:w="109"/>
        <w:gridCol w:w="109"/>
        <w:gridCol w:w="285"/>
        <w:gridCol w:w="285"/>
        <w:gridCol w:w="286"/>
        <w:gridCol w:w="109"/>
        <w:gridCol w:w="109"/>
        <w:gridCol w:w="109"/>
        <w:gridCol w:w="240"/>
        <w:gridCol w:w="225"/>
        <w:gridCol w:w="226"/>
        <w:gridCol w:w="109"/>
        <w:gridCol w:w="109"/>
        <w:gridCol w:w="109"/>
        <w:gridCol w:w="270"/>
        <w:gridCol w:w="210"/>
        <w:gridCol w:w="211"/>
        <w:gridCol w:w="109"/>
        <w:gridCol w:w="109"/>
        <w:gridCol w:w="109"/>
        <w:gridCol w:w="285"/>
        <w:gridCol w:w="270"/>
        <w:gridCol w:w="271"/>
        <w:gridCol w:w="109"/>
        <w:gridCol w:w="109"/>
        <w:gridCol w:w="109"/>
        <w:gridCol w:w="265"/>
        <w:gridCol w:w="250"/>
        <w:gridCol w:w="356"/>
      </w:tblGrid>
      <w:tr>
        <w:trPr/>
        <w:tc>
          <w:tcPr>
            <w:tcW w:w="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Option Awards</w:t>
            </w:r>
          </w:p>
        </w:tc>
        <w:tc>
          <w:tcPr>
            <w:tcW w:w="11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Stock Awards</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55" w:after="30"/>
              <w:jc w:val="center"/>
              <w:rPr>
                <w:rFonts w:ascii="Arial;sans-serif" w:hAnsi="Arial;sans-serif"/>
                <w:b/>
                <w:color w:val="000000"/>
                <w:sz w:val="15"/>
              </w:rPr>
            </w:pPr>
            <w:r>
              <w:rPr>
                <w:rFonts w:ascii="Arial;sans-serif" w:hAnsi="Arial;sans-serif"/>
                <w:b/>
                <w:color w:val="000000"/>
                <w:sz w:val="15"/>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283"/>
              <w:jc w:val="center"/>
              <w:rPr>
                <w:rFonts w:ascii="Arial;sans-serif" w:hAnsi="Arial;sans-serif"/>
                <w:b/>
                <w:color w:val="000000"/>
                <w:sz w:val="15"/>
              </w:rPr>
            </w:pPr>
            <w:r>
              <w:rPr>
                <w:rFonts w:ascii="Arial;sans-serif" w:hAnsi="Arial;sans-serif"/>
                <w:b/>
                <w:color w:val="000000"/>
                <w:sz w:val="15"/>
              </w:rPr>
              <w:t>Number of Securities Underlying Unexercised Options (#)</w:t>
            </w:r>
          </w:p>
          <w:p>
            <w:pPr>
              <w:pStyle w:val="TableContents"/>
              <w:bidi w:val="0"/>
              <w:spacing w:lineRule="auto" w:line="288" w:before="0" w:after="30"/>
              <w:jc w:val="center"/>
              <w:rPr>
                <w:rFonts w:ascii="Arial;sans-serif" w:hAnsi="Arial;sans-serif"/>
                <w:b/>
                <w:color w:val="000000"/>
                <w:sz w:val="15"/>
              </w:rPr>
            </w:pPr>
            <w:r>
              <w:rPr>
                <w:rFonts w:ascii="Arial;sans-serif" w:hAnsi="Arial;sans-serif"/>
                <w:b/>
                <w:color w:val="000000"/>
                <w:sz w:val="15"/>
              </w:rPr>
              <w:t>Exercisable (7)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283"/>
              <w:jc w:val="center"/>
              <w:rPr>
                <w:rFonts w:ascii="Arial;sans-serif" w:hAnsi="Arial;sans-serif"/>
                <w:b/>
                <w:color w:val="000000"/>
                <w:sz w:val="15"/>
              </w:rPr>
            </w:pPr>
            <w:r>
              <w:rPr>
                <w:rFonts w:ascii="Arial;sans-serif" w:hAnsi="Arial;sans-serif"/>
                <w:b/>
                <w:color w:val="000000"/>
                <w:sz w:val="15"/>
              </w:rPr>
              <w:t>Number of Securities Underlying Unexercised Options (#)</w:t>
            </w:r>
          </w:p>
          <w:p>
            <w:pPr>
              <w:pStyle w:val="TableContents"/>
              <w:bidi w:val="0"/>
              <w:spacing w:lineRule="auto" w:line="288" w:before="0" w:after="30"/>
              <w:jc w:val="center"/>
              <w:rPr>
                <w:rFonts w:ascii="Arial;sans-serif" w:hAnsi="Arial;sans-serif"/>
                <w:b/>
                <w:color w:val="000000"/>
                <w:sz w:val="15"/>
              </w:rPr>
            </w:pPr>
            <w:r>
              <w:rPr>
                <w:rFonts w:ascii="Arial;sans-serif" w:hAnsi="Arial;sans-serif"/>
                <w:b/>
                <w:color w:val="000000"/>
                <w:sz w:val="15"/>
              </w:rPr>
              <w:t>Unexercisable(7)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283"/>
              <w:jc w:val="center"/>
              <w:rPr>
                <w:rFonts w:ascii="Arial;sans-serif" w:hAnsi="Arial;sans-serif"/>
                <w:b/>
                <w:color w:val="000000"/>
                <w:sz w:val="15"/>
              </w:rPr>
            </w:pPr>
            <w:r>
              <w:rPr>
                <w:rFonts w:ascii="Arial;sans-serif" w:hAnsi="Arial;sans-serif"/>
                <w:b/>
                <w:color w:val="000000"/>
                <w:sz w:val="15"/>
              </w:rPr>
              <w:t>Option Exercise Price</w:t>
            </w:r>
          </w:p>
          <w:p>
            <w:pPr>
              <w:pStyle w:val="TableContents"/>
              <w:bidi w:val="0"/>
              <w:spacing w:lineRule="auto" w:line="288" w:before="0" w:after="30"/>
              <w:jc w:val="center"/>
              <w:rPr>
                <w:rFonts w:ascii="Arial;sans-serif" w:hAnsi="Arial;sans-serif"/>
                <w:b/>
                <w:color w:val="000000"/>
                <w:sz w:val="15"/>
              </w:rPr>
            </w:pPr>
            <w:r>
              <w:rPr>
                <w:rFonts w:ascii="Arial;sans-serif" w:hAnsi="Arial;sans-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283"/>
              <w:jc w:val="center"/>
              <w:rPr>
                <w:rFonts w:ascii="Arial;sans-serif" w:hAnsi="Arial;sans-serif"/>
                <w:b/>
                <w:color w:val="000000"/>
                <w:sz w:val="15"/>
              </w:rPr>
            </w:pPr>
            <w:r>
              <w:rPr>
                <w:rFonts w:ascii="Arial;sans-serif" w:hAnsi="Arial;sans-serif"/>
                <w:b/>
                <w:color w:val="000000"/>
                <w:sz w:val="15"/>
              </w:rPr>
              <w:t>Number of Shares of Stock that have not Vested (RSUs) (#)</w:t>
            </w:r>
          </w:p>
          <w:p>
            <w:pPr>
              <w:pStyle w:val="TableContents"/>
              <w:bidi w:val="0"/>
              <w:spacing w:lineRule="auto" w:line="288" w:before="0" w:after="30"/>
              <w:jc w:val="center"/>
              <w:rPr>
                <w:rFonts w:ascii="Arial;sans-serif" w:hAnsi="Arial;sans-serif"/>
                <w:b/>
                <w:color w:val="000000"/>
                <w:sz w:val="15"/>
              </w:rPr>
            </w:pPr>
            <w:r>
              <w:rPr>
                <w:rFonts w:ascii="Arial;sans-serif" w:hAnsi="Arial;sans-serif"/>
                <w:b/>
                <w:color w:val="000000"/>
                <w:sz w:val="15"/>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Market Value of Shares of Stock that have not Vested (RSUs) ($) (8)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283"/>
              <w:jc w:val="center"/>
              <w:rPr>
                <w:rFonts w:ascii="Arial;sans-serif" w:hAnsi="Arial;sans-serif"/>
                <w:b/>
                <w:color w:val="000000"/>
                <w:sz w:val="15"/>
              </w:rPr>
            </w:pPr>
            <w:r>
              <w:rPr>
                <w:rFonts w:ascii="Arial;sans-serif" w:hAnsi="Arial;sans-serif"/>
                <w:b/>
                <w:color w:val="000000"/>
                <w:sz w:val="15"/>
              </w:rPr>
              <w:t>Equity Incentive Plan Awards: Number of Unearned Shares or Units of Stock that have not</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Vested (PSUs)</w:t>
            </w:r>
          </w:p>
          <w:p>
            <w:pPr>
              <w:pStyle w:val="TableContents"/>
              <w:bidi w:val="0"/>
              <w:spacing w:lineRule="auto" w:line="288" w:before="0" w:after="30"/>
              <w:jc w:val="center"/>
              <w:rPr>
                <w:color w:val="000000"/>
              </w:rPr>
            </w:pPr>
            <w:r>
              <w:rPr>
                <w:color w:val="000000"/>
              </w:rPr>
              <w:t> </w:t>
            </w:r>
            <w:r>
              <w:rPr>
                <w:rFonts w:ascii="Arial;sans-serif" w:hAnsi="Arial;sans-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Equity Incentive Plan Awards: Market Value of Unearned Shares or Units of Stock that have not Vested (PSUs) ($) (8)</w:t>
            </w:r>
          </w:p>
        </w:tc>
      </w:tr>
      <w:tr>
        <w:trPr/>
        <w:tc>
          <w:tcPr>
            <w:tcW w:w="721"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David Chang,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3/13/2019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292,700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3/13/2029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55" w:after="30"/>
              <w:jc w:val="right"/>
              <w:rPr>
                <w:color w:val="000000"/>
              </w:rPr>
            </w:pPr>
            <w:r>
              <w:rPr>
                <w:color w:val="000000"/>
              </w:rPr>
              <w:t>—</w:t>
            </w:r>
          </w:p>
        </w:tc>
      </w:tr>
      <w:tr>
        <w:trPr/>
        <w:tc>
          <w:tcPr>
            <w:tcW w:w="7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3/18/2020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3/18/2030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r>
      <w:tr>
        <w:trPr/>
        <w:tc>
          <w:tcPr>
            <w:tcW w:w="7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298,836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r>
      <w:tr>
        <w:trPr/>
        <w:tc>
          <w:tcPr>
            <w:tcW w:w="7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3/23/2022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2,195,512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3/23/2032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r>
      <w:tr>
        <w:trPr/>
        <w:tc>
          <w:tcPr>
            <w:tcW w:w="7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1,492,200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3/22/2033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222,054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304,214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1,480,357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2,028,089</w:t>
            </w:r>
          </w:p>
        </w:tc>
      </w:tr>
      <w:tr>
        <w:trPr/>
        <w:tc>
          <w:tcPr>
            <w:tcW w:w="7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717,813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405,722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1/25/2034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211,866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290,256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r>
      <w:tr>
        <w:trPr/>
        <w:tc>
          <w:tcPr>
            <w:tcW w:w="721"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1,952,130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552,174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756,478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689,855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945,101</w:t>
            </w:r>
          </w:p>
        </w:tc>
      </w:tr>
      <w:tr>
        <w:trPr/>
        <w:tc>
          <w:tcPr>
            <w:tcW w:w="7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75" w:after="30"/>
              <w:jc w:val="left"/>
              <w:rPr>
                <w:rFonts w:ascii="Arial;sans-serif" w:hAnsi="Arial;sans-serif"/>
                <w:b w:val="false"/>
                <w:color w:val="000000"/>
                <w:sz w:val="15"/>
              </w:rPr>
            </w:pPr>
            <w:r>
              <w:rPr>
                <w:rFonts w:ascii="Arial;sans-serif" w:hAnsi="Arial;sans-serif"/>
                <w:b w:val="false"/>
                <w:color w:val="000000"/>
                <w:sz w:val="15"/>
              </w:rPr>
              <w:t>Zachary J. Roberts,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873,015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1/20/2033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125,954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172,557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76,336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104,580</w:t>
            </w:r>
          </w:p>
        </w:tc>
      </w:tr>
      <w:tr>
        <w:trPr/>
        <w:tc>
          <w:tcPr>
            <w:tcW w:w="7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3/22/2023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148,035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202,808</w:t>
            </w:r>
          </w:p>
        </w:tc>
      </w:tr>
      <w:tr>
        <w:trPr/>
        <w:tc>
          <w:tcPr>
            <w:tcW w:w="7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316,217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178,732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1/25/2034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93,333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rFonts w:ascii="Arial;sans-serif" w:hAnsi="Arial;sans-serif"/>
                <w:b w:val="false"/>
                <w:color w:val="000000"/>
                <w:sz w:val="15"/>
              </w:rPr>
            </w:pPr>
            <w:r>
              <w:rPr>
                <w:rFonts w:ascii="Arial;sans-serif" w:hAnsi="Arial;sans-serif"/>
                <w:b w:val="false"/>
                <w:color w:val="000000"/>
                <w:sz w:val="15"/>
              </w:rPr>
              <w:t>127,866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r>
      <w:tr>
        <w:trPr/>
        <w:tc>
          <w:tcPr>
            <w:tcW w:w="7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614,844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238,261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217,392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297,827</w:t>
            </w:r>
          </w:p>
        </w:tc>
      </w:tr>
      <w:tr>
        <w:trPr/>
        <w:tc>
          <w:tcPr>
            <w:tcW w:w="72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Geoffrey Parker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10/16/2023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950,000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10/16/2033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390,000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534,300</w:t>
            </w:r>
          </w:p>
        </w:tc>
      </w:tr>
      <w:tr>
        <w:trPr/>
        <w:tc>
          <w:tcPr>
            <w:tcW w:w="72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66,405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37,534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1/25/2034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19,600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26,852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r>
      <w:tr>
        <w:trPr/>
        <w:tc>
          <w:tcPr>
            <w:tcW w:w="72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614,844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1/24/2035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173,913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238,261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217,392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297,827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0"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(1)    With the exception of the RSU awards granted on January 25, 2024, RSU awards vest in four equal annual installments from the grant date. The RSU awards granted on January 25, 2024 vest in three equal annual installments from the grant date.</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(2)    740,178 PSUs granted in 2023 would vest upon our stock price achieving a 30-day weighted average trading price of $18.00 per share prior to March 22, 2026. This milestone has lapsed without achievement; therefore, 740,178 PSUs awarded were forfeited. 740,179 PSUs will vest, if at all, upon the first FDA approval of a Company product prior to March 22, 2028.</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(3)    PSU vesting is contingent on achieving specified milestones in our ALLO-329 autoimmune program. Each PSU milestone vests one-third of the total award, with up to 150% of target shares vesting if those milestones are achieved without chemotherapy-based lymphodepletion. The amount in the table is presented based on a maximum payout of 150%.</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(4)    76,336, 50% of the original grant of 152,671, is assumed to be achievable. 152,671 PSUs will vest, if at all, in two equal installments, with (a) the first installment to vest upon the filing of a biologics license application with the FDA for ALLO-501A, provided that 125% of such installment shall vest if such filing is completed by the end of 2025, 100% of such installment shall vest if such filing is completed in 2026 and 50% of such installment shall vest if such filing is completed after 2026, and (b) the second installment to vest upon FDA approval of ALLO-501A, provided that 125% of such installment shall vest if such approval is achieved by the end of 2025, 100% of such installment shall vest if such approval is achieved in 2026 and 50% of such installment shall vest if such approval is achieved after 2026. Any unvested portion of PSUs shall expire unvested after five years. </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(5)    48,852 PSUs granted in 2023 would vest upon our stock price achieving a 30-day weighted average trading price of $18.00 per share prior to March 22, 2026. This milestone has lapsed without achievement; therefore, 48,852 of PSUs were forfeited. 99,183 PSUs will vest, if at all, upon the first FDA approval of a company product prior to March 22, 2028.</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(6)    50% of the 390,000 PSUs granted in 2023, or 195,000 shares, would vest upon certain stock price performance prior to March 22, 2026. This milestone has lapsed without achievement; therefore, 195,000 PSUs were forfeited. The remaining 195,000 PSUs will vest, if at all, upon the first FDA approval of a company product prior to March 22, 2028. </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(7)    With the exception of the stock options granted on January 25, 2024, our stock options vest as to 1/4th of the shares subject to the option upon the first anniversary of the grant date and 1/36th of the remaining shares each month thereafter until such award is fully vested on the four-year anniversary of the grant date. Stock options granted on January 25, 2024 vest as to 1/3rd of the shares subject to the option upon the first anniversary of the grant date and 1/24th of the remaining shares each month thereafter until such award is fully vested on the three-year anniversary of the grant date. </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(8)    Based on the closing market price of our common stock on December 31, 2025 of $1.37 per share.</w:t>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5686F"/>
          <w:sz w:val="20"/>
        </w:rPr>
      </w:pPr>
      <w:r>
        <w:rPr>
          <w:rFonts w:ascii="Arial;sans-serif" w:hAnsi="Arial;sans-serif"/>
          <w:b/>
          <w:color w:val="05686F"/>
          <w:sz w:val="20"/>
        </w:rPr>
        <w:t>Securities Authorized for Issuance under Equity Compensation Plans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aggregate information of our equity compensation plans in effect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1"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center"/>
        <w:rPr>
          <w:rFonts w:ascii="Arial;sans-serif" w:hAnsi="Arial;sans-serif"/>
          <w:b/>
          <w:color w:val="05686F"/>
          <w:sz w:val="20"/>
          <w:shd w:fill="FFFFFF" w:val="clear"/>
        </w:rPr>
      </w:pPr>
      <w:r>
        <w:rPr>
          <w:rFonts w:ascii="Arial;sans-serif" w:hAnsi="Arial;sans-serif"/>
          <w:b/>
          <w:color w:val="05686F"/>
          <w:sz w:val="20"/>
          <w:shd w:fill="FFFFFF" w:val="clear"/>
        </w:rPr>
        <w:t>Equity Compensation Plan Information</w:t>
      </w:r>
    </w:p>
    <w:tbl>
      <w:tblPr>
        <w:tblW w:w="10205" w:type="dxa"/>
        <w:jc w:val="center"/>
        <w:tblInd w:w="0" w:type="dxa"/>
        <w:tblLayout w:type="fixed"/>
        <w:tblCellMar>
          <w:top w:w="28" w:type="dxa"/>
          <w:left w:w="28" w:type="dxa"/>
          <w:bottom w:w="28" w:type="dxa"/>
          <w:right w:w="28" w:type="dxa"/>
        </w:tblCellMar>
      </w:tblPr>
      <w:tblGrid>
        <w:gridCol w:w="682"/>
        <w:gridCol w:w="600"/>
        <w:gridCol w:w="525"/>
        <w:gridCol w:w="109"/>
        <w:gridCol w:w="109"/>
        <w:gridCol w:w="109"/>
        <w:gridCol w:w="943"/>
        <w:gridCol w:w="659"/>
        <w:gridCol w:w="661"/>
        <w:gridCol w:w="109"/>
        <w:gridCol w:w="109"/>
        <w:gridCol w:w="109"/>
        <w:gridCol w:w="566"/>
        <w:gridCol w:w="1452"/>
        <w:gridCol w:w="293"/>
        <w:gridCol w:w="109"/>
        <w:gridCol w:w="109"/>
        <w:gridCol w:w="109"/>
        <w:gridCol w:w="999"/>
        <w:gridCol w:w="762"/>
        <w:gridCol w:w="1082"/>
      </w:tblGrid>
      <w:tr>
        <w:trPr/>
        <w:tc>
          <w:tcPr>
            <w:tcW w:w="68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 of securities to be issued upon exercise of outstanding options, warrants and rights</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Weighted-average exercise price of outstanding options, warrants and rights</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 of securities remaining available for issuance under equity compensation plans (excluding securities reflected in column (a))</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w:t>
            </w:r>
          </w:p>
        </w:tc>
      </w:tr>
      <w:tr>
        <w:trPr/>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and Restated 2018 Equity Incentive Plan ("Prior Plan")(1)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686,136 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Amended and Restated 2018 Equity Incentive Plan(2)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46,980,157 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6,187,819 </w:t>
            </w:r>
          </w:p>
        </w:tc>
        <w:tc>
          <w:tcPr>
            <w:tcW w:w="10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2018 Employee Stock Purchase Plan(3)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9,101,120 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47,666,303 </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15,288,939 </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(1)    As of December 31, 2025, under our Amended and Restated 2018 Equity Incentive Plan (the "Prior Plan"), the number of outstanding awards under column (a) includes 686,136 shares which are issuable upon the exercise of outstanding options (including options that are immediately exercisable) at a weighted-average exercise price of $6.66.</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(2)    The EIP became effective on September 26, 2018, which replaced the Prior Plan. Initially, the aggregate number of shares of our common stock that may be issued under the EIP was 20,432,250 shares. On January 1 of each year, commencing on January 1, 2019 and ending on January 1, 2028, the number of shares authorized for issuance under the EIP is automatically increased by a number equal to: (a) 5% of the total number of shares of capital stock outstanding on December 31 of the preceding calendar year; or (b) such lesser number of shares of common stock as is determined by our Board or the Compensation Committee for the applicable year. All shares of our common stock reserved and available under the EIP shall constitute the maximum aggregate number of shares of common stock that may be issued through incentive stock options. As of December 31, 2025, the number of outstanding awards under column (a) includes: (1) 30,451,941 shares issuable upon the exercise of outstanding options at a weighted-average exercise price of approximately $6.30 and (2) 16,528,226 shares issuable upon the vesting of outstanding restricted stock units, including 6,515,095 shares issuable upon vesting of PSUs. The weighted-average exercise price shown in column (b) is for the outstanding options only.</w:t>
      </w:r>
    </w:p>
    <w:p>
      <w:pPr>
        <w:pStyle w:val="TextBody"/>
        <w:bidi w:val="0"/>
        <w:spacing w:lineRule="auto" w:line="333"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    Our 2018 Employee Stock Purchase Plan (the "ESPP") became effective on September 26, 2018. The ESPP initially authorized the issuance of 1,160,000 shares of our common stock pursuant to purchase rights granted to our employees or to employees of any of our designated affiliates. On January 1 of each year, commencing on January 1, 2019 and ending on January 1, 2028, the number of shares authorized for issuance under the ESPP is automatically increased by a number equal to the lesser of: (a) 1% of the total number of shares of capital stock outstanding on December 31 of the preceding calendar year; (b) 2,320,000 shares; or (c) such lesser number of shares of Common Stock as is determined by our Board or the Compensation Committee for the applicable year. The ESPP is intended to qualify as an “employee stock purchase plan” within the meaning of Section 423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center"/>
        <w:rPr>
          <w:rFonts w:ascii="Arial;sans-serif" w:hAnsi="Arial;sans-serif"/>
          <w:b/>
          <w:color w:val="05686F"/>
          <w:sz w:val="20"/>
        </w:rPr>
      </w:pPr>
      <w:r>
        <w:rPr>
          <w:rFonts w:ascii="Arial;sans-serif" w:hAnsi="Arial;sans-serif"/>
          <w:b/>
          <w:color w:val="05686F"/>
          <w:sz w:val="20"/>
        </w:rPr>
        <w:t>Pay Versus Performance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Use of the term “compensation actually paid” is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2"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by the SEC’s rules and as a result of the calculation methodology required by the SEC, such amounts differ from compensation actually received by the individuals and the compensation decisions described in the “Discussion of Named Executive Officer Compensation” section above.</w:t>
      </w:r>
    </w:p>
    <w:tbl>
      <w:tblPr>
        <w:tblW w:w="10205" w:type="dxa"/>
        <w:jc w:val="center"/>
        <w:tblInd w:w="0" w:type="dxa"/>
        <w:tblLayout w:type="fixed"/>
        <w:tblCellMar>
          <w:top w:w="28" w:type="dxa"/>
          <w:left w:w="28" w:type="dxa"/>
          <w:bottom w:w="28" w:type="dxa"/>
          <w:right w:w="28" w:type="dxa"/>
        </w:tblCellMar>
      </w:tblPr>
      <w:tblGrid>
        <w:gridCol w:w="195"/>
        <w:gridCol w:w="171"/>
        <w:gridCol w:w="175"/>
        <w:gridCol w:w="627"/>
        <w:gridCol w:w="627"/>
        <w:gridCol w:w="628"/>
        <w:gridCol w:w="475"/>
        <w:gridCol w:w="475"/>
        <w:gridCol w:w="476"/>
        <w:gridCol w:w="709"/>
        <w:gridCol w:w="709"/>
        <w:gridCol w:w="711"/>
        <w:gridCol w:w="558"/>
        <w:gridCol w:w="558"/>
        <w:gridCol w:w="559"/>
        <w:gridCol w:w="518"/>
        <w:gridCol w:w="455"/>
        <w:gridCol w:w="457"/>
        <w:gridCol w:w="325"/>
        <w:gridCol w:w="325"/>
        <w:gridCol w:w="472"/>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Pay Versus Performance</w:t>
            </w:r>
          </w:p>
        </w:tc>
      </w:tr>
      <w:tr>
        <w:trPr/>
        <w:tc>
          <w:tcPr>
            <w:tcW w:w="541" w:type="dxa"/>
            <w:gridSpan w:val="3"/>
            <w:vMerge w:val="restart"/>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Year</w:t>
            </w:r>
          </w:p>
        </w:tc>
        <w:tc>
          <w:tcPr>
            <w:tcW w:w="1882" w:type="dxa"/>
            <w:gridSpan w:val="3"/>
            <w:vMerge w:val="restart"/>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88" w:before="55" w:after="283"/>
              <w:jc w:val="center"/>
              <w:rPr/>
            </w:pPr>
            <w:r>
              <w:rPr>
                <w:rFonts w:ascii="Arial;sans-serif" w:hAnsi="Arial;sans-serif"/>
                <w:b w:val="false"/>
                <w:color w:val="000000"/>
                <w:sz w:val="16"/>
              </w:rPr>
              <w:t>Summary Compensation Table Total for Principal Executive Officer (PEO)</w:t>
            </w:r>
            <w:r>
              <w:rPr>
                <w:rFonts w:ascii="Arial;sans-serif" w:hAnsi="Arial;sans-serif"/>
                <w:b w:val="false"/>
                <w:color w:val="000000"/>
                <w:sz w:val="10"/>
              </w:rPr>
              <w:t>(1)</w:t>
            </w:r>
          </w:p>
          <w:p>
            <w:pPr>
              <w:pStyle w:val="TableContents"/>
              <w:bidi w:val="0"/>
              <w:spacing w:lineRule="auto" w:line="288" w:before="0" w:after="30"/>
              <w:jc w:val="center"/>
              <w:rPr>
                <w:rFonts w:ascii="Arial;sans-serif" w:hAnsi="Arial;sans-serif"/>
                <w:b w:val="false"/>
                <w:color w:val="000000"/>
                <w:sz w:val="16"/>
              </w:rPr>
            </w:pPr>
            <w:r>
              <w:rPr>
                <w:rFonts w:ascii="Arial;sans-serif" w:hAnsi="Arial;sans-serif"/>
                <w:b w:val="false"/>
                <w:color w:val="000000"/>
                <w:sz w:val="16"/>
              </w:rPr>
              <w:t>($)</w:t>
            </w:r>
          </w:p>
        </w:tc>
        <w:tc>
          <w:tcPr>
            <w:tcW w:w="1426" w:type="dxa"/>
            <w:gridSpan w:val="3"/>
            <w:vMerge w:val="restart"/>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88" w:before="55" w:after="283"/>
              <w:jc w:val="center"/>
              <w:rPr/>
            </w:pPr>
            <w:r>
              <w:rPr>
                <w:rFonts w:ascii="Arial;sans-serif" w:hAnsi="Arial;sans-serif"/>
                <w:b w:val="false"/>
                <w:color w:val="000000"/>
                <w:sz w:val="16"/>
              </w:rPr>
              <w:t>Compensation Actually Paid to PEO</w:t>
            </w:r>
            <w:r>
              <w:rPr>
                <w:rFonts w:ascii="Arial;sans-serif" w:hAnsi="Arial;sans-serif"/>
                <w:b w:val="false"/>
                <w:color w:val="000000"/>
                <w:sz w:val="10"/>
              </w:rPr>
              <w:t>(2)</w:t>
            </w:r>
          </w:p>
          <w:p>
            <w:pPr>
              <w:pStyle w:val="TableContents"/>
              <w:bidi w:val="0"/>
              <w:spacing w:lineRule="auto" w:line="288" w:before="0" w:after="30"/>
              <w:jc w:val="center"/>
              <w:rPr>
                <w:rFonts w:ascii="Arial;sans-serif" w:hAnsi="Arial;sans-serif"/>
                <w:b w:val="false"/>
                <w:color w:val="000000"/>
                <w:sz w:val="16"/>
              </w:rPr>
            </w:pPr>
            <w:r>
              <w:rPr>
                <w:rFonts w:ascii="Arial;sans-serif" w:hAnsi="Arial;sans-serif"/>
                <w:b w:val="false"/>
                <w:color w:val="000000"/>
                <w:sz w:val="16"/>
              </w:rPr>
              <w:t>($)</w:t>
            </w:r>
          </w:p>
        </w:tc>
        <w:tc>
          <w:tcPr>
            <w:tcW w:w="2129" w:type="dxa"/>
            <w:gridSpan w:val="3"/>
            <w:vMerge w:val="restart"/>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88" w:before="55" w:after="283"/>
              <w:jc w:val="center"/>
              <w:rPr/>
            </w:pPr>
            <w:r>
              <w:rPr>
                <w:rFonts w:ascii="Arial;sans-serif" w:hAnsi="Arial;sans-serif"/>
                <w:b w:val="false"/>
                <w:color w:val="000000"/>
                <w:sz w:val="16"/>
              </w:rPr>
              <w:t>Average Summary Compensation Table Total for Non-PEO Named Executive Officers (NEOs)</w:t>
            </w:r>
            <w:r>
              <w:rPr>
                <w:rFonts w:ascii="Arial;sans-serif" w:hAnsi="Arial;sans-serif"/>
                <w:b w:val="false"/>
                <w:color w:val="000000"/>
                <w:sz w:val="10"/>
              </w:rPr>
              <w:t>(3)</w:t>
            </w:r>
          </w:p>
          <w:p>
            <w:pPr>
              <w:pStyle w:val="TableContents"/>
              <w:bidi w:val="0"/>
              <w:spacing w:lineRule="auto" w:line="288" w:before="0" w:after="30"/>
              <w:jc w:val="center"/>
              <w:rPr>
                <w:rFonts w:ascii="Arial;sans-serif" w:hAnsi="Arial;sans-serif"/>
                <w:b w:val="false"/>
                <w:color w:val="000000"/>
                <w:sz w:val="16"/>
              </w:rPr>
            </w:pPr>
            <w:r>
              <w:rPr>
                <w:rFonts w:ascii="Arial;sans-serif" w:hAnsi="Arial;sans-serif"/>
                <w:b w:val="false"/>
                <w:color w:val="000000"/>
                <w:sz w:val="16"/>
              </w:rPr>
              <w:t>($)</w:t>
            </w:r>
          </w:p>
        </w:tc>
        <w:tc>
          <w:tcPr>
            <w:tcW w:w="1675" w:type="dxa"/>
            <w:gridSpan w:val="3"/>
            <w:vMerge w:val="restart"/>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88" w:before="55" w:after="283"/>
              <w:jc w:val="center"/>
              <w:rPr/>
            </w:pPr>
            <w:r>
              <w:rPr>
                <w:rFonts w:ascii="Arial;sans-serif" w:hAnsi="Arial;sans-serif"/>
                <w:b w:val="false"/>
                <w:color w:val="000000"/>
                <w:sz w:val="16"/>
              </w:rPr>
              <w:t>Average Compensation Actually Paid to Non-PEO NEOs</w:t>
            </w:r>
            <w:r>
              <w:rPr>
                <w:rFonts w:ascii="Arial;sans-serif" w:hAnsi="Arial;sans-serif"/>
                <w:b w:val="false"/>
                <w:color w:val="000000"/>
                <w:sz w:val="10"/>
              </w:rPr>
              <w:t>(4)</w:t>
            </w:r>
          </w:p>
          <w:p>
            <w:pPr>
              <w:pStyle w:val="TableContents"/>
              <w:bidi w:val="0"/>
              <w:spacing w:lineRule="auto" w:line="288" w:before="0" w:after="30"/>
              <w:jc w:val="center"/>
              <w:rPr>
                <w:rFonts w:ascii="Arial;sans-serif" w:hAnsi="Arial;sans-serif"/>
                <w:b w:val="false"/>
                <w:color w:val="000000"/>
                <w:sz w:val="16"/>
              </w:rPr>
            </w:pPr>
            <w:r>
              <w:rPr>
                <w:rFonts w:ascii="Arial;sans-serif" w:hAnsi="Arial;sans-serif"/>
                <w:b w:val="false"/>
                <w:color w:val="000000"/>
                <w:sz w:val="16"/>
              </w:rPr>
              <w:t>($)</w:t>
            </w:r>
          </w:p>
        </w:tc>
        <w:tc>
          <w:tcPr>
            <w:tcW w:w="1430" w:type="dxa"/>
            <w:gridSpan w:val="3"/>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Value of Initial Fixed $100 Investment Based On: </w:t>
            </w:r>
          </w:p>
        </w:tc>
        <w:tc>
          <w:tcPr>
            <w:tcW w:w="1122" w:type="dxa"/>
            <w:gridSpan w:val="3"/>
            <w:vMerge w:val="restart"/>
            <w:tcBorders>
              <w:top w:val="single" w:sz="6" w:space="0" w:color="616365"/>
              <w:right w:val="single" w:sz="6" w:space="0" w:color="616365"/>
            </w:tcBorders>
            <w:tcMar>
              <w:top w:w="30" w:type="dxa"/>
              <w:left w:w="0" w:type="dxa"/>
              <w:bottom w:w="0" w:type="dxa"/>
            </w:tcMar>
            <w:vAlign w:val="center"/>
          </w:tcPr>
          <w:p>
            <w:pPr>
              <w:pStyle w:val="TableContents"/>
              <w:bidi w:val="0"/>
              <w:spacing w:lineRule="auto" w:line="288" w:before="55" w:after="283"/>
              <w:jc w:val="center"/>
              <w:rPr>
                <w:rFonts w:ascii="Arial;sans-serif" w:hAnsi="Arial;sans-serif"/>
                <w:b w:val="false"/>
                <w:color w:val="000000"/>
                <w:sz w:val="16"/>
              </w:rPr>
            </w:pPr>
            <w:r>
              <w:rPr>
                <w:rFonts w:ascii="Arial;sans-serif" w:hAnsi="Arial;sans-serif"/>
                <w:b w:val="false"/>
                <w:color w:val="000000"/>
                <w:sz w:val="16"/>
              </w:rPr>
              <w:t>Net Income (Loss)</w:t>
            </w:r>
          </w:p>
          <w:p>
            <w:pPr>
              <w:pStyle w:val="TableContents"/>
              <w:bidi w:val="0"/>
              <w:spacing w:lineRule="auto" w:line="288" w:before="0" w:after="30"/>
              <w:jc w:val="center"/>
              <w:rPr/>
            </w:pPr>
            <w:r>
              <w:rPr>
                <w:rFonts w:ascii="Arial;sans-serif" w:hAnsi="Arial;sans-serif"/>
                <w:b w:val="false"/>
                <w:color w:val="000000"/>
                <w:sz w:val="16"/>
              </w:rPr>
              <w:t>(thousands)</w:t>
            </w:r>
            <w:r>
              <w:rPr>
                <w:rFonts w:ascii="Arial;sans-serif" w:hAnsi="Arial;sans-serif"/>
                <w:b w:val="false"/>
                <w:color w:val="000000"/>
                <w:sz w:val="10"/>
              </w:rPr>
              <w:t>(6)</w:t>
            </w:r>
          </w:p>
        </w:tc>
      </w:tr>
      <w:tr>
        <w:trPr/>
        <w:tc>
          <w:tcPr>
            <w:tcW w:w="541" w:type="dxa"/>
            <w:gridSpan w:val="3"/>
            <w:vMerge w:val="continue"/>
            <w:tcBorders>
              <w:top w:val="single" w:sz="6" w:space="0" w:color="616365"/>
              <w:left w:val="single" w:sz="6" w:space="0" w:color="616365"/>
              <w:right w:val="single" w:sz="6" w:space="0" w:color="616365"/>
            </w:tcBorders>
            <w:tcMar>
              <w:top w:w="30" w:type="dxa"/>
              <w:bottom w:w="0" w:type="dxa"/>
            </w:tcMar>
            <w:vAlign w:val="center"/>
          </w:tcPr>
          <w:p>
            <w:pPr>
              <w:pStyle w:val="Normal"/>
              <w:bidi w:val="0"/>
              <w:jc w:val="left"/>
              <w:rPr/>
            </w:pPr>
            <w:r>
              <w:rPr/>
            </w:r>
          </w:p>
        </w:tc>
        <w:tc>
          <w:tcPr>
            <w:tcW w:w="1882" w:type="dxa"/>
            <w:gridSpan w:val="3"/>
            <w:vMerge w:val="continue"/>
            <w:tcBorders>
              <w:top w:val="single" w:sz="6" w:space="0" w:color="616365"/>
              <w:left w:val="single" w:sz="6" w:space="0" w:color="616365"/>
              <w:right w:val="single" w:sz="6" w:space="0" w:color="616365"/>
            </w:tcBorders>
            <w:tcMar>
              <w:top w:w="30" w:type="dxa"/>
              <w:bottom w:w="0" w:type="dxa"/>
            </w:tcMar>
            <w:vAlign w:val="center"/>
          </w:tcPr>
          <w:p>
            <w:pPr>
              <w:pStyle w:val="Normal"/>
              <w:bidi w:val="0"/>
              <w:jc w:val="left"/>
              <w:rPr/>
            </w:pPr>
            <w:r>
              <w:rPr/>
            </w:r>
          </w:p>
        </w:tc>
        <w:tc>
          <w:tcPr>
            <w:tcW w:w="1426" w:type="dxa"/>
            <w:gridSpan w:val="3"/>
            <w:vMerge w:val="continue"/>
            <w:tcBorders>
              <w:top w:val="single" w:sz="6" w:space="0" w:color="616365"/>
              <w:left w:val="single" w:sz="6" w:space="0" w:color="616365"/>
              <w:right w:val="single" w:sz="6" w:space="0" w:color="616365"/>
            </w:tcBorders>
            <w:tcMar>
              <w:top w:w="30" w:type="dxa"/>
              <w:bottom w:w="0" w:type="dxa"/>
            </w:tcMar>
            <w:vAlign w:val="center"/>
          </w:tcPr>
          <w:p>
            <w:pPr>
              <w:pStyle w:val="Normal"/>
              <w:bidi w:val="0"/>
              <w:jc w:val="left"/>
              <w:rPr/>
            </w:pPr>
            <w:r>
              <w:rPr/>
            </w:r>
          </w:p>
        </w:tc>
        <w:tc>
          <w:tcPr>
            <w:tcW w:w="2129" w:type="dxa"/>
            <w:gridSpan w:val="3"/>
            <w:vMerge w:val="continue"/>
            <w:tcBorders>
              <w:top w:val="single" w:sz="6" w:space="0" w:color="616365"/>
              <w:left w:val="single" w:sz="6" w:space="0" w:color="616365"/>
              <w:right w:val="single" w:sz="6" w:space="0" w:color="616365"/>
            </w:tcBorders>
            <w:tcMar>
              <w:top w:w="30" w:type="dxa"/>
              <w:bottom w:w="0" w:type="dxa"/>
            </w:tcMar>
            <w:vAlign w:val="center"/>
          </w:tcPr>
          <w:p>
            <w:pPr>
              <w:pStyle w:val="Normal"/>
              <w:bidi w:val="0"/>
              <w:jc w:val="left"/>
              <w:rPr/>
            </w:pPr>
            <w:r>
              <w:rPr/>
            </w:r>
          </w:p>
        </w:tc>
        <w:tc>
          <w:tcPr>
            <w:tcW w:w="1675" w:type="dxa"/>
            <w:gridSpan w:val="3"/>
            <w:vMerge w:val="continue"/>
            <w:tcBorders>
              <w:top w:val="single" w:sz="6" w:space="0" w:color="616365"/>
              <w:left w:val="single" w:sz="6" w:space="0" w:color="616365"/>
            </w:tcBorders>
            <w:tcMar>
              <w:top w:w="30" w:type="dxa"/>
              <w:bottom w:w="0" w:type="dxa"/>
              <w:right w:w="0" w:type="dxa"/>
            </w:tcMar>
            <w:vAlign w:val="center"/>
          </w:tcPr>
          <w:p>
            <w:pPr>
              <w:pStyle w:val="Normal"/>
              <w:bidi w:val="0"/>
              <w:jc w:val="left"/>
              <w:rPr/>
            </w:pPr>
            <w:r>
              <w:rPr/>
            </w:r>
          </w:p>
        </w:tc>
        <w:tc>
          <w:tcPr>
            <w:tcW w:w="1430" w:type="dxa"/>
            <w:gridSpan w:val="3"/>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88" w:before="55" w:after="283"/>
              <w:jc w:val="center"/>
              <w:rPr/>
            </w:pPr>
            <w:r>
              <w:rPr>
                <w:rFonts w:ascii="Arial;sans-serif" w:hAnsi="Arial;sans-serif"/>
                <w:b w:val="false"/>
                <w:color w:val="000000"/>
                <w:sz w:val="16"/>
              </w:rPr>
              <w:t>Total Shareholder Return (TSR)</w:t>
            </w:r>
            <w:r>
              <w:rPr>
                <w:rFonts w:ascii="Arial;sans-serif" w:hAnsi="Arial;sans-serif"/>
                <w:b w:val="false"/>
                <w:color w:val="000000"/>
                <w:sz w:val="10"/>
              </w:rPr>
              <w:t>(5)</w:t>
            </w:r>
          </w:p>
          <w:p>
            <w:pPr>
              <w:pStyle w:val="TableContents"/>
              <w:bidi w:val="0"/>
              <w:spacing w:lineRule="auto" w:line="288" w:before="0" w:after="30"/>
              <w:jc w:val="center"/>
              <w:rPr>
                <w:rFonts w:ascii="Arial;sans-serif" w:hAnsi="Arial;sans-serif"/>
                <w:b w:val="false"/>
                <w:color w:val="000000"/>
                <w:sz w:val="16"/>
              </w:rPr>
            </w:pPr>
            <w:r>
              <w:rPr>
                <w:rFonts w:ascii="Arial;sans-serif" w:hAnsi="Arial;sans-serif"/>
                <w:b w:val="false"/>
                <w:color w:val="000000"/>
                <w:sz w:val="16"/>
              </w:rPr>
              <w:t>($)</w:t>
            </w:r>
          </w:p>
        </w:tc>
        <w:tc>
          <w:tcPr>
            <w:tcW w:w="1122" w:type="dxa"/>
            <w:gridSpan w:val="3"/>
            <w:vMerge w:val="continue"/>
            <w:tcBorders>
              <w:top w:val="single" w:sz="6" w:space="0" w:color="616365"/>
              <w:right w:val="single" w:sz="6" w:space="0" w:color="616365"/>
            </w:tcBorders>
            <w:tcMar>
              <w:top w:w="30" w:type="dxa"/>
              <w:left w:w="0" w:type="dxa"/>
              <w:bottom w:w="0" w:type="dxa"/>
            </w:tcMar>
            <w:vAlign w:val="center"/>
          </w:tcPr>
          <w:p>
            <w:pPr>
              <w:pStyle w:val="Normal"/>
              <w:bidi w:val="0"/>
              <w:jc w:val="left"/>
              <w:rPr/>
            </w:pPr>
            <w:r>
              <w:rPr/>
            </w:r>
          </w:p>
        </w:tc>
      </w:tr>
      <w:tr>
        <w:trPr/>
        <w:tc>
          <w:tcPr>
            <w:tcW w:w="541" w:type="dxa"/>
            <w:gridSpan w:val="3"/>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1882" w:type="dxa"/>
            <w:gridSpan w:val="3"/>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t>
            </w:r>
          </w:p>
        </w:tc>
        <w:tc>
          <w:tcPr>
            <w:tcW w:w="1426" w:type="dxa"/>
            <w:gridSpan w:val="3"/>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2129" w:type="dxa"/>
            <w:gridSpan w:val="3"/>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w:t>
            </w:r>
          </w:p>
        </w:tc>
        <w:tc>
          <w:tcPr>
            <w:tcW w:w="1675" w:type="dxa"/>
            <w:gridSpan w:val="3"/>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1430" w:type="dxa"/>
            <w:gridSpan w:val="3"/>
            <w:tcBorders>
              <w:top w:val="single" w:sz="6" w:space="0" w:color="616365"/>
              <w:left w:val="single" w:sz="6" w:space="0" w:color="616365"/>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1122" w:type="dxa"/>
            <w:gridSpan w:val="3"/>
            <w:tcBorders>
              <w:top w:val="single" w:sz="6" w:space="0" w:color="616365"/>
              <w:left w:val="single" w:sz="6" w:space="0" w:color="616365"/>
              <w:right w:val="single" w:sz="6" w:space="0" w:color="616365"/>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w:t>
            </w:r>
          </w:p>
        </w:tc>
      </w:tr>
      <w:tr>
        <w:trPr/>
        <w:tc>
          <w:tcPr>
            <w:tcW w:w="541" w:type="dxa"/>
            <w:gridSpan w:val="3"/>
            <w:tcBorders>
              <w:top w:val="single" w:sz="6" w:space="0" w:color="616365"/>
              <w:left w:val="single" w:sz="6" w:space="0" w:color="616365"/>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882" w:type="dxa"/>
            <w:gridSpan w:val="3"/>
            <w:tcBorders>
              <w:top w:val="single" w:sz="6" w:space="0" w:color="616365"/>
              <w:left w:val="single" w:sz="6" w:space="0" w:color="616365"/>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6,136,093</w:t>
            </w:r>
          </w:p>
        </w:tc>
        <w:tc>
          <w:tcPr>
            <w:tcW w:w="1426" w:type="dxa"/>
            <w:gridSpan w:val="3"/>
            <w:tcBorders>
              <w:top w:val="single" w:sz="6" w:space="0" w:color="616365"/>
              <w:left w:val="single" w:sz="6" w:space="0" w:color="616365"/>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1,930,401</w:t>
            </w:r>
          </w:p>
        </w:tc>
        <w:tc>
          <w:tcPr>
            <w:tcW w:w="2129" w:type="dxa"/>
            <w:gridSpan w:val="3"/>
            <w:tcBorders>
              <w:top w:val="single" w:sz="6" w:space="0" w:color="616365"/>
              <w:left w:val="single" w:sz="6" w:space="0" w:color="616365"/>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2,303,234</w:t>
            </w:r>
          </w:p>
        </w:tc>
        <w:tc>
          <w:tcPr>
            <w:tcW w:w="1675" w:type="dxa"/>
            <w:gridSpan w:val="3"/>
            <w:tcBorders>
              <w:top w:val="single" w:sz="6" w:space="0" w:color="616365"/>
              <w:left w:val="single" w:sz="6" w:space="0" w:color="616365"/>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850,624</w:t>
            </w:r>
          </w:p>
        </w:tc>
        <w:tc>
          <w:tcPr>
            <w:tcW w:w="1430" w:type="dxa"/>
            <w:gridSpan w:val="3"/>
            <w:tcBorders>
              <w:top w:val="single" w:sz="6" w:space="0" w:color="616365"/>
              <w:left w:val="single" w:sz="6" w:space="0" w:color="616365"/>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21.78</w:t>
            </w:r>
          </w:p>
        </w:tc>
        <w:tc>
          <w:tcPr>
            <w:tcW w:w="1122" w:type="dxa"/>
            <w:gridSpan w:val="3"/>
            <w:tcBorders>
              <w:top w:val="single" w:sz="6" w:space="0" w:color="616365"/>
              <w:left w:val="single" w:sz="6" w:space="0" w:color="616365"/>
              <w:right w:val="single" w:sz="6" w:space="0" w:color="616365"/>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(190,886)</w:t>
            </w:r>
          </w:p>
        </w:tc>
      </w:tr>
      <w:tr>
        <w:trPr/>
        <w:tc>
          <w:tcPr>
            <w:tcW w:w="541" w:type="dxa"/>
            <w:gridSpan w:val="3"/>
            <w:tcBorders>
              <w:top w:val="single" w:sz="6" w:space="0" w:color="616365"/>
              <w:left w:val="single" w:sz="6" w:space="0" w:color="61636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882" w:type="dxa"/>
            <w:gridSpan w:val="3"/>
            <w:tcBorders>
              <w:top w:val="single" w:sz="6" w:space="0" w:color="616365"/>
              <w:left w:val="single" w:sz="6" w:space="0" w:color="61636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4,482,208</w:t>
            </w:r>
          </w:p>
        </w:tc>
        <w:tc>
          <w:tcPr>
            <w:tcW w:w="1426" w:type="dxa"/>
            <w:gridSpan w:val="3"/>
            <w:tcBorders>
              <w:top w:val="single" w:sz="6" w:space="0" w:color="616365"/>
              <w:left w:val="single" w:sz="6" w:space="0" w:color="61636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872,365</w:t>
            </w:r>
          </w:p>
        </w:tc>
        <w:tc>
          <w:tcPr>
            <w:tcW w:w="2129" w:type="dxa"/>
            <w:gridSpan w:val="3"/>
            <w:tcBorders>
              <w:top w:val="single" w:sz="6" w:space="0" w:color="616365"/>
              <w:left w:val="single" w:sz="6" w:space="0" w:color="61636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1,975,139</w:t>
            </w:r>
          </w:p>
        </w:tc>
        <w:tc>
          <w:tcPr>
            <w:tcW w:w="1675" w:type="dxa"/>
            <w:gridSpan w:val="3"/>
            <w:tcBorders>
              <w:top w:val="single" w:sz="6" w:space="0" w:color="616365"/>
              <w:left w:val="single" w:sz="6" w:space="0" w:color="61636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633,611</w:t>
            </w:r>
          </w:p>
        </w:tc>
        <w:tc>
          <w:tcPr>
            <w:tcW w:w="1430" w:type="dxa"/>
            <w:gridSpan w:val="3"/>
            <w:tcBorders>
              <w:top w:val="single" w:sz="6" w:space="0" w:color="616365"/>
              <w:left w:val="single" w:sz="6" w:space="0" w:color="616365"/>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33.86</w:t>
            </w:r>
          </w:p>
        </w:tc>
        <w:tc>
          <w:tcPr>
            <w:tcW w:w="1122" w:type="dxa"/>
            <w:gridSpan w:val="3"/>
            <w:tcBorders>
              <w:top w:val="single" w:sz="6" w:space="0" w:color="616365"/>
              <w:left w:val="single" w:sz="6" w:space="0" w:color="616365"/>
              <w:right w:val="single" w:sz="6" w:space="0" w:color="616365"/>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(257,590)</w:t>
            </w:r>
          </w:p>
        </w:tc>
      </w:tr>
      <w:tr>
        <w:trPr/>
        <w:tc>
          <w:tcPr>
            <w:tcW w:w="541" w:type="dxa"/>
            <w:gridSpan w:val="3"/>
            <w:tcBorders>
              <w:top w:val="single" w:sz="6" w:space="0" w:color="616365"/>
              <w:left w:val="single" w:sz="6" w:space="0" w:color="616365"/>
              <w:bottom w:val="single" w:sz="6" w:space="0" w:color="616365"/>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1882" w:type="dxa"/>
            <w:gridSpan w:val="3"/>
            <w:tcBorders>
              <w:top w:val="single" w:sz="6" w:space="0" w:color="616365"/>
              <w:left w:val="single" w:sz="6" w:space="0" w:color="616365"/>
              <w:bottom w:val="single" w:sz="6" w:space="0" w:color="616365"/>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14,063,848</w:t>
            </w:r>
          </w:p>
        </w:tc>
        <w:tc>
          <w:tcPr>
            <w:tcW w:w="1426" w:type="dxa"/>
            <w:gridSpan w:val="3"/>
            <w:tcBorders>
              <w:top w:val="single" w:sz="6" w:space="0" w:color="616365"/>
              <w:left w:val="single" w:sz="6" w:space="0" w:color="616365"/>
              <w:bottom w:val="single" w:sz="6" w:space="0" w:color="616365"/>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1,291,577</w:t>
            </w:r>
          </w:p>
        </w:tc>
        <w:tc>
          <w:tcPr>
            <w:tcW w:w="2129" w:type="dxa"/>
            <w:gridSpan w:val="3"/>
            <w:tcBorders>
              <w:top w:val="single" w:sz="6" w:space="0" w:color="616365"/>
              <w:left w:val="single" w:sz="6" w:space="0" w:color="616365"/>
              <w:bottom w:val="single" w:sz="6" w:space="0" w:color="616365"/>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6,968,886</w:t>
            </w:r>
          </w:p>
        </w:tc>
        <w:tc>
          <w:tcPr>
            <w:tcW w:w="1675" w:type="dxa"/>
            <w:gridSpan w:val="3"/>
            <w:tcBorders>
              <w:top w:val="single" w:sz="6" w:space="0" w:color="616365"/>
              <w:left w:val="single" w:sz="6" w:space="0" w:color="616365"/>
              <w:bottom w:val="single" w:sz="6" w:space="0" w:color="616365"/>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2,718,460</w:t>
            </w:r>
          </w:p>
        </w:tc>
        <w:tc>
          <w:tcPr>
            <w:tcW w:w="1430" w:type="dxa"/>
            <w:gridSpan w:val="3"/>
            <w:tcBorders>
              <w:top w:val="single" w:sz="6" w:space="0" w:color="616365"/>
              <w:left w:val="single" w:sz="6" w:space="0" w:color="616365"/>
              <w:bottom w:val="single" w:sz="6" w:space="0" w:color="616365"/>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51.03</w:t>
            </w:r>
          </w:p>
        </w:tc>
        <w:tc>
          <w:tcPr>
            <w:tcW w:w="1122" w:type="dxa"/>
            <w:gridSpan w:val="3"/>
            <w:tcBorders>
              <w:top w:val="single" w:sz="6" w:space="0" w:color="616365"/>
              <w:left w:val="single" w:sz="6" w:space="0" w:color="616365"/>
              <w:bottom w:val="single" w:sz="6" w:space="0" w:color="616365"/>
              <w:right w:val="single" w:sz="6" w:space="0" w:color="616365"/>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(327,265)</w:t>
            </w:r>
          </w:p>
        </w:tc>
      </w:tr>
    </w:tbl>
    <w:p>
      <w:pPr>
        <w:pStyle w:val="TextBody"/>
        <w:bidi w:val="0"/>
        <w:spacing w:lineRule="auto" w:line="333" w:before="120" w:after="60"/>
        <w:ind w:left="0" w:right="0" w:hanging="360"/>
        <w:jc w:val="left"/>
        <w:rPr>
          <w:rFonts w:ascii="Arial;sans-serif" w:hAnsi="Arial;sans-serif"/>
          <w:b w:val="false"/>
          <w:color w:val="000000"/>
          <w:sz w:val="20"/>
        </w:rPr>
      </w:pPr>
      <w:r>
        <w:rPr>
          <w:rFonts w:ascii="Arial;sans-serif" w:hAnsi="Arial;sans-serif"/>
          <w:b w:val="false"/>
          <w:color w:val="000000"/>
          <w:sz w:val="20"/>
        </w:rPr>
        <w:t>(1)    The dollar amounts reported in column (b) are the amounts of total compensation reported for Dr. Chang (our Chief Executive Officer) for each corresponding year in the “Total” column of the Summary Compensation Table. Refer to “2025 Summary Compensation Table.”</w:t>
      </w:r>
    </w:p>
    <w:p>
      <w:pPr>
        <w:pStyle w:val="TextBody"/>
        <w:bidi w:val="0"/>
        <w:spacing w:lineRule="auto" w:line="333"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    The dollar amounts reported in column (c) represent the amount of “compensation actually paid” to Dr. Chang, as computed in accordance with Item 402(v) of Regulation S-K. The dollar amounts do not reflect the actual amount of compensation earned by or paid to Dr. Chang during the applicable year. In accordance with Item 402(v) of Regulation S-K, the following adjustments were made to Dr. Chang’s total compensation for each year to determine the compensation actually paid:</w:t>
      </w:r>
    </w:p>
    <w:tbl>
      <w:tblPr>
        <w:tblW w:w="10205" w:type="dxa"/>
        <w:jc w:val="center"/>
        <w:tblInd w:w="0" w:type="dxa"/>
        <w:tblLayout w:type="fixed"/>
        <w:tblCellMar>
          <w:top w:w="28" w:type="dxa"/>
          <w:left w:w="28" w:type="dxa"/>
          <w:bottom w:w="28" w:type="dxa"/>
          <w:right w:w="28" w:type="dxa"/>
        </w:tblCellMar>
      </w:tblPr>
      <w:tblGrid>
        <w:gridCol w:w="195"/>
        <w:gridCol w:w="171"/>
        <w:gridCol w:w="175"/>
        <w:gridCol w:w="995"/>
        <w:gridCol w:w="995"/>
        <w:gridCol w:w="997"/>
        <w:gridCol w:w="829"/>
        <w:gridCol w:w="740"/>
        <w:gridCol w:w="743"/>
        <w:gridCol w:w="692"/>
        <w:gridCol w:w="692"/>
        <w:gridCol w:w="693"/>
        <w:gridCol w:w="669"/>
        <w:gridCol w:w="669"/>
        <w:gridCol w:w="950"/>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w:t>
            </w:r>
          </w:p>
        </w:tc>
        <w:tc>
          <w:tcPr>
            <w:tcW w:w="2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Reported Summary Compensation Table Total for PEO</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3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pPr>
            <w:r>
              <w:rPr>
                <w:rFonts w:ascii="Arial;sans-serif" w:hAnsi="Arial;sans-serif"/>
                <w:b w:val="false"/>
                <w:color w:val="000000"/>
                <w:sz w:val="20"/>
              </w:rPr>
              <w:t>Deduct: Reported Value of Equity Awards</w:t>
            </w:r>
            <w:r>
              <w:rPr>
                <w:rFonts w:ascii="Arial;sans-serif" w:hAnsi="Arial;sans-serif"/>
                <w:b w:val="false"/>
                <w:color w:val="000000"/>
                <w:sz w:val="13"/>
              </w:rPr>
              <w:t>(a)</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pPr>
            <w:r>
              <w:rPr>
                <w:rFonts w:ascii="Arial;sans-serif" w:hAnsi="Arial;sans-serif"/>
                <w:b w:val="false"/>
                <w:color w:val="000000"/>
                <w:sz w:val="20"/>
              </w:rPr>
              <w:t>Add: Equity Award Adjustments</w:t>
            </w:r>
            <w:r>
              <w:rPr>
                <w:rFonts w:ascii="Arial;sans-serif" w:hAnsi="Arial;sans-serif"/>
                <w:b w:val="false"/>
                <w:color w:val="000000"/>
                <w:sz w:val="13"/>
              </w:rPr>
              <w:t>(b)</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28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Compensation Actually Paid to PEO</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r>
      <w:tr>
        <w:trPr/>
        <w:tc>
          <w:tcPr>
            <w:tcW w:w="54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298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6,136,093</w:t>
            </w:r>
          </w:p>
        </w:tc>
        <w:tc>
          <w:tcPr>
            <w:tcW w:w="231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4,997,865</w:t>
            </w:r>
          </w:p>
        </w:tc>
        <w:tc>
          <w:tcPr>
            <w:tcW w:w="207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792,173</w:t>
            </w:r>
          </w:p>
        </w:tc>
        <w:tc>
          <w:tcPr>
            <w:tcW w:w="2288"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1,930,401</w:t>
            </w:r>
          </w:p>
        </w:tc>
      </w:tr>
    </w:tbl>
    <w:p>
      <w:pPr>
        <w:pStyle w:val="TextBody"/>
        <w:bidi w:val="0"/>
        <w:spacing w:lineRule="auto" w:line="333" w:before="120" w:after="60"/>
        <w:ind w:left="0" w:right="0" w:hanging="450"/>
        <w:jc w:val="left"/>
        <w:rPr>
          <w:rFonts w:ascii="Arial;sans-serif" w:hAnsi="Arial;sans-serif"/>
          <w:b w:val="false"/>
          <w:color w:val="000000"/>
          <w:sz w:val="20"/>
        </w:rPr>
      </w:pPr>
      <w:r>
        <w:rPr>
          <w:rFonts w:ascii="Arial;sans-serif" w:hAnsi="Arial;sans-serif"/>
          <w:b w:val="false"/>
          <w:color w:val="000000"/>
          <w:sz w:val="20"/>
        </w:rPr>
        <w:t>(a)    The grant date fair value of equity awards represents the total of the amounts reported in the “Option Awards” and “Stock Awards” columns in the Summary Compensation Table for the applicable year.</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 xml:space="preserve">(b)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valuations were performed using the Black-Scholes option pricing model, the lattice option pricing model or Monte Carlo simulation. The valuation assumptions used to calculate fair values did not materially differ from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3"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60"/>
        <w:jc w:val="left"/>
        <w:rPr>
          <w:rFonts w:ascii="Arial;sans-serif" w:hAnsi="Arial;sans-serif"/>
          <w:b w:val="false"/>
          <w:color w:val="000000"/>
          <w:sz w:val="20"/>
        </w:rPr>
      </w:pPr>
      <w:r>
        <w:rPr>
          <w:rFonts w:ascii="Arial;sans-serif" w:hAnsi="Arial;sans-serif"/>
          <w:b w:val="false"/>
          <w:color w:val="000000"/>
          <w:sz w:val="20"/>
        </w:rPr>
        <w:t>disclosed at the time of grant. The amounts deducted or added in calculating the equity award adjustments are as follows:</w:t>
      </w:r>
    </w:p>
    <w:tbl>
      <w:tblPr>
        <w:tblW w:w="10205" w:type="dxa"/>
        <w:jc w:val="center"/>
        <w:tblInd w:w="0" w:type="dxa"/>
        <w:tblLayout w:type="fixed"/>
        <w:tblCellMar>
          <w:top w:w="28" w:type="dxa"/>
          <w:left w:w="28" w:type="dxa"/>
          <w:bottom w:w="28" w:type="dxa"/>
          <w:right w:w="28" w:type="dxa"/>
        </w:tblCellMar>
      </w:tblPr>
      <w:tblGrid>
        <w:gridCol w:w="195"/>
        <w:gridCol w:w="171"/>
        <w:gridCol w:w="175"/>
        <w:gridCol w:w="855"/>
        <w:gridCol w:w="855"/>
        <w:gridCol w:w="857"/>
        <w:gridCol w:w="1043"/>
        <w:gridCol w:w="1043"/>
        <w:gridCol w:w="1046"/>
        <w:gridCol w:w="808"/>
        <w:gridCol w:w="762"/>
        <w:gridCol w:w="764"/>
        <w:gridCol w:w="475"/>
        <w:gridCol w:w="475"/>
        <w:gridCol w:w="681"/>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w:t>
            </w:r>
          </w:p>
        </w:tc>
        <w:tc>
          <w:tcPr>
            <w:tcW w:w="2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Year End Fair Value of Outstanding and Unvested Equity Awards Granted in the Year</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31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Change in Fair Value of Outstanding and Unvested Equity Awards Granted in Prior Years as of the End of the Year</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Change in Fair Value of Equity Awards Granted in Prior Years that Vested in the Year</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16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Total Equity Award Adjustments</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r>
      <w:tr>
        <w:trPr/>
        <w:tc>
          <w:tcPr>
            <w:tcW w:w="54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256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2,340,632</w:t>
            </w:r>
          </w:p>
        </w:tc>
        <w:tc>
          <w:tcPr>
            <w:tcW w:w="313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(872,037)</w:t>
            </w:r>
          </w:p>
        </w:tc>
        <w:tc>
          <w:tcPr>
            <w:tcW w:w="233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(676,421)</w:t>
            </w:r>
          </w:p>
        </w:tc>
        <w:tc>
          <w:tcPr>
            <w:tcW w:w="163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792,173</w:t>
            </w:r>
          </w:p>
        </w:tc>
      </w:tr>
    </w:tbl>
    <w:p>
      <w:pPr>
        <w:pStyle w:val="TextBody"/>
        <w:bidi w:val="0"/>
        <w:spacing w:lineRule="auto" w:line="333" w:before="120" w:after="60"/>
        <w:ind w:left="0" w:right="0" w:hanging="540"/>
        <w:jc w:val="left"/>
        <w:rPr>
          <w:rFonts w:ascii="Arial;sans-serif" w:hAnsi="Arial;sans-serif"/>
          <w:b w:val="false"/>
          <w:color w:val="000000"/>
          <w:sz w:val="20"/>
        </w:rPr>
      </w:pPr>
      <w:r>
        <w:rPr>
          <w:rFonts w:ascii="Arial;sans-serif" w:hAnsi="Arial;sans-serif"/>
          <w:b w:val="false"/>
          <w:color w:val="000000"/>
          <w:sz w:val="20"/>
        </w:rPr>
        <w:t>(3)    The dollar amounts reported in column (d) represent the average of the amounts reported for our Company’s NEOs as a group (excluding Dr. Chang) in the “Total” column of the Summary Compensation Table in each applicable year. The names of each of the NEOs (excluding Dr. Chang) included for purposes of calculating the average amounts in each applicable year are as follows: for 2025, Dr. Roberts and Mr. Parker, and for 2024 and 2023, Dr. Roberts and Mr. Timothy Moore, our former Executive Vice President, Chief Technical Officer.</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(4)    The dollar amounts reported in column (e) represent the average amount of “compensation actually paid” to the NEOs as a group (excluding Dr. Chang), as computed in accordance with Item 402(v) of Regulation S-K. The dollar amounts do not reflect the actual average amount of compensation earned by or paid to the NEOs as a group (excluding Dr. Chang) during 2025. In accordance with the requirements of Item 402(v) of Regulation S-K, the following adjustments were made to average total compensation for the NEOs as a group (excluding Dr. Chang) for 2025 to determine the compensation actually paid, using the same methodology described above in Note (2):</w:t>
      </w:r>
    </w:p>
    <w:tbl>
      <w:tblPr>
        <w:tblW w:w="10205" w:type="dxa"/>
        <w:jc w:val="center"/>
        <w:tblInd w:w="0" w:type="dxa"/>
        <w:tblLayout w:type="fixed"/>
        <w:tblCellMar>
          <w:top w:w="28" w:type="dxa"/>
          <w:left w:w="28" w:type="dxa"/>
          <w:bottom w:w="28" w:type="dxa"/>
          <w:right w:w="28" w:type="dxa"/>
        </w:tblCellMar>
      </w:tblPr>
      <w:tblGrid>
        <w:gridCol w:w="195"/>
        <w:gridCol w:w="171"/>
        <w:gridCol w:w="175"/>
        <w:gridCol w:w="1000"/>
        <w:gridCol w:w="1000"/>
        <w:gridCol w:w="1003"/>
        <w:gridCol w:w="721"/>
        <w:gridCol w:w="669"/>
        <w:gridCol w:w="672"/>
        <w:gridCol w:w="682"/>
        <w:gridCol w:w="682"/>
        <w:gridCol w:w="684"/>
        <w:gridCol w:w="745"/>
        <w:gridCol w:w="745"/>
        <w:gridCol w:w="1061"/>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w:t>
            </w:r>
          </w:p>
        </w:tc>
        <w:tc>
          <w:tcPr>
            <w:tcW w:w="3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Average Reported Summary Compensation Table Total for Non-PEO NEOs</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0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Deduct: Average Reported Value of Equity Awards</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pPr>
            <w:r>
              <w:rPr>
                <w:rFonts w:ascii="Arial;sans-serif" w:hAnsi="Arial;sans-serif"/>
                <w:b w:val="false"/>
                <w:color w:val="000000"/>
                <w:sz w:val="20"/>
              </w:rPr>
              <w:t>Add: Average Equity Award Adjustments</w:t>
            </w:r>
            <w:r>
              <w:rPr>
                <w:rFonts w:ascii="Arial;sans-serif" w:hAnsi="Arial;sans-serif"/>
                <w:b w:val="false"/>
                <w:color w:val="000000"/>
                <w:sz w:val="13"/>
              </w:rPr>
              <w:t>(a)</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Average Compensation Actually Paid to Non-PEO NEOs</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r>
      <w:tr>
        <w:trPr/>
        <w:tc>
          <w:tcPr>
            <w:tcW w:w="54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00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2,303,234</w:t>
            </w:r>
          </w:p>
        </w:tc>
        <w:tc>
          <w:tcPr>
            <w:tcW w:w="206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1,574,354</w:t>
            </w:r>
          </w:p>
        </w:tc>
        <w:tc>
          <w:tcPr>
            <w:tcW w:w="204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121,744</w:t>
            </w:r>
          </w:p>
        </w:tc>
        <w:tc>
          <w:tcPr>
            <w:tcW w:w="255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850,624</w:t>
            </w:r>
          </w:p>
        </w:tc>
      </w:tr>
    </w:tbl>
    <w:p>
      <w:pPr>
        <w:pStyle w:val="TextBody"/>
        <w:bidi w:val="0"/>
        <w:spacing w:before="0" w:after="0"/>
        <w:jc w:val="left"/>
        <w:rPr/>
      </w:pPr>
      <w:r>
        <w:rPr/>
      </w:r>
    </w:p>
    <w:p>
      <w:pPr>
        <w:pStyle w:val="TextBody"/>
        <w:bidi w:val="0"/>
        <w:spacing w:lineRule="auto" w:line="333" w:before="0" w:after="60"/>
        <w:jc w:val="left"/>
        <w:rPr>
          <w:rFonts w:ascii="Arial;sans-serif" w:hAnsi="Arial;sans-serif"/>
          <w:b w:val="false"/>
          <w:color w:val="000000"/>
          <w:sz w:val="20"/>
        </w:rPr>
      </w:pPr>
      <w:r>
        <w:rPr>
          <w:rFonts w:ascii="Arial;sans-serif" w:hAnsi="Arial;sans-serif"/>
          <w:b w:val="false"/>
          <w:color w:val="000000"/>
          <w:sz w:val="20"/>
        </w:rPr>
        <w:t>(a)    The amounts deducted or added in calculating the total average equity award adjustments are as follows:</w:t>
      </w:r>
    </w:p>
    <w:tbl>
      <w:tblPr>
        <w:tblW w:w="10205" w:type="dxa"/>
        <w:jc w:val="center"/>
        <w:tblInd w:w="0" w:type="dxa"/>
        <w:tblLayout w:type="fixed"/>
        <w:tblCellMar>
          <w:top w:w="28" w:type="dxa"/>
          <w:left w:w="28" w:type="dxa"/>
          <w:bottom w:w="28" w:type="dxa"/>
          <w:right w:w="28" w:type="dxa"/>
        </w:tblCellMar>
      </w:tblPr>
      <w:tblGrid>
        <w:gridCol w:w="195"/>
        <w:gridCol w:w="171"/>
        <w:gridCol w:w="175"/>
        <w:gridCol w:w="880"/>
        <w:gridCol w:w="880"/>
        <w:gridCol w:w="882"/>
        <w:gridCol w:w="1003"/>
        <w:gridCol w:w="1003"/>
        <w:gridCol w:w="1005"/>
        <w:gridCol w:w="778"/>
        <w:gridCol w:w="731"/>
        <w:gridCol w:w="734"/>
        <w:gridCol w:w="516"/>
        <w:gridCol w:w="516"/>
        <w:gridCol w:w="73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Year</w:t>
            </w:r>
          </w:p>
        </w:tc>
        <w:tc>
          <w:tcPr>
            <w:tcW w:w="26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Average Year End Fair Value of Outstanding and Unvested Equity Awards Granted in the Year</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30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Change in Fair Value of Outstanding and Unvested Equity Awards Granted in Prior Years as of the End of the Year</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22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Change in Fair Value of Equity Awards Granted in Prior Years that Vested in the Year</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c>
          <w:tcPr>
            <w:tcW w:w="176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55" w:after="283"/>
              <w:jc w:val="center"/>
              <w:rPr>
                <w:rFonts w:ascii="Arial;sans-serif" w:hAnsi="Arial;sans-serif"/>
                <w:b w:val="false"/>
                <w:color w:val="000000"/>
                <w:sz w:val="20"/>
              </w:rPr>
            </w:pPr>
            <w:r>
              <w:rPr>
                <w:rFonts w:ascii="Arial;sans-serif" w:hAnsi="Arial;sans-serif"/>
                <w:b w:val="false"/>
                <w:color w:val="000000"/>
                <w:sz w:val="20"/>
              </w:rPr>
              <w:t>Total Average Equity Award Adjustments</w:t>
            </w:r>
          </w:p>
          <w:p>
            <w:pPr>
              <w:pStyle w:val="TableContents"/>
              <w:bidi w:val="0"/>
              <w:spacing w:lineRule="auto" w:line="288" w:before="0" w:after="30"/>
              <w:jc w:val="center"/>
              <w:rPr>
                <w:rFonts w:ascii="Arial;sans-serif" w:hAnsi="Arial;sans-serif"/>
                <w:b w:val="false"/>
                <w:color w:val="000000"/>
                <w:sz w:val="20"/>
              </w:rPr>
            </w:pPr>
            <w:r>
              <w:rPr>
                <w:rFonts w:ascii="Arial;sans-serif" w:hAnsi="Arial;sans-serif"/>
                <w:b w:val="false"/>
                <w:color w:val="000000"/>
                <w:sz w:val="20"/>
              </w:rPr>
              <w:t>($)</w:t>
            </w:r>
          </w:p>
        </w:tc>
      </w:tr>
      <w:tr>
        <w:trPr/>
        <w:tc>
          <w:tcPr>
            <w:tcW w:w="54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264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737,207</w:t>
            </w:r>
          </w:p>
        </w:tc>
        <w:tc>
          <w:tcPr>
            <w:tcW w:w="301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(397,194)</w:t>
            </w:r>
          </w:p>
        </w:tc>
        <w:tc>
          <w:tcPr>
            <w:tcW w:w="224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(218,269)</w:t>
            </w:r>
          </w:p>
        </w:tc>
        <w:tc>
          <w:tcPr>
            <w:tcW w:w="1768"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121,744</w:t>
            </w:r>
          </w:p>
        </w:tc>
      </w:tr>
    </w:tbl>
    <w:p>
      <w:pPr>
        <w:pStyle w:val="TextBody"/>
        <w:bidi w:val="0"/>
        <w:spacing w:lineRule="auto" w:line="333" w:before="120" w:after="60"/>
        <w:ind w:left="0" w:right="0" w:hanging="540"/>
        <w:jc w:val="left"/>
        <w:rPr>
          <w:rFonts w:ascii="Arial;sans-serif" w:hAnsi="Arial;sans-serif"/>
          <w:b w:val="false"/>
          <w:color w:val="000000"/>
          <w:sz w:val="20"/>
        </w:rPr>
      </w:pPr>
      <w:r>
        <w:rPr>
          <w:rFonts w:ascii="Arial;sans-serif" w:hAnsi="Arial;sans-serif"/>
          <w:b w:val="false"/>
          <w:color w:val="000000"/>
          <w:sz w:val="20"/>
        </w:rPr>
        <w:t>(5)    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2023, 2024 or 2025.</w:t>
      </w:r>
    </w:p>
    <w:p>
      <w:pPr>
        <w:pStyle w:val="TextBody"/>
        <w:bidi w:val="0"/>
        <w:spacing w:lineRule="auto" w:line="333" w:before="0" w:after="60"/>
        <w:ind w:left="0" w:right="0" w:hanging="540"/>
        <w:jc w:val="left"/>
        <w:rPr>
          <w:rFonts w:ascii="Arial;sans-serif" w:hAnsi="Arial;sans-serif"/>
          <w:b w:val="false"/>
          <w:color w:val="000000"/>
          <w:sz w:val="20"/>
        </w:rPr>
      </w:pPr>
      <w:r>
        <w:rPr>
          <w:rFonts w:ascii="Arial;sans-serif" w:hAnsi="Arial;sans-serif"/>
          <w:b w:val="false"/>
          <w:color w:val="000000"/>
          <w:sz w:val="20"/>
        </w:rPr>
        <w:t>(6)    The dollar amounts reported represent the amount of net income (loss) reflected in our consolidated audited financial statements for the applicable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4"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Analysis of the Information Presented in the Pay Versus Performance Table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Company is a pre-commercial biotechnology company and, as such, does not currently use revenue, profitability, or other traditional financial performance measures as primary drivers of executive compensation. Instead, the Company’s executive compensation program emphasizes long-term value creation through equity-based incentives and the achievement of key strategic and clinical development milestones, which the Compensation Committee believes are the most meaningful indicators of performance at this stage of the Company’s lifecycle.</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Compensation Actually Paid and Net Income (Loss)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Because we are a clinical-stage company, we did not have any product-based revenue during the periods presented. Consequently, we have not historically looked to net income (loss) as a performance measure for our executive compensation program. We also expect and have experienced higher net losses over time as we progress the development of our product candidates through clinical trials. Moreover, as a pre-commercial stage company with only limited, nonrecurring revenue associated with collaborations, we do not believe there is any meaningful relationship between our net loss and compensation actually paid to our NEOs during the periods presented.</w:t>
      </w:r>
    </w:p>
    <w:p>
      <w:pPr>
        <w:pStyle w:val="TextBody"/>
        <w:bidi w:val="0"/>
        <w:spacing w:before="120" w:after="283"/>
        <w:jc w:val="center"/>
        <w:rPr/>
      </w:pPr>
      <w:r>
        <w:rPr/>
        <w:drawing>
          <wp:inline distT="0" distB="0" distL="0" distR="0">
            <wp:extent cx="5943600" cy="3019425"/>
            <wp:effectExtent l="0" t="0" r="0" b="0"/>
            <wp:docPr id="7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7" descr=""/>
                    <pic:cNvPicPr>
                      <a:picLocks noChangeAspect="1" noChangeArrowheads="1"/>
                    </pic:cNvPicPr>
                  </pic:nvPicPr>
                  <pic:blipFill>
                    <a:blip r:embed="rId18"/>
                    <a:stretch>
                      <a:fillRect/>
                    </a:stretch>
                  </pic:blipFill>
                  <pic:spPr bwMode="auto">
                    <a:xfrm>
                      <a:off x="0" y="0"/>
                      <a:ext cx="5943600" cy="3019425"/>
                    </a:xfrm>
                    <a:prstGeom prst="rect">
                      <a:avLst/>
                    </a:prstGeom>
                  </pic:spPr>
                </pic:pic>
              </a:graphicData>
            </a:graphic>
          </wp:inline>
        </w:drawing>
      </w:r>
      <w:bookmarkStart w:id="16" w:name="i-17"/>
      <w:bookmarkEnd w:id="16"/>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Compensation Actually Paid and Cumulative TSR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chart below shows the relationship between compensation actually paid to our PEO, the average of compensation actually paid to our non-PEO NEOs, and the Company’s cumulative TSR over the three most recently completed fiscal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6"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drawing>
          <wp:inline distT="0" distB="0" distL="0" distR="0">
            <wp:extent cx="5943600" cy="3009900"/>
            <wp:effectExtent l="0" t="0" r="0" b="0"/>
            <wp:docPr id="7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8" descr=""/>
                    <pic:cNvPicPr>
                      <a:picLocks noChangeAspect="1" noChangeArrowheads="1"/>
                    </pic:cNvPicPr>
                  </pic:nvPicPr>
                  <pic:blipFill>
                    <a:blip r:embed="rId19"/>
                    <a:stretch>
                      <a:fillRect/>
                    </a:stretch>
                  </pic:blipFill>
                  <pic:spPr bwMode="auto">
                    <a:xfrm>
                      <a:off x="0" y="0"/>
                      <a:ext cx="5943600" cy="3009900"/>
                    </a:xfrm>
                    <a:prstGeom prst="rect">
                      <a:avLst/>
                    </a:prstGeom>
                  </pic:spPr>
                </pic:pic>
              </a:graphicData>
            </a:graphic>
          </wp:inline>
        </w:drawing>
      </w:r>
      <w:bookmarkStart w:id="17" w:name="i-18"/>
      <w:bookmarkEnd w:id="17"/>
    </w:p>
    <w:p>
      <w:pPr>
        <w:pStyle w:val="TextBody"/>
        <w:bidi w:val="0"/>
        <w:spacing w:lineRule="auto" w:line="319" w:before="120" w:after="283"/>
        <w:jc w:val="left"/>
        <w:rPr>
          <w:rFonts w:ascii="Arial;sans-serif" w:hAnsi="Arial;sans-serif"/>
          <w:b w:val="false"/>
          <w:i/>
          <w:color w:val="000000"/>
          <w:sz w:val="20"/>
        </w:rPr>
      </w:pPr>
      <w:r>
        <w:rPr>
          <w:rFonts w:ascii="Arial;sans-serif" w:hAnsi="Arial;sans-serif"/>
          <w:b w:val="false"/>
          <w:i/>
          <w:color w:val="000000"/>
          <w:sz w:val="20"/>
        </w:rPr>
        <w:t>All information provided above under the “Pay Versus Performance” heading will not be deemed to be incorporated by reference into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120"/>
        <w:jc w:val="left"/>
        <w:rPr>
          <w:rFonts w:ascii="Arial;sans-serif" w:hAnsi="Arial;sans-serif"/>
          <w:b/>
          <w:color w:val="05686F"/>
          <w:sz w:val="20"/>
        </w:rPr>
      </w:pPr>
      <w:r>
        <w:rPr>
          <w:rFonts w:ascii="Arial;sans-serif" w:hAnsi="Arial;sans-serif"/>
          <w:b/>
          <w:color w:val="05686F"/>
          <w:sz w:val="20"/>
        </w:rPr>
        <w:t>Risk Assessment Concerning Compensation Practices and Policies</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The Compensation Committee is aware that compensation arrangements, if not properly designed, could encourage inappropriate or excessive risk taking. The Compensation Committee annually reviews our compensation policies and practices to assess whether they encourage our employees to take inappropriate risks. In the first quarter of 2026, our independent compensation consultant conducted a comprehensive independent risk assessment of our compensation policies and practices, and concluded that they do not create risks that are reasonably likely to have a material adverse effect on the Company. After reviewing the compensation consultant’s assessment, in March 2026 the Compensation Committee determined that any risks arising from our compensation policies and practices for our employees are not reasonably likely to have a material adverse effect on our Company as a whole. In addition, the Compensation Committee believes that the mix and design of the elements of executive compensation do not encourage management to assume excessive risks. Specifically, the mix of short-term compensation (in the form of base salary and annual cash incentive, if any), and long-term incentive compensation (in the form of stock options, RSU awards, and PSU awards) also prevents undue focus on short-term results and helps align the interests of our executive officers with the interests of our stockholders. Our stock options vest over multiple years and their value is not directly linked to the achievement of short-term defined metrics.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upon the recommendation of the Compensation Committee, has implemented stock ownership guidelines, which ensure significant amounts of actual share ownership over time for our executive officers, mitigate excessive risk taking, and foster an ownership mentality among our senior leaders.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Compensation Committee will continue to review risk as one of the elements it considers in the planning process for executive compensation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Policies and Practices Related to the Grant of Certain Equity Awards Close in Time to the Release of Material Nonpublic Information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From time to time, the Company grants stock options to its employees, including its named executive officers. Historically, the Company has typically granted new-hire option awards on or soon after a new hire’s employment start date and promotion option awards on or soon after the employee’s promotion date. Annual refresh employee option grants are typically granted at a regularly scheduled Compensation Committee meeting toward the end of January of each year. The grant date for these annual refresh grants is typically approximately the first trading day following the date of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8"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although in the past that timing has deviated for logistical reasons. The Company maintains a written grant policy for its Non-Officer Stock Award Committee ("NOSAC") for grants to employees who are not Section 16 officers and who hold a title below Senior Vice President. This policy provides that option grants shall generally be on the first or fifteenth day of the month (or if such date is not a market trading day, then on the next subsequent trading day), whichever date coincides with or follows the approval of the grant by the NOSAC.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below under the heading, “Non-Employee Director Compensation Policy.” The Company does not otherwise maintain any written policies on the timing of awards of stock options, stock appreciation rights, or similar instruments with option-like features. Because the Compensation Committee has a practice of generally granting stock options for new hires, promotions and refresh grants at specified times as described above, the Compensation Committee generally does not take material nonpublic information ("MNPI") into account when determining the timing or terms of stock option awards and does not seek to time the award of stock options in relation to the Company’s public disclosure of MNPI. The Company has not timed the release of MNPI for the purpose of affecting the value of executive compensation.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table is being provided pursuant to Item 402(x)(2) of Regulation S-K.</w:t>
      </w:r>
    </w:p>
    <w:tbl>
      <w:tblPr>
        <w:tblW w:w="10205" w:type="dxa"/>
        <w:jc w:val="center"/>
        <w:tblInd w:w="0" w:type="dxa"/>
        <w:tblLayout w:type="fixed"/>
        <w:tblCellMar>
          <w:top w:w="28" w:type="dxa"/>
          <w:left w:w="28" w:type="dxa"/>
          <w:bottom w:w="28" w:type="dxa"/>
          <w:right w:w="28" w:type="dxa"/>
        </w:tblCellMar>
      </w:tblPr>
      <w:tblGrid>
        <w:gridCol w:w="494"/>
        <w:gridCol w:w="333"/>
        <w:gridCol w:w="339"/>
        <w:gridCol w:w="206"/>
        <w:gridCol w:w="206"/>
        <w:gridCol w:w="207"/>
        <w:gridCol w:w="454"/>
        <w:gridCol w:w="454"/>
        <w:gridCol w:w="455"/>
        <w:gridCol w:w="360"/>
        <w:gridCol w:w="360"/>
        <w:gridCol w:w="362"/>
        <w:gridCol w:w="713"/>
        <w:gridCol w:w="310"/>
        <w:gridCol w:w="311"/>
        <w:gridCol w:w="1355"/>
        <w:gridCol w:w="1355"/>
        <w:gridCol w:w="1931"/>
      </w:tblGrid>
      <w:tr>
        <w:trPr/>
        <w:tc>
          <w:tcPr>
            <w:tcW w:w="49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op w:val="single" w:sz="4" w:space="0" w:color="000000"/>
              <w:left w:val="single" w:sz="4" w:space="0" w:color="000000"/>
            </w:tcBorders>
            <w:shd w:fill="D9D9D9" w:val="clear"/>
            <w:tcMar>
              <w:top w:w="30" w:type="dxa"/>
              <w:left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w:t>
            </w:r>
          </w:p>
        </w:tc>
        <w:tc>
          <w:tcPr>
            <w:tcW w:w="619" w:type="dxa"/>
            <w:gridSpan w:val="3"/>
            <w:tcBorders>
              <w:top w:val="single" w:sz="4" w:space="0" w:color="000000"/>
              <w:left w:val="single" w:sz="4" w:space="0" w:color="000000"/>
            </w:tcBorders>
            <w:shd w:fill="D9D9D9" w:val="clear"/>
            <w:tcMar>
              <w:top w:w="30" w:type="dxa"/>
              <w:left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1363" w:type="dxa"/>
            <w:gridSpan w:val="3"/>
            <w:tcBorders>
              <w:top w:val="single" w:sz="4" w:space="0" w:color="000000"/>
              <w:left w:val="single" w:sz="4" w:space="0" w:color="000000"/>
            </w:tcBorders>
            <w:shd w:fill="D9D9D9" w:val="clear"/>
            <w:tcMar>
              <w:top w:w="30" w:type="dxa"/>
              <w:left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securities underlying the award</w:t>
            </w:r>
          </w:p>
        </w:tc>
        <w:tc>
          <w:tcPr>
            <w:tcW w:w="1082" w:type="dxa"/>
            <w:gridSpan w:val="3"/>
            <w:tcBorders>
              <w:top w:val="single" w:sz="4" w:space="0" w:color="000000"/>
              <w:left w:val="single" w:sz="4" w:space="0" w:color="000000"/>
            </w:tcBorders>
            <w:shd w:fill="D9D9D9" w:val="clear"/>
            <w:tcMar>
              <w:top w:w="30" w:type="dxa"/>
              <w:left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 of the award ($/Sh)</w:t>
            </w:r>
          </w:p>
        </w:tc>
        <w:tc>
          <w:tcPr>
            <w:tcW w:w="1334" w:type="dxa"/>
            <w:gridSpan w:val="3"/>
            <w:tcBorders>
              <w:top w:val="single" w:sz="4" w:space="0" w:color="000000"/>
              <w:left w:val="single" w:sz="4" w:space="0" w:color="000000"/>
            </w:tcBorders>
            <w:shd w:fill="D9D9D9" w:val="clear"/>
            <w:tcMar>
              <w:top w:w="30" w:type="dxa"/>
              <w:left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 fair value of the award</w:t>
            </w:r>
          </w:p>
        </w:tc>
        <w:tc>
          <w:tcPr>
            <w:tcW w:w="4641"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r>
      <w:tr>
        <w:trPr/>
        <w:tc>
          <w:tcPr>
            <w:tcW w:w="1166" w:type="dxa"/>
            <w:gridSpan w:val="3"/>
            <w:tcBorders>
              <w:top w:val="single" w:sz="8" w:space="0" w:color="000000"/>
              <w:left w:val="single" w:sz="8" w:space="0" w:color="000000"/>
            </w:tcBorders>
            <w:shd w:fill="CCEEFF" w:val="clear"/>
            <w:tcMar>
              <w:top w:w="30" w:type="dxa"/>
              <w:left w:w="3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Chang, M.D., Ph.D.</w:t>
            </w:r>
          </w:p>
        </w:tc>
        <w:tc>
          <w:tcPr>
            <w:tcW w:w="619" w:type="dxa"/>
            <w:gridSpan w:val="3"/>
            <w:tcBorders>
              <w:top w:val="single" w:sz="8" w:space="0" w:color="000000"/>
              <w:left w:val="single" w:sz="8" w:space="0" w:color="000000"/>
            </w:tcBorders>
            <w:shd w:fill="CCEEFF" w:val="clear"/>
            <w:tcMar>
              <w:top w:w="30" w:type="dxa"/>
              <w:left w:w="3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1/24/2025</w:t>
            </w:r>
          </w:p>
        </w:tc>
        <w:tc>
          <w:tcPr>
            <w:tcW w:w="136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1,952,130</w:t>
            </w:r>
          </w:p>
        </w:tc>
        <w:tc>
          <w:tcPr>
            <w:tcW w:w="108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33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$2,588,329</w:t>
            </w:r>
          </w:p>
        </w:tc>
        <w:tc>
          <w:tcPr>
            <w:tcW w:w="4641" w:type="dxa"/>
            <w:gridSpan w:val="3"/>
            <w:tcBorders>
              <w:top w:val="single" w:sz="8" w:space="0" w:color="000000"/>
              <w:left w:val="single" w:sz="8" w:space="0" w:color="000000"/>
              <w:right w:val="single" w:sz="8" w:space="0" w:color="000000"/>
            </w:tcBorders>
            <w:shd w:fill="CCEEFF" w:val="clear"/>
            <w:tcMar>
              <w:top w:w="30" w:type="dxa"/>
              <w:bottom w:w="0" w:type="dxa"/>
              <w:right w:w="39"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w:t>
            </w:r>
          </w:p>
        </w:tc>
      </w:tr>
      <w:tr>
        <w:trPr/>
        <w:tc>
          <w:tcPr>
            <w:tcW w:w="1166" w:type="dxa"/>
            <w:gridSpan w:val="3"/>
            <w:tcBorders>
              <w:top w:val="single" w:sz="8" w:space="0" w:color="000000"/>
              <w:left w:val="single" w:sz="8" w:space="0" w:color="000000"/>
            </w:tcBorders>
            <w:tcMar>
              <w:top w:w="30" w:type="dxa"/>
              <w:left w:w="3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Zachary Roberts, M.D., Ph.D.</w:t>
            </w:r>
          </w:p>
        </w:tc>
        <w:tc>
          <w:tcPr>
            <w:tcW w:w="619" w:type="dxa"/>
            <w:gridSpan w:val="3"/>
            <w:tcBorders>
              <w:top w:val="single" w:sz="8" w:space="0" w:color="000000"/>
              <w:left w:val="single" w:sz="8" w:space="0" w:color="000000"/>
            </w:tcBorders>
            <w:tcMar>
              <w:top w:w="30" w:type="dxa"/>
              <w:left w:w="39"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1/24/2025</w:t>
            </w:r>
          </w:p>
        </w:tc>
        <w:tc>
          <w:tcPr>
            <w:tcW w:w="13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614,844</w:t>
            </w:r>
          </w:p>
        </w:tc>
        <w:tc>
          <w:tcPr>
            <w:tcW w:w="10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$815,222</w:t>
            </w:r>
          </w:p>
        </w:tc>
        <w:tc>
          <w:tcPr>
            <w:tcW w:w="4641" w:type="dxa"/>
            <w:gridSpan w:val="3"/>
            <w:tcBorders>
              <w:top w:val="single" w:sz="8" w:space="0" w:color="000000"/>
              <w:left w:val="single" w:sz="8" w:space="0" w:color="000000"/>
              <w:right w:val="single" w:sz="8" w:space="0" w:color="000000"/>
            </w:tcBorders>
            <w:tcMar>
              <w:top w:w="30" w:type="dxa"/>
              <w:bottom w:w="0" w:type="dxa"/>
              <w:right w:w="39"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w:t>
            </w:r>
          </w:p>
        </w:tc>
      </w:tr>
      <w:tr>
        <w:trPr/>
        <w:tc>
          <w:tcPr>
            <w:tcW w:w="1166" w:type="dxa"/>
            <w:gridSpan w:val="3"/>
            <w:tcBorders>
              <w:top w:val="single" w:sz="8" w:space="0" w:color="000000"/>
              <w:left w:val="single" w:sz="8" w:space="0" w:color="000000"/>
              <w:bottom w:val="single" w:sz="8" w:space="0" w:color="000000"/>
            </w:tcBorders>
            <w:shd w:fill="CCEEFF" w:val="clear"/>
            <w:tcMar>
              <w:top w:w="30" w:type="dxa"/>
              <w:left w:w="39"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Geoffrey Parker</w:t>
            </w:r>
          </w:p>
        </w:tc>
        <w:tc>
          <w:tcPr>
            <w:tcW w:w="619" w:type="dxa"/>
            <w:gridSpan w:val="3"/>
            <w:tcBorders>
              <w:top w:val="single" w:sz="8" w:space="0" w:color="000000"/>
              <w:left w:val="single" w:sz="8" w:space="0" w:color="000000"/>
              <w:bottom w:val="single" w:sz="8" w:space="0" w:color="000000"/>
            </w:tcBorders>
            <w:shd w:fill="CCEEFF" w:val="clear"/>
            <w:tcMar>
              <w:top w:w="30" w:type="dxa"/>
              <w:left w:w="39"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1/24/2025</w:t>
            </w:r>
          </w:p>
        </w:tc>
        <w:tc>
          <w:tcPr>
            <w:tcW w:w="136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614,844</w:t>
            </w:r>
          </w:p>
        </w:tc>
        <w:tc>
          <w:tcPr>
            <w:tcW w:w="108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133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$815,222</w:t>
            </w:r>
          </w:p>
        </w:tc>
        <w:tc>
          <w:tcPr>
            <w:tcW w:w="464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right w:w="39"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9"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tbl>
      <w:tblPr>
        <w:tblW w:w="2820" w:type="dxa"/>
        <w:jc w:val="center"/>
        <w:tblInd w:w="0" w:type="dxa"/>
        <w:tblLayout w:type="fixed"/>
        <w:tblCellMar>
          <w:top w:w="28" w:type="dxa"/>
          <w:left w:w="28" w:type="dxa"/>
          <w:bottom w:w="28" w:type="dxa"/>
          <w:right w:w="28" w:type="dxa"/>
        </w:tblCellMar>
      </w:tblPr>
      <w:tblGrid>
        <w:gridCol w:w="903"/>
        <w:gridCol w:w="793"/>
        <w:gridCol w:w="1124"/>
      </w:tblGrid>
      <w:tr>
        <w:trPr/>
        <w:tc>
          <w:tcPr>
            <w:tcW w:w="9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Director Compensation</w:t>
            </w:r>
          </w:p>
        </w:tc>
      </w:tr>
    </w:tbl>
    <w:p>
      <w:pPr>
        <w:pStyle w:val="TextBody"/>
        <w:bidi w:val="0"/>
        <w:spacing w:lineRule="auto" w:line="333" w:before="240" w:after="120"/>
        <w:ind w:left="0" w:right="0" w:hanging="450"/>
        <w:jc w:val="center"/>
        <w:rPr>
          <w:rFonts w:ascii="Arial;sans-serif" w:hAnsi="Arial;sans-serif"/>
          <w:b/>
          <w:color w:val="05686F"/>
          <w:sz w:val="20"/>
        </w:rPr>
      </w:pPr>
      <w:r>
        <w:rPr>
          <w:rFonts w:ascii="Arial;sans-serif" w:hAnsi="Arial;sans-serif"/>
          <w:b/>
          <w:color w:val="05686F"/>
          <w:sz w:val="20"/>
        </w:rPr>
        <w:t>2025 Director Compensation Table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table shows for the fiscal year ended December 31, 2025 certain information with respect to the compensation of all non-employee directors of the Company that served during 2025:</w:t>
      </w:r>
    </w:p>
    <w:tbl>
      <w:tblPr>
        <w:tblW w:w="10073" w:type="dxa"/>
        <w:jc w:val="center"/>
        <w:tblInd w:w="0" w:type="dxa"/>
        <w:tblLayout w:type="fixed"/>
        <w:tblCellMar>
          <w:top w:w="28" w:type="dxa"/>
          <w:left w:w="28" w:type="dxa"/>
          <w:bottom w:w="28" w:type="dxa"/>
          <w:right w:w="28" w:type="dxa"/>
        </w:tblCellMar>
      </w:tblPr>
      <w:tblGrid>
        <w:gridCol w:w="688"/>
        <w:gridCol w:w="606"/>
        <w:gridCol w:w="610"/>
        <w:gridCol w:w="109"/>
        <w:gridCol w:w="109"/>
        <w:gridCol w:w="109"/>
        <w:gridCol w:w="412"/>
        <w:gridCol w:w="414"/>
        <w:gridCol w:w="326"/>
        <w:gridCol w:w="109"/>
        <w:gridCol w:w="109"/>
        <w:gridCol w:w="109"/>
        <w:gridCol w:w="488"/>
        <w:gridCol w:w="488"/>
        <w:gridCol w:w="246"/>
        <w:gridCol w:w="109"/>
        <w:gridCol w:w="109"/>
        <w:gridCol w:w="109"/>
        <w:gridCol w:w="488"/>
        <w:gridCol w:w="488"/>
        <w:gridCol w:w="246"/>
        <w:gridCol w:w="109"/>
        <w:gridCol w:w="109"/>
        <w:gridCol w:w="109"/>
        <w:gridCol w:w="440"/>
        <w:gridCol w:w="440"/>
        <w:gridCol w:w="441"/>
        <w:gridCol w:w="109"/>
        <w:gridCol w:w="109"/>
        <w:gridCol w:w="109"/>
        <w:gridCol w:w="488"/>
        <w:gridCol w:w="488"/>
        <w:gridCol w:w="266"/>
        <w:gridCol w:w="110"/>
        <w:gridCol w:w="110"/>
        <w:gridCol w:w="155"/>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75" w:after="30"/>
              <w:jc w:val="left"/>
              <w:rPr/>
            </w:pPr>
            <w:r>
              <w:rPr>
                <w:rFonts w:ascii="Arial;sans-serif" w:hAnsi="Arial;sans-serif"/>
                <w:b/>
                <w:color w:val="000000"/>
                <w:sz w:val="18"/>
              </w:rPr>
              <w:t>Name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8"/>
              </w:rPr>
            </w:pPr>
            <w:r>
              <w:rPr>
                <w:rFonts w:ascii="Arial;sans-serif" w:hAnsi="Arial;sans-serif"/>
                <w:b/>
                <w:color w:val="000000"/>
                <w:sz w:val="18"/>
              </w:rPr>
              <w:t>Fees</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earned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8"/>
              </w:rPr>
            </w:pPr>
            <w:r>
              <w:rPr>
                <w:rFonts w:ascii="Arial;sans-serif" w:hAnsi="Arial;sans-serif"/>
                <w:b/>
                <w:color w:val="000000"/>
                <w:sz w:val="18"/>
              </w:rPr>
              <w:t>Stock</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awards</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8"/>
              </w:rPr>
            </w:pPr>
            <w:r>
              <w:rPr>
                <w:rFonts w:ascii="Arial;sans-serif" w:hAnsi="Arial;sans-serif"/>
                <w:b/>
                <w:color w:val="000000"/>
                <w:sz w:val="18"/>
              </w:rPr>
              <w:t>Option</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awards</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rial;sans-serif" w:hAnsi="Arial;sans-serif"/>
                <w:b/>
                <w:color w:val="000000"/>
                <w:sz w:val="18"/>
              </w:rPr>
            </w:pPr>
            <w:r>
              <w:rPr>
                <w:rFonts w:ascii="Arial;sans-serif" w:hAnsi="Arial;sans-serif"/>
                <w:b/>
                <w:color w:val="000000"/>
                <w:sz w:val="18"/>
              </w:rPr>
              <w:t>All other</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compensation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88" w:before="75" w:after="30"/>
              <w:jc w:val="center"/>
              <w:rPr>
                <w:rFonts w:ascii="Arial;sans-serif" w:hAnsi="Arial;sans-serif"/>
                <w:b/>
                <w:color w:val="000000"/>
                <w:sz w:val="18"/>
              </w:rPr>
            </w:pPr>
            <w:r>
              <w:rPr>
                <w:rFonts w:ascii="Arial;sans-serif" w:hAnsi="Arial;sans-serif"/>
                <w:b/>
                <w:color w:val="000000"/>
                <w:sz w:val="18"/>
              </w:rPr>
              <w:t>Total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Barrett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183,066 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Arie Belldegrun, M.D.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1,614,614 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1,734,180 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728,726 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4,077,520 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Bonderman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DeYoung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Franz Humer,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151,813 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274,879 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Joshua Kazam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Stephen Mayo,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58,576 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181,642 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Deborah Messemer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Vicki Sato,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125,224 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182,224 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Todd Sisitsky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Owen Witte,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123,066 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3" w:type="dxa"/>
            <w:gridSpan w:val="36"/>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(1)    The amounts reported in this column represent the aggregate grant date fair value of the RSUs granted during the year ended December 31, 2025, as computed in accordance with Financial Accounting Standards Board Accounting Standards Codification Topic 718 for stock-based compensation transactions ("ASC Topic 718") excluding the impact of estimated forfeitures related to service-based vesting conditions, which value is based on the closing market price of our common stock on the date of grant. As of December 31, 2025, the aggregate number of RSUs outstanding held by our non-employee directors were: Ms. Barrett: 95,400, of which 47,700 are vested but deferred; Dr. Belldegrun: 2,108,531, inclusive of 1,449,223 PSUs; Dr. Humer: 95,400, of which 47,700 are vested but deferred; Mr. Kazam: 47,700; Dr. Mayo: 95,400, of which 47,700 are vested but deferred; Ms. Messemer: 95,400, of which 47,700 are vested but deferred; Dr. Sato: zero; and Dr. Witte: 95,400, of which 47,700 are vested but deferred. For a discussion of valuation assumptions, see Note 9 “Stock-Based Compensation” to our financial statements included in our Annual Report on Form 10-K for the year ended December 31, 2025.</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(2)    The dollar amounts in this column represent the aggregate grant date fair value of stock option awards granted in 2025. These amounts have been computed in accordance with ASC Topic 718, using the Black-Scholes option pricing model. For a discussion of valuation assumptions, see Note 9 “Stock-Based Compensation” to our financial statements included in our Annual Report on Form 10-K for the year ended December 31, 2025. These amounts do not reflect the actual economic value that will be realized by the directors upon the vesting of the stock options, the exercise of the stock options, or the sale of the common stock underlying such stock options. As of December 31, 2025, the aggregate number of shares outstanding under all option awards held by our non-employee directors were: Ms. Barrett: 441,657; Dr. Belldegrun: 4,904,814; Dr. Humer: 279,291; Mr. Kazam: 307,202; Dr. Mayo: 361,689; Ms. Messemer: 351,750; Dr. Sato: 333,392; and Dr. Witte: 280,657.</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(3)    For Dr. Belldegrun, amount shown represents $482,600 in consulting fees paid to Bellco Capital LLC (“Bellco”) in 2025 and an annual performance award of $246,126 paid to Bellco in 2026 for services rendered in 2025. Bellco is owned by Dr. Belldegrun, as co-trustee of the Belldegrun Family Trust, and Dr. Rebecka Belldegrun, as co-trustee of the Belldegrun Family Trust. </w:t>
      </w:r>
    </w:p>
    <w:p>
      <w:pPr>
        <w:pStyle w:val="TextBody"/>
        <w:bidi w:val="0"/>
        <w:spacing w:lineRule="auto" w:line="333" w:before="0" w:after="60"/>
        <w:ind w:left="0" w:right="0" w:hanging="360"/>
        <w:jc w:val="left"/>
        <w:rPr>
          <w:rFonts w:ascii="Arial;sans-serif" w:hAnsi="Arial;sans-serif"/>
          <w:b w:val="false"/>
          <w:color w:val="000000"/>
          <w:sz w:val="20"/>
        </w:rPr>
      </w:pPr>
      <w:r>
        <w:rPr>
          <w:rFonts w:ascii="Arial;sans-serif" w:hAnsi="Arial;sans-serif"/>
          <w:b w:val="false"/>
          <w:color w:val="000000"/>
          <w:sz w:val="20"/>
        </w:rPr>
        <w:t>(4)    For a description of Dr. Belldegrun’s compensation, see the “Executive Chair Compensation”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0"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val="false"/>
          <w:color w:val="000000"/>
          <w:sz w:val="20"/>
        </w:rPr>
      </w:pPr>
      <w:r>
        <w:rPr>
          <w:rFonts w:ascii="Arial;sans-serif" w:hAnsi="Arial;sans-serif"/>
          <w:b w:val="false"/>
          <w:color w:val="000000"/>
          <w:sz w:val="20"/>
        </w:rPr>
        <w:t>We have reimbursed and will continue to reimburse all of our non-employee directors for their travel, lodging and other reasonable expenses incurred in attending meetings of our Board of Directors and committees of our Board of Directors, and will pay for the travel, lodging and other reasonable expenses incurred by our employee directors to attend meetings of our Board of Directors and, as applicable, committees of our Board of Directors.</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Executive Chair Compensation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Dr. Arie Belldegrun serves as our Executive Chair. Because his responsibilities under the Company’s consulting agreement with Bellco Capital LLC ("Bellco") extend substantially beyond the duties of a typical non-employee board chair, Dr. Belldegrun does not receive compensation under the Company’s standard Non-Employee Director Compensation Policy. Instead, Dr. Belldegrun is compensated through the Bellco consulting agreement (the "Bellco Consulting Agreement"), under which Bellco provides consulting services that are performed by Dr. Belldegrun. The Bellco Consulting Agreement has been in place since 2018 and was most recently amended in April 2025.</w:t>
      </w:r>
    </w:p>
    <w:p>
      <w:pPr>
        <w:pStyle w:val="TextBody"/>
        <w:bidi w:val="0"/>
        <w:spacing w:lineRule="auto" w:line="333" w:before="0" w:after="120"/>
        <w:ind w:left="0" w:right="0" w:firstLine="720"/>
        <w:jc w:val="left"/>
        <w:rPr>
          <w:rFonts w:ascii="Arial;sans-serif" w:hAnsi="Arial;sans-serif"/>
          <w:b/>
          <w:i/>
          <w:color w:val="000000"/>
          <w:sz w:val="20"/>
        </w:rPr>
      </w:pPr>
      <w:r>
        <w:rPr>
          <w:rFonts w:ascii="Arial;sans-serif" w:hAnsi="Arial;sans-serif"/>
          <w:b/>
          <w:i/>
          <w:color w:val="000000"/>
          <w:sz w:val="20"/>
        </w:rPr>
        <w:t>Components and levels of compensation</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Under the Bellco Consulting Agreement, compensation paid to Bellco consists of three principal components that parallel the Company’s executive pay program:</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 xml:space="preserve">Monthly cash retainer. A fixed monthly cash retainer of $40,217 (approximately $482,600 annually) was paid to Bellco for services in 2022, 2023 and 2024 and remained unchanged for 2025. </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 xml:space="preserve">Annual performance-based cash incentive. Bellco is eligible to receive an annual cash incentive award targeted at 60% of the annual cash retainer (i.e., roughly 40% of the CEO’s base salary). This incentive is payable only to the extent corporate performance objectives, as reflected in the Company’s corporate scorecard, are achieved. For 2025 corporate performance, the Board funded annual incentive payouts at 85% of target, and Bellco earned an incentive paid in early 2026 consistent with that outcome (approximately $246,000). </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Long-term equity. The Board has set Bellco’s long-term incentive value at approximately two-thirds of the CEO’s annual long-term incentive award. In January 2025, consistent with this approach, Dr. Belldegrun received an equity award consisting of stock options and restricted stock units totaling approximately two-thirds of the CEO’s 2025 long-term incentive value (1,307,927 shares of options, 369,957 shares of RSUs and 308,212 shares of PSUs with the potential to earn 154,106 additional PSUs if certain milestones are achieved). The majority of Dr. Belldegrun’s compensation is therefore “at risk” and tied to equity that vests over a multiyear period.</w: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Bellco is also reimbursed for reasonable out-of-pocket expenses incurred in performing the consulting services.</w:t>
      </w:r>
    </w:p>
    <w:p>
      <w:pPr>
        <w:pStyle w:val="TextBody"/>
        <w:bidi w:val="0"/>
        <w:spacing w:lineRule="auto" w:line="333" w:before="0" w:after="120"/>
        <w:ind w:left="0" w:right="0" w:firstLine="720"/>
        <w:jc w:val="left"/>
        <w:rPr>
          <w:rFonts w:ascii="Arial;sans-serif" w:hAnsi="Arial;sans-serif"/>
          <w:b/>
          <w:i/>
          <w:color w:val="000000"/>
          <w:sz w:val="20"/>
        </w:rPr>
      </w:pPr>
      <w:r>
        <w:rPr>
          <w:rFonts w:ascii="Arial;sans-serif" w:hAnsi="Arial;sans-serif"/>
          <w:b/>
          <w:i/>
          <w:color w:val="000000"/>
          <w:sz w:val="20"/>
        </w:rPr>
        <w:t>How the Compensation Committee and the Board set Executive Chair pay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 Compensation Committee annually reviews and recommends Dr. Belldegrun’s compensation to the Board as part of its established executive compensation process. The Committee is assisted by the independent compensation consultant Compensia (the Committee’s independent advisor) and evaluates Executive Chair compensation using a market-based framework that measures Executive Chair pay as a percentage of CEO compensation at comparable life sciences companies that employ an Executive Chair with an expanded operating role. See the section above under the heading "Information Regarding the Board of Directors and Corporate Governance—Distinctive Role of the Executive Chair." The Committee’s analysis reviewed multiple elements (base pay, total cash compensation, annual LTI value and total compensation) and included both a December 2023 and a December 2024 benchmark analysis that informed the Committee’s recommendations for 2024 and 2025. The Committee’s independent analysis concluded that the compensation approach used for Dr. Belldegrun positioned his Executive Chair compensation at approximately the 50th percentile of this comparator set. The Compensation Committee’s independent benchmarking supported positioning the Executive Chair’s compensation at approximately the market median when measured as a percentage of CEO pay, which was a primary input to the Committee’s recommendation to the Board. Specifically, the December 2023 analysis concluded that the comparator median executive chair total compensation represented 69% of CEO compensation, and our Executive Chair’s 2024 total compensation level was set at 67% of our CEO’s pay. The December 2024 analysis concluded that the comparator median executive chair total compensation represented 67% of CEO compensation, and our Executive Chair’s 2025 total compensation was maintained at 67% of our CEO’s pay. The Board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1"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Compensia’s analysis and recommendations in approving the Compensation Committee’s recommendation. All compensation decisions relating to Dr. Belldegrun are made by the Compensation Committee and the Board without Dr. Belldegrun present.</w:t>
      </w:r>
    </w:p>
    <w:p>
      <w:pPr>
        <w:pStyle w:val="TextBody"/>
        <w:bidi w:val="0"/>
        <w:spacing w:lineRule="auto" w:line="333" w:before="0" w:after="120"/>
        <w:ind w:left="0" w:right="0" w:firstLine="720"/>
        <w:jc w:val="left"/>
        <w:rPr>
          <w:rFonts w:ascii="Arial;sans-serif" w:hAnsi="Arial;sans-serif"/>
          <w:b/>
          <w:i/>
          <w:color w:val="000000"/>
          <w:sz w:val="20"/>
        </w:rPr>
      </w:pPr>
      <w:r>
        <w:rPr>
          <w:rFonts w:ascii="Arial;sans-serif" w:hAnsi="Arial;sans-serif"/>
          <w:b/>
          <w:i/>
          <w:color w:val="000000"/>
          <w:sz w:val="20"/>
        </w:rPr>
        <w:t>Governance features and alignment with stockholders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has adopted a number of governance and design features intended to ensure that Executive Chair compensation is aligned with stockholder interests:</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Market-based, percentage-of-CEO framework.</w:t>
      </w:r>
      <w:r>
        <w:rPr>
          <w:color w:val="000000"/>
        </w:rPr>
        <w:t xml:space="preserve"> </w:t>
      </w:r>
      <w:r>
        <w:rPr>
          <w:rFonts w:ascii="Arial;sans-serif" w:hAnsi="Arial;sans-serif"/>
          <w:b w:val="false"/>
          <w:color w:val="000000"/>
          <w:sz w:val="20"/>
        </w:rPr>
        <w:t xml:space="preserve">By benchmarking Executive Chair pay as a percentage of CEO compensation, the Committee aligns the Executive Chair’s compensation with the market-based pay levels used to set the Company’s CEO pay. This approach explicitly ties the Executive Chair’s pay opportunity to the Company’s CEO pay framework and peer group positioning. </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Majority of pay at risk.</w:t>
      </w:r>
      <w:r>
        <w:rPr>
          <w:color w:val="000000"/>
        </w:rPr>
        <w:t xml:space="preserve"> </w:t>
      </w:r>
      <w:r>
        <w:rPr>
          <w:rFonts w:ascii="Arial;sans-serif" w:hAnsi="Arial;sans-serif"/>
          <w:b w:val="false"/>
          <w:color w:val="000000"/>
          <w:sz w:val="20"/>
        </w:rPr>
        <w:t xml:space="preserve">Approximately two-thirds of the Executive Chair’s total compensation is delivered in the form of long-term equity that vests over four years and only has value if the Company’s stock price appreciates. The annual cash incentive is paid only if corporate performance goals are achieved. The Board views this structure as strongly aligning Dr. Belldegrun’s compensation with long-term stockholder value. </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Independence in the decision process.</w:t>
      </w:r>
      <w:r>
        <w:rPr>
          <w:color w:val="000000"/>
        </w:rPr>
        <w:t xml:space="preserve"> </w:t>
      </w:r>
      <w:r>
        <w:rPr>
          <w:rFonts w:ascii="Arial;sans-serif" w:hAnsi="Arial;sans-serif"/>
          <w:b w:val="false"/>
          <w:color w:val="000000"/>
          <w:sz w:val="20"/>
        </w:rPr>
        <w:t xml:space="preserve">The Compensation Committee, composed solely of independent directors, and the independent members of the Board evaluate and approve all compensation matters relating to Dr. Belldegrun outside his presence. The Board’s Lead Independent Director (Dr. Franz Humer) provides additional oversight and counterbalance to the Executive Chair role. </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Clear performance linkage.</w:t>
      </w:r>
      <w:r>
        <w:rPr>
          <w:color w:val="000000"/>
        </w:rPr>
        <w:t xml:space="preserve"> </w:t>
      </w:r>
      <w:r>
        <w:rPr>
          <w:rFonts w:ascii="Arial;sans-serif" w:hAnsi="Arial;sans-serif"/>
          <w:b w:val="false"/>
          <w:color w:val="000000"/>
          <w:sz w:val="20"/>
        </w:rPr>
        <w:t>The Executive Chair’s annual incentive is paid only to the extent of company-level performance as measured under the standard corporate scorecard used for other executives; long-term equity is subject to multi-year vesting and stock-price linkage. The Committee’s use of the same corporate scorecard and vesting schedules that apply to other senior executives reinforces a consistent pay-for-performance approach.</w:t>
      </w:r>
    </w:p>
    <w:p>
      <w:pPr>
        <w:pStyle w:val="TextBody"/>
        <w:bidi w:val="0"/>
        <w:spacing w:lineRule="auto" w:line="333" w:before="0" w:after="120"/>
        <w:ind w:left="0" w:right="0" w:firstLine="720"/>
        <w:jc w:val="left"/>
        <w:rPr>
          <w:rFonts w:ascii="Arial;sans-serif" w:hAnsi="Arial;sans-serif"/>
          <w:b/>
          <w:i/>
          <w:color w:val="000000"/>
          <w:sz w:val="20"/>
        </w:rPr>
      </w:pPr>
      <w:r>
        <w:rPr>
          <w:rFonts w:ascii="Arial;sans-serif" w:hAnsi="Arial;sans-serif"/>
          <w:b/>
          <w:i/>
          <w:color w:val="000000"/>
          <w:sz w:val="20"/>
        </w:rPr>
        <w:t>Addressing stockholder and proxy-advisor concerns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recognizes that some stockholders and proxy advisors have raised questions about the absolute level of Executive Chair pay at companies where the chair performs expanded operational and strategic duties. The Board considered those concerns carefully in 2025 and reached the following conclusions and actions:</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Role-based rationale.</w:t>
      </w:r>
      <w:r>
        <w:rPr>
          <w:color w:val="000000"/>
        </w:rPr>
        <w:t xml:space="preserve"> </w:t>
      </w:r>
      <w:r>
        <w:rPr>
          <w:rFonts w:ascii="Arial;sans-serif" w:hAnsi="Arial;sans-serif"/>
          <w:b w:val="false"/>
          <w:color w:val="000000"/>
          <w:sz w:val="20"/>
        </w:rPr>
        <w:t xml:space="preserve">Dr. Belldegrun serves in an Executive Chair capacity that materially differs from a traditional non-executive chair, including substantial time commitment, active involvement in corporate strategy and program execution, participation in executive meetings and scientific oversight, involvement in key external engagements, and project-specific responsibilities that would ordinarily be performed by an operating executive. The Board believes that paying an Executive Chair in proportion to CEO compensation is an appropriate market approach to reflect that higher level of engagement and contribution. </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Market positioning and multi-year restraint.</w:t>
      </w:r>
      <w:r>
        <w:rPr>
          <w:color w:val="000000"/>
        </w:rPr>
        <w:t xml:space="preserve"> </w:t>
      </w:r>
      <w:r>
        <w:rPr>
          <w:rFonts w:ascii="Arial;sans-serif" w:hAnsi="Arial;sans-serif"/>
          <w:b w:val="false"/>
          <w:color w:val="000000"/>
          <w:sz w:val="20"/>
        </w:rPr>
        <w:t>The Compensation Committee’s independent benchmarking indicates that the Company’s approach positions the Executive Chair at roughly the market median (50th percentile) when measured as a percentage of CEO compensation. In addition, the Board has not increased Bellco’s monthly retainer for multiple consecutive years (the retainer was unchanged for 2022–2025), demonstrating restraint in cash pay.</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Strong performance linkages and limited near-term cash exposure.</w:t>
      </w:r>
      <w:r>
        <w:rPr>
          <w:color w:val="000000"/>
        </w:rPr>
        <w:t xml:space="preserve"> </w:t>
      </w:r>
      <w:r>
        <w:rPr>
          <w:rFonts w:ascii="Arial;sans-serif" w:hAnsi="Arial;sans-serif"/>
          <w:b w:val="false"/>
          <w:color w:val="000000"/>
          <w:sz w:val="20"/>
        </w:rPr>
        <w:t>The structure heavily weights equity that vests over time and links annual cash incentive payouts to company performance; this design reduces the prospect of short-term, cash-heavy payouts that are disconnected from stockholder value creation.</w:t>
      </w:r>
    </w:p>
    <w:p>
      <w:pPr>
        <w:pStyle w:val="TextBody"/>
        <w:bidi w:val="0"/>
        <w:spacing w:lineRule="auto" w:line="333" w:before="0" w:after="120"/>
        <w:ind w:left="0" w:right="0" w:hanging="360"/>
        <w:jc w:val="left"/>
        <w:rPr/>
      </w:pPr>
      <w:r>
        <w:rPr>
          <w:color w:val="000000"/>
        </w:rPr>
        <w:t>•</w:t>
      </w:r>
      <w:r>
        <w:rPr>
          <w:rFonts w:ascii="Arial;sans-serif" w:hAnsi="Arial;sans-serif"/>
          <w:b/>
          <w:color w:val="000000"/>
          <w:sz w:val="20"/>
        </w:rPr>
        <w:t>Independent process and continued engagement.</w:t>
      </w:r>
      <w:r>
        <w:rPr>
          <w:color w:val="000000"/>
        </w:rPr>
        <w:t xml:space="preserve"> </w:t>
      </w:r>
      <w:r>
        <w:rPr>
          <w:rFonts w:ascii="Arial;sans-serif" w:hAnsi="Arial;sans-serif"/>
          <w:b w:val="false"/>
          <w:color w:val="000000"/>
          <w:sz w:val="20"/>
        </w:rPr>
        <w:t>Compensation levels are set by the independent directors following a rigorous Compensia analysis and are reviewed annually. The Board and the Compensation Committee have continued outreach with major stockholders and will consider further refinements to enhance alignment and address evolving market and governance expectations. The Committee will continue to monitor peer practice and proxy advisor guidance and may recommend additional calibration of mix or metrics where appropriate to respond to investor feedback.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2"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Taken together, these features reflect the Board’s judgment that Executive Chair compensation is appropriately calibrated to Dr. Belldegrun’s role and to market practice, while remaining strongly tied to Company performance and long-term stockholder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Non-Employee Director Compensation Policy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2025 non-employee director compensation policy included: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an annual cash retainer of $40,000;</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an additional annual cash retainer of $12,500, $7,500, $5,000 and $10,000 for service as a member of the Audit Committee, Compensation Committee, Nominating and Corporate Governance Committee, and Research and Development Committee, respectively;</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an additional annual cash retainer of $30,000, $25,000, $15,000, $10,000, $20,000, and $50,000 for service as Lead Independent Director, chair of the Audit Committee, Compensation Committee, Nominating and Corporate Governance Committee, Research and Development Committee, and International and Business Development Oversight Committee, respectively (in lieu of the committee member retainer above);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an additional cash payment of $3,500 per meeting for each other member of the International and Business Development Oversight Committee; and $5,000 per annual Scientific Advisory Board meeting attended by a member of the Research and Development Committee;</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an initial option grant, vesting in 36 equal monthly installments, and/or an initial restricted stock unit award, vesting semi-annually over a three-year period from the date of grant, having an aggregate grant date value of $600,000, which was lowered from $850,000 for 2023, with the director designating the proportionate share between the initial option grant and initial restricted stock unit award prior to or on the date of grant, provided that the number of shares granted would not exceed 190,700 shares if the director elects 100% RSUs, 239,700 shares if the director elects 50%/50% RSUs/Options, and 288,700 shares if the director elects 100% options;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an annual option grant, vesting in 12 equal monthly installments, and/or an annual restricted stock unit award, vesting semi-annually over a one-year period, having an aggregate grant date value of $300,000, which was lowered from $425,000 for 2023, with the director designating the proportionate share between the annual option grant and annual restricted stock unit award prior to or on the date of grant, provided that the number of shares granted would not exceed 95,400 shares if the director elects 100% RSUs, 119,900 shares if the director elects 50%/50% RSUs/Options, and 144,400 shares if the director elects 100% options. The annual grants will be made on the date of each of our annual meetings of stockholders.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Each of the equity awards described above will vest and become exercisable subject to the non-employee director’s continuous service with us through each applicable vesting date, provided that each option and restricted stock unit award will vest in full upon a change of control of the Company, as defined under our EIP. The stock options and restricted stock unit awards will be granted under our EIP.</w:t>
      </w:r>
    </w:p>
    <w:p>
      <w:pPr>
        <w:pStyle w:val="TextBody"/>
        <w:bidi w:val="0"/>
        <w:spacing w:lineRule="auto" w:line="333" w:before="0" w:after="120"/>
        <w:jc w:val="left"/>
        <w:rPr/>
      </w:pPr>
      <w:r>
        <w:rPr>
          <w:rFonts w:ascii="Arial;sans-serif" w:hAnsi="Arial;sans-serif"/>
          <w:b w:val="false"/>
          <w:color w:val="000000"/>
          <w:sz w:val="20"/>
        </w:rPr>
        <w:t>In March 2025, the Compensation Committee, in consultation with Compensia, recommended to our Board, and in April 2025 our Board approved, an amendment to our non-employee director compensation policy and added share limitations to new director initial equity grants and annual director equity grants. Under the amended policy directors will be granted equity having the grant date values noted above, but in no event shall the number of shares underlying such equity grants exceed the share limits noted above. The Compensation Committee recommended these changes following a review of non-employee director compensation peer data with Compensia. The new equity caps were implemented to better align equity grants with the 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of the peer data, which decreased from the prior year’s assessment.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addition, our Board approved the following changes to certain annual cash retainers: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Added a $30,000 annual cash retainer for our Lead Independent Director (our former Lead Independent Director, Mr. Bonderman, did not accept compensation for service as a director);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3"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Reduced the annual cash retainer of the chair of our International and Business Development Oversight Committee to $50,000.</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further amended the non-employee director compensation policy to provide directors who receive RSUs the option to defer settlement upon vesting until they leave the Board or a Change of Control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4"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7771" w:type="dxa"/>
        <w:jc w:val="left"/>
        <w:tblInd w:w="0" w:type="dxa"/>
        <w:tblLayout w:type="fixed"/>
        <w:tblCellMar>
          <w:top w:w="28" w:type="dxa"/>
          <w:left w:w="28" w:type="dxa"/>
          <w:bottom w:w="28" w:type="dxa"/>
          <w:right w:w="28" w:type="dxa"/>
        </w:tblCellMar>
      </w:tblPr>
      <w:tblGrid>
        <w:gridCol w:w="2489"/>
        <w:gridCol w:w="2185"/>
        <w:gridCol w:w="3097"/>
      </w:tblGrid>
      <w:tr>
        <w:trPr/>
        <w:tc>
          <w:tcPr>
            <w:tcW w:w="2489"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7771"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 xml:space="preserve">Security Ownership of Certain Beneficial Owners and Management </w:t>
            </w:r>
          </w:p>
        </w:tc>
      </w:tr>
    </w:tbl>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regarding the ownership of the Company’s common stock as of March 31, 2026 by: (i) each director; (ii) each of the Company’s named executive officers; (iii) all current executive officers and directors of the Company as a group; and (iv) all those known by the Company to be beneficial owners of more than 5% of its common stock.</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table is based upon information supplied by officers, directors and principal stockholders, Schedules 13D and 13G filed with the SEC and other sources believed to be reliable by the Company.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244,816,413 shares outstanding on March 31, 2026, adjusted as required by rules promulgated by the SEC. The 244,816,413 shares outstanding on March 31, 2026 do not include the 100,200,000 shares of common stock issued on April 16, 2026 pursuant to our underwritten public offering. The number of shares of common stock used to calculate the percentage ownership of each listed beneficial owner includes the shares of common stock underlying options or convertible securities held by such beneficial owner that are exercisable or convertible within 60 days following March 31, 2026. Unless otherwise indicated, the address for each person or entity listed in the table is c/o Allogene Therapeutics, Inc., 210 East Grand Avenue, South San Francisco, California 94080.</w:t>
      </w:r>
    </w:p>
    <w:tbl>
      <w:tblPr>
        <w:tblW w:w="8756" w:type="dxa"/>
        <w:jc w:val="center"/>
        <w:tblInd w:w="0" w:type="dxa"/>
        <w:tblLayout w:type="fixed"/>
        <w:tblCellMar>
          <w:top w:w="28" w:type="dxa"/>
          <w:left w:w="28" w:type="dxa"/>
          <w:bottom w:w="28" w:type="dxa"/>
          <w:right w:w="28" w:type="dxa"/>
        </w:tblCellMar>
      </w:tblPr>
      <w:tblGrid>
        <w:gridCol w:w="2110"/>
        <w:gridCol w:w="1859"/>
        <w:gridCol w:w="1866"/>
        <w:gridCol w:w="109"/>
        <w:gridCol w:w="109"/>
        <w:gridCol w:w="109"/>
        <w:gridCol w:w="370"/>
        <w:gridCol w:w="370"/>
        <w:gridCol w:w="371"/>
        <w:gridCol w:w="109"/>
        <w:gridCol w:w="109"/>
        <w:gridCol w:w="109"/>
        <w:gridCol w:w="338"/>
        <w:gridCol w:w="338"/>
        <w:gridCol w:w="480"/>
      </w:tblGrid>
      <w:tr>
        <w:trPr/>
        <w:tc>
          <w:tcPr>
            <w:tcW w:w="2110"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75" w:after="283"/>
              <w:jc w:val="left"/>
              <w:rPr>
                <w:rFonts w:ascii="Arial;sans-serif" w:hAnsi="Arial;sans-serif"/>
                <w:b/>
                <w:color w:val="000000"/>
                <w:sz w:val="18"/>
              </w:rPr>
            </w:pPr>
            <w:r>
              <w:rPr>
                <w:rFonts w:ascii="Arial;sans-serif" w:hAnsi="Arial;sans-serif"/>
                <w:b/>
                <w:color w:val="000000"/>
                <w:sz w:val="18"/>
              </w:rPr>
              <w:t>Number of</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shares</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Beneficially</w:t>
            </w:r>
          </w:p>
          <w:p>
            <w:pPr>
              <w:pStyle w:val="TableContents"/>
              <w:bidi w:val="0"/>
              <w:spacing w:lineRule="auto" w:line="288" w:before="0" w:after="30"/>
              <w:jc w:val="left"/>
              <w:rPr>
                <w:rFonts w:ascii="Arial;sans-serif" w:hAnsi="Arial;sans-serif"/>
                <w:b/>
                <w:color w:val="000000"/>
                <w:sz w:val="18"/>
              </w:rPr>
            </w:pPr>
            <w:r>
              <w:rPr>
                <w:rFonts w:ascii="Arial;sans-serif" w:hAnsi="Arial;sans-serif"/>
                <w:b/>
                <w:color w:val="000000"/>
                <w:sz w:val="18"/>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75" w:after="283"/>
              <w:jc w:val="left"/>
              <w:rPr>
                <w:rFonts w:ascii="Arial;sans-serif" w:hAnsi="Arial;sans-serif"/>
                <w:b/>
                <w:color w:val="000000"/>
                <w:sz w:val="18"/>
              </w:rPr>
            </w:pPr>
            <w:r>
              <w:rPr>
                <w:rFonts w:ascii="Arial;sans-serif" w:hAnsi="Arial;sans-serif"/>
                <w:b/>
                <w:color w:val="000000"/>
                <w:sz w:val="18"/>
              </w:rPr>
              <w:t>Percentage</w:t>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Beneficially</w:t>
            </w:r>
          </w:p>
          <w:p>
            <w:pPr>
              <w:pStyle w:val="TableContents"/>
              <w:bidi w:val="0"/>
              <w:spacing w:lineRule="auto" w:line="288" w:before="0" w:after="30"/>
              <w:jc w:val="left"/>
              <w:rPr>
                <w:rFonts w:ascii="Arial;sans-serif" w:hAnsi="Arial;sans-serif"/>
                <w:b/>
                <w:color w:val="000000"/>
                <w:sz w:val="18"/>
              </w:rPr>
            </w:pPr>
            <w:r>
              <w:rPr>
                <w:rFonts w:ascii="Arial;sans-serif" w:hAnsi="Arial;sans-serif"/>
                <w:b/>
                <w:color w:val="000000"/>
                <w:sz w:val="18"/>
              </w:rPr>
              <w:t>Owned</w:t>
            </w:r>
          </w:p>
        </w:tc>
      </w:tr>
      <w:tr>
        <w:trPr/>
        <w:tc>
          <w:tcPr>
            <w:tcW w:w="5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Greater than 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Pfizer Inc.(1)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22,032,040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9.0%</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TPG GP A, LLC(2)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18,716,306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7.6%</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Citadel Multi-Strategy Equities Master Fund Ltd.(3)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13,346,151</w:t>
            </w:r>
          </w:p>
        </w:tc>
        <w:tc>
          <w:tcPr>
            <w:tcW w:w="327" w:type="dxa"/>
            <w:gridSpan w:val="3"/>
            <w:tcBorders/>
            <w:shd w:fill="CCEEFF" w:val="clear"/>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5.5%</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Arie Belldegrun, M.D.(4)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13,466,383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5.4%</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David Chang, M.D., Ph.D.(5)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12,297,354</w:t>
            </w:r>
          </w:p>
        </w:tc>
        <w:tc>
          <w:tcPr>
            <w:tcW w:w="327" w:type="dxa"/>
            <w:gridSpan w:val="3"/>
            <w:tcBorders/>
            <w:shd w:fill="FFFFFF" w:val="clear"/>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4.9%</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Joshua Kazam(6)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657,965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Franz Humer, Ph.D.(7)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634,498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Deborah Messemer(8)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506,881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Owen Witte, M.D.(9)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621,189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Elizabeth Barrett(10)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489,357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Vicki Sato, Ph.D.(11)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483,935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Todd Sisitsky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xml:space="preserve">  —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John DeYoung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xml:space="preserve">  — </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Stephen Mayo(12)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434,717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 xml:space="preserve">Zachary J. Roberts, M.D., Ph.D.(13)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1,655,974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color w:val="000000"/>
              </w:rPr>
            </w:pPr>
            <w:r>
              <w:rPr>
                <w:color w:val="000000"/>
              </w:rPr>
              <w:t>  </w:t>
            </w:r>
            <w:r>
              <w:rPr>
                <w:rFonts w:ascii="Arial;sans-serif" w:hAnsi="Arial;sans-serif"/>
                <w:b w:val="false"/>
                <w:color w:val="000000"/>
                <w:sz w:val="18"/>
              </w:rPr>
              <w:t xml:space="preserve">* </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300" w:before="75" w:after="30"/>
              <w:ind w:left="0" w:right="0" w:hanging="180"/>
              <w:jc w:val="left"/>
              <w:rPr>
                <w:rFonts w:ascii="Arial;sans-serif" w:hAnsi="Arial;sans-serif"/>
                <w:b w:val="false"/>
                <w:color w:val="000000"/>
                <w:sz w:val="18"/>
              </w:rPr>
            </w:pPr>
            <w:r>
              <w:rPr>
                <w:rFonts w:ascii="Arial;sans-serif" w:hAnsi="Arial;sans-serif"/>
                <w:b w:val="false"/>
                <w:color w:val="000000"/>
                <w:sz w:val="18"/>
              </w:rPr>
              <w:t>Geoffrey Parker(14)</w:t>
            </w:r>
          </w:p>
        </w:tc>
        <w:tc>
          <w:tcPr>
            <w:tcW w:w="327" w:type="dxa"/>
            <w:gridSpan w:val="3"/>
            <w:tcBorders/>
            <w:shd w:fill="CCEEFF" w:val="clear"/>
            <w:tcMar>
              <w:top w:w="0" w:type="dxa"/>
              <w:left w:w="0" w:type="dxa"/>
              <w:bottom w:w="0" w:type="dxa"/>
              <w:right w:w="0" w:type="dxa"/>
            </w:tcMar>
            <w:vAlign w:val="center"/>
          </w:tcPr>
          <w:p>
            <w:pPr>
              <w:pStyle w:val="TableContents"/>
              <w:bidi w:val="0"/>
              <w:spacing w:before="75" w:after="30"/>
              <w:ind w:left="0" w:right="0" w:hanging="180"/>
              <w:jc w:val="left"/>
              <w:rPr/>
            </w:pPr>
            <w:r>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1,770,848</w:t>
            </w:r>
          </w:p>
        </w:tc>
        <w:tc>
          <w:tcPr>
            <w:tcW w:w="327" w:type="dxa"/>
            <w:gridSpan w:val="3"/>
            <w:tcBorders/>
            <w:shd w:fill="CCEEFF" w:val="clear"/>
            <w:tcMar>
              <w:top w:w="0" w:type="dxa"/>
              <w:left w:w="0" w:type="dxa"/>
              <w:bottom w:w="0" w:type="dxa"/>
              <w:right w:w="0" w:type="dxa"/>
            </w:tcMar>
            <w:vAlign w:val="center"/>
          </w:tcPr>
          <w:p>
            <w:pPr>
              <w:pStyle w:val="TableContents"/>
              <w:bidi w:val="0"/>
              <w:spacing w:before="75" w:after="30"/>
              <w:ind w:left="0" w:right="0" w:hanging="180"/>
              <w:jc w:val="left"/>
              <w:rPr/>
            </w:pPr>
            <w:r>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300" w:before="75" w:after="30"/>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88" w:before="75" w:after="30"/>
              <w:ind w:left="0" w:right="0" w:hanging="180"/>
              <w:jc w:val="left"/>
              <w:rPr>
                <w:rFonts w:ascii="Arial;sans-serif" w:hAnsi="Arial;sans-serif"/>
                <w:b w:val="false"/>
                <w:color w:val="000000"/>
                <w:sz w:val="18"/>
              </w:rPr>
            </w:pPr>
            <w:r>
              <w:rPr>
                <w:rFonts w:ascii="Arial;sans-serif" w:hAnsi="Arial;sans-serif"/>
                <w:b w:val="false"/>
                <w:color w:val="000000"/>
                <w:sz w:val="18"/>
              </w:rPr>
              <w:t>All current executive officers and directors as a group (15 persons)(15)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18"/>
              </w:rPr>
            </w:pPr>
            <w:r>
              <w:rPr>
                <w:rFonts w:ascii="Arial;sans-serif" w:hAnsi="Arial;sans-serif"/>
                <w:b w:val="false"/>
                <w:color w:val="000000"/>
                <w:sz w:val="18"/>
              </w:rPr>
              <w:t>34,668,538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300" w:before="75" w:after="30"/>
              <w:jc w:val="left"/>
              <w:rPr>
                <w:rFonts w:ascii="Arial;sans-serif" w:hAnsi="Arial;sans-serif"/>
                <w:b w:val="false"/>
                <w:color w:val="000000"/>
                <w:sz w:val="18"/>
              </w:rPr>
            </w:pPr>
            <w:r>
              <w:rPr>
                <w:rFonts w:ascii="Arial;sans-serif" w:hAnsi="Arial;sans-serif"/>
                <w:b w:val="false"/>
                <w:color w:val="000000"/>
                <w:sz w:val="18"/>
              </w:rPr>
              <w:t>13.2%</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Represents beneficial ownership of less than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5"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60" w:after="283"/>
        <w:jc w:val="left"/>
        <w:rPr/>
      </w:pPr>
      <w:r>
        <w:rPr/>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    Consists of 22,032,040 shares of common stock held by Pfizer. The address of Pfizer is 235 E. 42nd Street, New York, NY 10017. This information is based on the Schedule 13D/A filed on February 13, 2026 with the SEC.</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(2)    Consists of an aggregate of 18,716,306 shares of common stock. TPG GP A is the managing member of TPG Group Holdings (SBS) Advisors, LLC, a Delaware limited liability company, which is the general partner of TPG Group Holdings (SBS), L.P., a Delaware limited partnership, which holds 100% of the shares of Class B common stock (which represents a majority of the combined voting power of the common stock) of TPG Inc., a Delaware corporation ("TPG"), which is the controlling shareholder of TPG GP Co, Inc., a Delaware corporation, which is the managing member of TPG Holdings I-A, LLC, a Delaware limited liability company, which is the general partner of TPG Operating Group I, L.P., a Delaware limited partnership, which is the sole member of each of (i) TPG GenPar VII Advisors, LLC, a Delaware limited liability company and (ii) The Rise Fund GenPar Advisors, LLC, a Delaware limited liability company. TPG GenPar VII Advisors, LLC is the general partner of TPG GenPar VII, L.P., a Delaware limited partnership, which is the general partner of TPG Carthage Holdings, L.P., a Delaware limited partnership, which directly holds 12,477,536 shares of Common Stock. The Rise Fund GenPar Advisors, LLC is the general partner of The Rise Fund GenPar, L.P., a Delaware limited partnership, which is the general partner of The Rise Fund Carthage, L.P., a Delaware limited partnership (together with TPG Carthage Holdings, L.P., the “TPG Funds”), which directly holds 6,238,770 shares of Common Stock. Because of TPG GP A’s relationship with the TPG Funds, TPG GP A may be deemed to beneficially own the shares of Common Stock held by the TPG Funds. TPG GP A is owned by entities owned by Messrs. Coulter and Winkelried. Because of the relationship of Messrs. Coulter and Winkelried to TPG GP A, each of Messrs. Coulter and Winkelried may be deemed to beneficially own the shares of Common Stock held by the TPG Funds. Messrs. Coulter and Winkelried disclaim beneficial ownership of the shares of Common Stock held by the TPG Funds except to the extent of their pecuniary interest therein and except for purposes of determining their obligations under Rule 13d-1 of the Exchange Act. The address of each of the TPG Funds is c/o TPG Global, LLC, 301 Commerce Street, Suite 3300, Fort Worth, Texas 76102. This information is based on the Schedule 13D/A filed on January 18, 2022 with the SEC.</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 xml:space="preserve">(3)    Based solely on information contained in a Schedule 13G as filed with the SEC on July 16, 2025 by Citadel Advisors LLC. According to the Schedule 13G, 13,346,151 shares are owned by Citadel Multi-Strategy Equities Master Fund Ltd ("CM") of which 10,203,329 shares of common stock are deemed to be beneficially owned by Citadel Advisors LLC ("Citadel Advisors"), Citadel Advisors Holdings LP ("CAH") and Citadel GP LLC ("CGP"); 3,142,822 shares of common stock are deemed to be beneficially owned by Citadel Securities LLC ("Citadel Securities"), Citadel Securities Group LP ("CALC4") and Citadel Securities GP LLC ("CSGP"). Mr. Kenneth Griffin is deemed to beneficially own 13,346,151 shares. 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 The address of Citadel Advisors is 830 Brickell Plaza, Miami, Florida 33131. Because the information in the table above does not reflect any transactions between July 16, 2025 and March 31, 2026, Citadel Advisors and Citadel Securities' actual beneficial ownership of our common stock on March 31, 2026 may be different than reported in the table above. </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(4)    Consists of (i) 4,710,120 shares of common stock beneficially owned by Rebecka Belldegrun, as beneficiary and trustee of the Bellco Legacy Trust fbo Rebecka Belldegrun, (ii) 539,867 shares of common stock beneficially owned by Bellco Legacy LLC, of which Dr. Belldegrun is a manager, (iii) 1,798,163 shares of common stock beneficially owned by Vida Ventures LLC ("Vida"), of which VV Manager LLC is the manager, of which Dr. Belldegrun is a Senior Managing Director, (iv) 1,720,172 shares of common stock beneficially owned by Vida Ventures III L.P. ("Vida III"), of which VV Manager LLC is the manager, of which Dr. Belldegrun is a Senior Managing Director, (v) 3,965 shares of common stock beneficially owned by Vida Ventures III-A L.P. ("Vida III-A"), of which VV Manager LLC is the manager, of which Dr. Belldegrun is a Senior Managing Director, (vi) 827,767 shares of common stock held by Dr. Belldegrun, and (vii) 3,866,329 shares of common stock issuable upon exercise of options held by Dr. Belldegrun, 344,832 of which will be unvested but exercisable within 60 days of March 31, 2026. The address of Dr. Belldegrun, Bellco Legacy Trust and Bellco Legacy LLC is 10100 Santa Monica Blvd., 15th Floor, Los Angeles, CA 90067. The address of Vida, Vida III and Vida III-A is 40 Broad Street, #201, Boston, MA 02109.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6"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(5)    Consists of (i) 3,039,151 shares of common stock held by David Chang, M.D., Ph.D., (ii) 1,201,108 shares of common stock held by the Chang 2006 Family Trust ("Chang Trust"), (iii) 856,044 shares of common stock held by the JEC 2019 Trust, (iv) 856,044 shares of common stock held by the RTC 2019 Trust, and (v) 6,345,007 shares of common stock issuable upon exercise of options, 516,808 of which will be unvested but exercisable within 60 days of March 31, 2026. Dr. Chang is co-trustee of the Chang Trust, JEC 2019 Trust and RTC 2019 Trust.</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(6)    Consists of (i) 350,763 shares of common stock held by Joshua Kazam and (ii) 307,202 shares of common stock issuable upon exercise of options.</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(7)    Consists of (i) 307,507 shares of common stock held by Franz Humer, Ph.D., (ii) 279,291 shares of common stock issuable upon exercise of options and (iii) 47,700 shares of vested RSUs deferred to be issued upon termination of service or change of control.</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(8)    Consists of (i) 6,535 shares of common stock held by the Messemer Family Trust ("Messemer Trust"), (ii) 100,896 shares of common stock held by Ms. Messemer, (iii) 351,750 shares of common stock issuable upon exercise of options and (iv) 47,700 shares of vested RSUs deferred to be issued upon termination of service or change of control. Ms. Messemer is trustee of the Messemer Trust.</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(9)    Consists of (i) 292,832 shares of common stock held by Owen Witte, M.D., (ii) 280,657 shares of common stock issuable upon exercise of options and (iii) 47,700 shares of vested RSUs deferred to be issued upon termination of service or change of control.</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(10)    Consists of 441,657 shares of common stock issuable upon exercise of options by Elizabeth Barrett and 47,700 shares of vested RSUs deferred to be issued upon termination of service or change of control.</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(11)    Consists of (i) 162,575 shares of common stock held by Vicki Sato, Ph.D. and (ii) 321,360 shares of common stock issuable upon exercise of options, 24,067 of which will be unvested but exercisable within 60 days of March 31, 2026.</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(12)    Consists of (i) 25,328 shares of common stock held by Stephen Mayo, Ph.D., (ii) 361,689 shares of common stock issuable upon exercise of options and (iii) 47,700 shares of vested RSUs deferred to be issued upon termination of service or change of control.</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(13)    Consists of (i) 193,052 shares of common stock held by Zachary J. Roberts, M.D., Ph.D. and (ii) 1,462,922 shares of common stock issuable upon exercise of options, 234,994 of which will be unvested but exercisable within 60 days of March 31, 2026.</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(14)    Consists of (i) 535,060 shares of common stock held by Geoffrey Parker and (ii) 1,235,788 shares of common stock issuable upon exercise of options, 407,434 of which will be unvested but exercisable within 60 days of March 31, 2026.</w:t>
      </w:r>
    </w:p>
    <w:p>
      <w:pPr>
        <w:pStyle w:val="TextBody"/>
        <w:bidi w:val="0"/>
        <w:spacing w:lineRule="auto" w:line="333" w:before="0" w:after="60"/>
        <w:ind w:left="0" w:right="0" w:hanging="450"/>
        <w:jc w:val="left"/>
        <w:rPr>
          <w:rFonts w:ascii="Arial;sans-serif" w:hAnsi="Arial;sans-serif"/>
          <w:b w:val="false"/>
          <w:color w:val="000000"/>
          <w:sz w:val="20"/>
        </w:rPr>
      </w:pPr>
      <w:r>
        <w:rPr>
          <w:rFonts w:ascii="Arial;sans-serif" w:hAnsi="Arial;sans-serif"/>
          <w:b w:val="false"/>
          <w:color w:val="000000"/>
          <w:sz w:val="20"/>
        </w:rPr>
        <w:t>(15)    Includes the shares described in notes (4) through (14) above, plus 1,649,437 shares beneficially owned by two additional executive officers who are not listed in the table above, of which 1,376,577 shares of common stock are issuable upon the exercise of options, 377,380 of which will be unvested but exercisable within 60 days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7"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tbl>
      <w:tblPr>
        <w:tblW w:w="4139" w:type="dxa"/>
        <w:jc w:val="left"/>
        <w:tblInd w:w="0" w:type="dxa"/>
        <w:tblLayout w:type="fixed"/>
        <w:tblCellMar>
          <w:top w:w="28" w:type="dxa"/>
          <w:left w:w="28" w:type="dxa"/>
          <w:bottom w:w="28" w:type="dxa"/>
          <w:right w:w="28" w:type="dxa"/>
        </w:tblCellMar>
      </w:tblPr>
      <w:tblGrid>
        <w:gridCol w:w="1324"/>
        <w:gridCol w:w="1165"/>
        <w:gridCol w:w="1650"/>
      </w:tblGrid>
      <w:tr>
        <w:trPr/>
        <w:tc>
          <w:tcPr>
            <w:tcW w:w="132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Transactions with Related Persons</w:t>
            </w:r>
          </w:p>
        </w:tc>
      </w:tr>
    </w:tbl>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Related-Person Transactions Policy and Procedures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common stock, including any of their immediate family members and affiliates, including entities owned or controlled by such persons.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rely on information supplied by our executive officers, directors and certain significant stockholders. In considering related-person transactions, our Audit Committee or another independent body of our Board takes into account the relevant available facts and circumstances including, but not limited to:</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risks, costs and benefits to us;</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impact on a director’s independence in the event the related person is a director, immediate family member of a director or an entity with which a director is affiliated;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terms of the transaction;</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availability of other sources for comparable services or products; and</w:t>
      </w:r>
    </w:p>
    <w:p>
      <w:pPr>
        <w:pStyle w:val="TextBody"/>
        <w:bidi w:val="0"/>
        <w:spacing w:lineRule="auto" w:line="333" w:before="0" w:after="120"/>
        <w:ind w:left="0" w:right="0" w:hanging="360"/>
        <w:jc w:val="left"/>
        <w:rPr/>
      </w:pPr>
      <w:r>
        <w:rPr>
          <w:color w:val="000000"/>
        </w:rPr>
        <w:t>•</w:t>
      </w:r>
      <w:r>
        <w:rPr>
          <w:rFonts w:ascii="Arial;sans-serif" w:hAnsi="Arial;sans-serif"/>
          <w:b w:val="false"/>
          <w:color w:val="000000"/>
          <w:sz w:val="20"/>
        </w:rPr>
        <w:t>the terms available to or from, as the case may be, unrelated third parties.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the event a director has an interest in the proposed transaction, the director must recuse themselves from the deliberations and approval.</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Certain Related-Person Transactions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 following sections summarize transactions since January 1, 2024 to which we have been a party, in which the amount involved in the transaction exceeded the lesser of $120,000 or 1% of the average of the Company’s total assets at year end for the last two completed fiscal years and in which any of our directors, executive officers or, to our knowledge, beneficial owners of more than 5% of our capital stock, including any of their immediate family members and affiliates, including entities owned or controlled by such persons, had or will have a direct or indirect material interest, other than equity and other compensation, termination, change in control and other arrangements, which are described under “Executive Compensation” and “Director Compensation” or would be required to be described under “Executive Compensation” if the executive officer were a named executive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88"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240" w:after="120"/>
        <w:ind w:left="0" w:right="0" w:firstLine="547"/>
        <w:jc w:val="left"/>
        <w:rPr>
          <w:rFonts w:ascii="Arial;sans-serif" w:hAnsi="Arial;sans-serif"/>
          <w:b/>
          <w:i/>
          <w:color w:val="05686F"/>
          <w:sz w:val="20"/>
        </w:rPr>
      </w:pPr>
      <w:r>
        <w:rPr>
          <w:rFonts w:ascii="Arial;sans-serif" w:hAnsi="Arial;sans-serif"/>
          <w:b/>
          <w:i/>
          <w:color w:val="05686F"/>
          <w:sz w:val="20"/>
        </w:rPr>
        <w:t>Pfizer Asset Purchase Transaction</w:t>
      </w:r>
    </w:p>
    <w:p>
      <w:pPr>
        <w:pStyle w:val="TextBody"/>
        <w:bidi w:val="0"/>
        <w:spacing w:lineRule="auto" w:line="319" w:before="0" w:after="120"/>
        <w:jc w:val="left"/>
        <w:rPr>
          <w:rFonts w:ascii="Arial;sans-serif" w:hAnsi="Arial;sans-serif"/>
          <w:b w:val="false"/>
          <w:color w:val="000000"/>
          <w:sz w:val="20"/>
        </w:rPr>
      </w:pPr>
      <w:r>
        <w:rPr>
          <w:rFonts w:ascii="Arial;sans-serif" w:hAnsi="Arial;sans-serif"/>
          <w:b w:val="false"/>
          <w:color w:val="000000"/>
          <w:sz w:val="20"/>
        </w:rPr>
        <w:t>Pfizer held 22,032,040 shares of our common stock based on the Schedule 13D/A filed on February 13, 2026 with the SEC.</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April 2018, we entered into an Asset Contribution Agreement (the "Pfizer Agreement") with Pfizer pursuant to which we acquired certain assets and assumed certain liabilities from Pfizer, including a Research Collaboration and License Agreement with Cellectis S.A. and an Exclusive License and Collaboration Agreement with Les Laboratoires Servier SAS and Institut de Recherches Internationales Servier SAS (collectively, "Servier"), and other intellectual property for the development and administration of CAR T cells for the treatment of cancer.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As consideration for the purchased assets, we issued Pfizer 3,187,772 shares of our Series A-1 Preferred Stock. In addition, we are required to make milestone payments upon successful completion of regulatory and sales milestones on a target-by-target basis for certain targets, including CD19 and BCMA, covered by the Pfizer Agreement. The aggregate potential milestone payments upon successful completion of various regulatory milestones in the United States and the European Union are $30 million or $60 million per target (depending on the target, and $840.0 million for all targets), provided that we are not obligated to pay a milestone for regulatory approval in the European Union for an anti-CD19 allogeneic CAR T cell product, to the extent Servier has commercial rights to such territory. The aggregate potential milestone payments upon reaching certain annual net sales thresholds in North America, Europe, Asia, Australia and Oceania, which we refer to as the Territory, for a certain number of targets covered by the Pfizer Agreement are $325.0 million per target. Concurrently with our entry into the Pfizer Agreement, we and Pfizer entered into a letter agreement pursuant to which Pfizer granted us, in partial consideration for our milestone and royalty payment obligations under the Pfizer Agreement, an option to expand the Territory to include some or all of the rest of the world at our election. We may exercise the option at any time during the 12-year period following closing of the asset acquisition under the Pfizer Agreement.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Pfizer is also eligible to receive, on a product-by-product and country-by-country basis, (i) royalties in the low single-digit percentage on annual net sales in the United States for products commercialized by us targeting certain targets, including CD19, covered by the Pfizer Agreement, and (ii) tiered marginal royalties ranging from the low to mid-single-digit percentages on annual net sales in any country in the world for products commercialized by us targeting certain other targets covered by the Pfizer Agreement. The royalties in the foregoing clauses (i) and (ii) are subject to reduction for products not covered by certain patent claims or for future required licenses of third party intellectual property. Our royalty obligation with respect to a given product in a given country, which we refer to as the Pfizer Royalty Term, begins upon the first sale of such product in such country and ends on the later of (i) expiration of the last claim of a defined set of patent rights, in each case covering such product in such country or (ii) 12 years from the first sale of such product in such country.</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Under the Pfizer Agreement, we are required to use commercially reasonable efforts to develop and seek regulatory approval in and for the United States and the European Union for certain products covered by the Pfizer Agreement and to commercialize each product covered by the Pfizer Agreement in the applicable royalty territory in which regulatory approval for such product has been obtained. We also agreed to offer employment to certain Pfizer employees on terms no less favorable than the terms such employees enjoyed while being employed by Pfizer. We hired 39 employees from Pfizer pursuant to the terms of the Pfizer Agreement.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Pfizer is required, subject to certain limitations, to indemnify us against damages arising out of any breach or inaccuracy in the representations or warranties made by Pfizer, any breach of a covenant by Pfizer or any liability not acquired by us. Likewise, we are required, subject to certain limitations, to indemnify Pfizer against damages arising out of any breach or inaccuracy of our representations and warranties, any breach of a covenant made in the agreement or the related patent and know-how license agreement by us, including any practice of intellectual property outside of the scope of the license granted to us, or any assumed liability.</w:t>
      </w:r>
    </w:p>
    <w:p>
      <w:pPr>
        <w:pStyle w:val="TextBody"/>
        <w:bidi w:val="0"/>
        <w:spacing w:lineRule="auto" w:line="319" w:before="240" w:after="120"/>
        <w:ind w:left="0" w:right="0" w:firstLine="547"/>
        <w:jc w:val="left"/>
        <w:rPr>
          <w:rFonts w:ascii="Arial;sans-serif" w:hAnsi="Arial;sans-serif"/>
          <w:b/>
          <w:i/>
          <w:color w:val="05686F"/>
          <w:sz w:val="20"/>
        </w:rPr>
      </w:pPr>
      <w:r>
        <w:rPr>
          <w:rFonts w:ascii="Arial;sans-serif" w:hAnsi="Arial;sans-serif"/>
          <w:b/>
          <w:i/>
          <w:color w:val="05686F"/>
          <w:sz w:val="20"/>
        </w:rPr>
        <w:t>Bellco Sublease Agreement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In December 2018, we entered into a sublease with Bellco for 1,293 square feet of office space in Los Angeles, California for a three-year term. On April 1, 2020, Bellco Capital Advisors Inc. assumed all rights, title, interests and obligations under the sublease from Bellco Capital LLC. In November 2021, the sublease was extended to June 30,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89"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sublease was amended, effective in July 2022, to move to a nearby location, with office space of 737 square feet. Our executive chair, Arie Belldegrun, M.D., is a trustee of the Belldegrun Family Trust, which controls Bellco Capital Advisors Inc. In each of 2022 and 2023, we made $0.1 million of rent payments in accordance with this sublease. In 2023, we exercised our early termination right under the sublease agreement and the sublease was terminated effective December 31, 2023.</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February 2023, we entered into a new sublease with Bellco for 2,218 square feet of office space in Los Angeles, California. The sublease term is 115 months, subject to certain early termination rights. The sublease commenced on January 1, 2024. We paid approximately $0.2 million towards the monthly base rent due for the first month of the sublease term and our share of the security deposit. The total amount of base rent paid during 2025 and 2024 was $0.3 million, and the amount paid during the first quarter of 2026 was $0.1 million. We also contributed $0.2 million to certain tenant improvements to the space. The monthly base rent and related occupancy costs are pass-through costs to the master landlord or other third parties and no portion is retained by Bellco.</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2024 Offering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On May 13, 2024, we entered into (i) an underwriting agreement with Goldman Sachs &amp; Co. LLC and (ii) a securities purchase agreement (the “Securities Purchase Agreement”) with certain of our directors and executive officers (as described further below), relating to the issuance and sale in a registered offering of an aggregate of 37,931,035 shares of our common stock. The offering price was $2.90 per share, which was the closing price per share on the Nasdaq Stock Market on May 13, 2024. The gross proceeds to the Company from the offering were approximately $110.0 million, before deducting the underwriting discount and commissions and estimated offering expenses payable by the Company. The offering closed on May 16, 2024.</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Pursuant to the Securities Purchase Agreement, Arie Belldegrun, M.D., a member of the Company’s Board of Directors and a greater than 5% stockholder, David Chang, M.D., Ph.D., the Company’s President and Chief Executive Officer, a member of the Company’s Board of Directors and a greater than 5% stockholder, and Geoffrey Parker, the Company’s Chief Financial Officer, each purchased from the Company 344,828 shares at the offering price of $2.90 per share.</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2026 Offering</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On April 14, 2026, we entered into an underwriting agreement (the “Underwriting Agreement”) with Goldman Sachs &amp; Co. LLC, Jefferies LLC and TD Securities (USA) LLC, as representatives of the several underwriters named therein (collectively, the “Underwriters”), relating to the issuance and sale in a public offering of shares of our common stock. On April 16, 2026, we sold 100,200,000 shares to the Underwriters. The price to the public in the offering was $2.00 per share. The underwriting discount was $0.12 per share. TPG Capital BD, LLC acted as co-manager for the offering and purchased an aggregate of 3,807,600 shares from us at a price of $1.88 per share, resulting in an aggregate underwriting discount to TPG Capital BD, LLC of $456,912. Todd Sisitsky, a member of our Board of Directors, has served as President and on the Board of Directors of TPG Inc., an affiliate of TPG Capital BD, LLC, since TPG Inc.’s inception. </w:t>
      </w:r>
    </w:p>
    <w:p>
      <w:pPr>
        <w:pStyle w:val="TextBody"/>
        <w:bidi w:val="0"/>
        <w:spacing w:lineRule="auto" w:line="333" w:before="240" w:after="120"/>
        <w:ind w:left="0" w:right="0" w:firstLine="547"/>
        <w:jc w:val="left"/>
        <w:rPr>
          <w:rFonts w:ascii="Arial;sans-serif" w:hAnsi="Arial;sans-serif"/>
          <w:b/>
          <w:i/>
          <w:color w:val="05686F"/>
          <w:sz w:val="20"/>
        </w:rPr>
      </w:pPr>
      <w:r>
        <w:rPr>
          <w:rFonts w:ascii="Arial;sans-serif" w:hAnsi="Arial;sans-serif"/>
          <w:b/>
          <w:i/>
          <w:color w:val="05686F"/>
          <w:sz w:val="20"/>
        </w:rPr>
        <w:t>Indemnification Agreements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have entered into,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 We believe that these bylaw provisions and indemnification agreements are necessary to attract and retain qualified persons as directors and officers.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 xml:space="preserve">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0"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pay the costs of settlement and damage awards against directors and officers pursuant to these indemnification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1"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left"/>
        <w:rPr/>
      </w:pPr>
      <w:r>
        <w:rPr/>
      </w:r>
    </w:p>
    <w:tbl>
      <w:tblPr>
        <w:tblW w:w="3389" w:type="dxa"/>
        <w:jc w:val="left"/>
        <w:tblInd w:w="0" w:type="dxa"/>
        <w:tblLayout w:type="fixed"/>
        <w:tblCellMar>
          <w:top w:w="28" w:type="dxa"/>
          <w:left w:w="28" w:type="dxa"/>
          <w:bottom w:w="28" w:type="dxa"/>
          <w:right w:w="28" w:type="dxa"/>
        </w:tblCellMar>
      </w:tblPr>
      <w:tblGrid>
        <w:gridCol w:w="1084"/>
        <w:gridCol w:w="952"/>
        <w:gridCol w:w="1353"/>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Proposal 3</w:t>
            </w:r>
          </w:p>
          <w:p>
            <w:pPr>
              <w:pStyle w:val="TableContents"/>
              <w:bidi w:val="0"/>
              <w:spacing w:before="0" w:after="30"/>
              <w:jc w:val="center"/>
              <w:rPr/>
            </w:pPr>
            <w:r>
              <w:rPr/>
            </w:r>
          </w:p>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Say-On-Pay Vote Frequency</w:t>
            </w:r>
          </w:p>
        </w:tc>
      </w:tr>
    </w:tbl>
    <w:p>
      <w:pPr>
        <w:pStyle w:val="TextBody"/>
        <w:bidi w:val="0"/>
        <w:spacing w:lineRule="auto" w:line="333" w:before="120" w:after="283"/>
        <w:jc w:val="left"/>
        <w:rPr>
          <w:rFonts w:ascii="Arial;sans-serif" w:hAnsi="Arial;sans-serif"/>
          <w:b/>
          <w:color w:val="05686F"/>
          <w:sz w:val="20"/>
        </w:rPr>
      </w:pPr>
      <w:r>
        <w:rPr>
          <w:rFonts w:ascii="Arial;sans-serif" w:hAnsi="Arial;sans-serif"/>
          <w:b/>
          <w:color w:val="05686F"/>
          <w:sz w:val="20"/>
        </w:rPr>
        <w:t>Recommendation:</w:t>
      </w:r>
    </w:p>
    <w:p>
      <w:pPr>
        <w:pStyle w:val="TextBody"/>
        <w:bidi w:val="0"/>
        <w:spacing w:before="0" w:after="0"/>
        <w:jc w:val="left"/>
        <w:rPr/>
      </w:pPr>
      <w:r>
        <w:rPr/>
      </w:r>
    </w:p>
    <w:p>
      <w:pPr>
        <w:pStyle w:val="TextBody"/>
        <w:bidi w:val="0"/>
        <w:spacing w:lineRule="auto" w:line="333" w:before="120" w:after="120"/>
        <w:jc w:val="left"/>
        <w:rPr>
          <w:rFonts w:ascii="Arial;sans-serif" w:hAnsi="Arial;sans-serif"/>
          <w:b/>
          <w:color w:val="05686F"/>
          <w:sz w:val="20"/>
        </w:rPr>
      </w:pPr>
      <w:r>
        <w:rPr>
          <w:rFonts w:ascii="Arial;sans-serif" w:hAnsi="Arial;sans-serif"/>
          <w:b/>
          <w:color w:val="05686F"/>
          <w:sz w:val="20"/>
        </w:rPr>
        <w:t>The Board recommends a vote in favor of “1 Year” for Proposal 3.</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Dodd-Frank Wall Street Reform and Consumer Protection Act, and Section 14A of the Exchange Act, enable our stockholders, at least once every six years, to indicate their preference regarding how frequently we should solicit a non-binding advisory vote on the compensation of our named executive officers as disclosed in our proxy statement. Currently, consistent with the preference expressed by our stockholders at our 2020 Annual Meeting of Stockholders, the policy of the Board is to solicit a non-binding advisory vote on the compensation of our named executive officers every year. In accordance with the Dodd-Frank Act, we are again asking our stockholders to indicate whether they would prefer an advisory vote every year, every 2 years or every 3 years. Alternatively, stockholders may abstain from casting a vote. For the reasons described below, the Board recommends that the stockholders select a frequency of 1 year.</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After careful consideration, our Board of Directors has determined that holding an advisory vote on executive compensation every year continues to be the most appropriate policy for us at this time, and recommends that stockholders vote for future advisory votes on executive compensation to occur every year. While our executive compensation program is designed to promote a long-term connection between pay and performance, our Board of Directors recognizes that executive compensation disclosures are made annually. Our Board of Directors considered that an annual advisory vote on executive compensation will allow our stockholders to provide us with their direct input on our compensation philosophy, policies and practices as disclosed in the proxy statement every year. However, stockholders should note that because the advisory vote on executive compensation occurs well into the compensation year, and because the different elements of our executive compensation program are designed to operate as part of an integrated program, it may not be appropriate or feasible to modify our executive compensation program in consideration of any one year’s advisory vote on executive compensation by the time of the following year’s annual meeting of stockholders.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We understand that our stockholders may have different views as to what is the best approach for us, and we look forward to hearing from our stockholders on this proposal.</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Accordingly, our Board of Directors is asking stockholders to indicate their preferred voting frequency by voting for every year, every 2 years or every 3 years.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While our Board of Directors believes that its recommendation is appropriate at this time, the stockholders are not voting to approve or disapprove that recommendation, but are instead asked to indicate their preferences, on an advisory basis, as to whether the non-binding advisory vote on the approval of our executive officer compensation practices should be held every year, every 2 years or every 3 years.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Board of Directors and the Compensation Committee value the opinions of our stockholders in this matter, and, to the extent there is any significant vote in favor of one frequency over the other options, our Board will take that into consideration. However, because this vote is advisory and, therefore, not binding on us or our Board of Directors, our Board may decide that it is in the best interests of our stockholders that we hold an advisory vote on executive compensation more or less frequently than the option preferred by our stockholders. The vote will not be construed to create or imply any change or addition to our fiduciary duties or those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2"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0"/>
        <w:jc w:val="left"/>
        <w:rPr/>
      </w:pPr>
      <w:r>
        <w:rPr/>
      </w:r>
    </w:p>
    <w:tbl>
      <w:tblPr>
        <w:tblW w:w="7694" w:type="dxa"/>
        <w:jc w:val="left"/>
        <w:tblInd w:w="0" w:type="dxa"/>
        <w:tblLayout w:type="fixed"/>
        <w:tblCellMar>
          <w:top w:w="28" w:type="dxa"/>
          <w:left w:w="28" w:type="dxa"/>
          <w:bottom w:w="28" w:type="dxa"/>
          <w:right w:w="28" w:type="dxa"/>
        </w:tblCellMar>
      </w:tblPr>
      <w:tblGrid>
        <w:gridCol w:w="2464"/>
        <w:gridCol w:w="2163"/>
        <w:gridCol w:w="3067"/>
      </w:tblGrid>
      <w:tr>
        <w:trPr/>
        <w:tc>
          <w:tcPr>
            <w:tcW w:w="246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Proposal 4</w:t>
            </w:r>
          </w:p>
          <w:p>
            <w:pPr>
              <w:pStyle w:val="TableContents"/>
              <w:bidi w:val="0"/>
              <w:spacing w:before="0" w:after="30"/>
              <w:jc w:val="center"/>
              <w:rPr/>
            </w:pPr>
            <w:r>
              <w:rPr/>
            </w:r>
          </w:p>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Amendment to Amended and Restated Certificate of Incorporation</w:t>
            </w:r>
          </w:p>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To Increase the Number of Authorized Shares</w:t>
            </w:r>
          </w:p>
        </w:tc>
      </w:tr>
    </w:tbl>
    <w:p>
      <w:pPr>
        <w:pStyle w:val="TextBody"/>
        <w:bidi w:val="0"/>
        <w:spacing w:lineRule="auto" w:line="333" w:before="120" w:after="283"/>
        <w:jc w:val="left"/>
        <w:rPr>
          <w:rFonts w:ascii="Arial;sans-serif" w:hAnsi="Arial;sans-serif"/>
          <w:b/>
          <w:color w:val="05686F"/>
          <w:sz w:val="20"/>
        </w:rPr>
      </w:pPr>
      <w:r>
        <w:rPr>
          <w:rFonts w:ascii="Arial;sans-serif" w:hAnsi="Arial;sans-serif"/>
          <w:b/>
          <w:color w:val="05686F"/>
          <w:sz w:val="20"/>
        </w:rPr>
        <w:t>Recommendation:</w:t>
      </w:r>
    </w:p>
    <w:p>
      <w:pPr>
        <w:pStyle w:val="TextBody"/>
        <w:bidi w:val="0"/>
        <w:spacing w:before="120" w:after="283"/>
        <w:jc w:val="left"/>
        <w:rPr/>
      </w:pPr>
      <w:r>
        <w:rPr/>
      </w:r>
    </w:p>
    <w:p>
      <w:pPr>
        <w:pStyle w:val="TextBody"/>
        <w:bidi w:val="0"/>
        <w:spacing w:lineRule="auto" w:line="333" w:before="120" w:after="120"/>
        <w:jc w:val="left"/>
        <w:rPr>
          <w:rFonts w:ascii="Arial;sans-serif" w:hAnsi="Arial;sans-serif"/>
          <w:b/>
          <w:color w:val="05686F"/>
          <w:sz w:val="20"/>
        </w:rPr>
      </w:pPr>
      <w:r>
        <w:rPr>
          <w:rFonts w:ascii="Arial;sans-serif" w:hAnsi="Arial;sans-serif"/>
          <w:b/>
          <w:color w:val="05686F"/>
          <w:sz w:val="20"/>
        </w:rPr>
        <w:t>The Board recommends a vote “FOR” Proposal 4.</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of Directors is requesting stockholder approval of an amendment (the "Authorized Shares Amendment") to our Amended and Restated Certificate of Incorporation, as amended (the "Certificate of Incorporation"), to increase the number of authorized shares of common stock from 400,000,000 shares to 800,000,000 shares. The Authorized Shares Amendment will not change the number of authorized shares of preferred stock, which currently consists of 10,000,000 shares of preferred stock.</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additional shares of common stock authorized for issuance by the Authorized Shares Amendment would be a part of the existing class of common stock and, if and when issued, would have the same rights and privileges as the common stock presently issued and outstanding. The full text of the proposed Authorized Shares Amendment is attached to this Proxy Statement as Appendix A. However, the text of the Authorized Shares Amendment is subject to revision to include such changes as may be required by the Secretary of State of the State of Delaware and as deemed necessary and advisable to effect the Authorized Shares Amendment.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the Authorized Shares Amendment is adopted, it will become effective upon filing of a Certificate of Amendment to the Certificate of Incorporation with the Secretary of State of the State of Delaware. The Board of Directors reserves the right to elect not to proceed with and abandon the Authorized Shares Amendment if it determines, in its sole discretion at any time, that this proposal is no longer in the best interests of our stockholders.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In addition to the 345,024,351 shares of common stock outstanding on April 20, 2026, the Board of Directors has reserved, as of March 31, 2026, (i) 53,875,457 shares for issuance upon the exercise or vesting of outstanding options and other equity awards granted under our prior Amended and Restated 2018 Equity Incentive Plan (the "Prior Plan") or our current Amended and Restated 2018 Equity Incentive Plan (the "EIP"), (ii) 238,500 shares of our common stock issuable to certain non-employee directors who have deferred receipt of vested restricted stock units until the earlier of the director’s separation from service or on the date of a change of control under Section 409A of the Internal Revenue Code; (iii) 8,964,856 shares for future grants of equity awards under the EIP, and (iv) 10,945,445 shares for future issuance under our 2018 Employee Stock Purchase Plan ("ESPP"). In connection with our April 2026 underwritten public offering, each of our Section 16 officers and our Executive Chair agreed not to exercise any of their outstanding stock options (the "Executive Options") granted to them under the EIP or the Prior Plan—which options are exercisable for, in the aggregate, 23,462,303 shares of common stock—unless and until the Authorized Shares Amendment, or another amendment to increase our authorized shares of common stock, is approved and implemented.</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Other than future issuances under the Prior Plan and the EIP (including upon exercise of the Executive Options) and the ESPP, we currently have no plans or arrangements to issue the additional authorized shares of common stock that will become available in the event that our stockholders approve, and we implement, the Authorized Shares Amendment.</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Board is recommending the Authorized Shares Amendment to provide the Company with appropriate flexibility to issue additional shares in the future on a timely basis if such need arises in connection with potential financings, business combinations or other corporate purposes. Approval of the Authorized Shares Amendment could enable us to take advantage of market conditions, the availability of more favorable financing, and opportunities for business combinations and other strategic transactions, without the potential delay and expense associated with convening a special stockholders’ meeting.</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3"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Our success also depends in part on our continued ability to attract, retain and motivate highly qualified management and key personnel. If this proposal is not approved by our stockholders, the lack of unissued and unreserved authorized shares of common stock to incentivize the holders of the Executive Options and to provide future equity incentive opportunities could adversely impact our ability to achieve these goals. In short, if our stockholders do not approve this proposal, we may not be able to access the capital markets, complete corporate collaborations or partnerships, attract, retain and motivate employees and other service providers, and pursue other business opportunities integral to our growth and success.</w:t>
      </w:r>
    </w:p>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 xml:space="preserve">The proposed increase in the number of authorized shares of common stock will not, by itself, have an immediate dilutive effect on our current stockholders. However, if the Authorized Shares Amendment is approved and implemented, unless otherwise required by applicable law or stock exchange rules, the Board will be able to issue the additional shares of common stock from time to time in its discretion without further action or authorization by the stockholders. </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our common stock may occur at times or under circumstances that could result in a dilutive effect on the earnings per share, book value per share, voting power and percentage interest of the present holders of our common stock, some of whom may not have preemptive rights to subscribe for additional shares that we may issue.</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An increase in the number of authorized but unissued shares of common stock relative to the number of outstanding shares of common stock may also, under certain circumstances, be construed as having an anti-takeover effect. Although not designed or intended for such purposes, the effect of the Authorized Shares Amendment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In addition to the Authorized Shares Amendment, the Certificate of Incorporation and our bylaws also include other provisions that may have an anti-takeover effect. These provisions, among other things, permit the Board to issue preferred stock with rights senior to those of the common stock without any further vote or action by the stockholders, provide that special meetings of stockholders may only be called by the Board and some of our officers, and do not provide for cumulative voting rights, which could make it more difficult for stockholders to effect certain corporate actions and may delay or discourage a change in control. The Board is not presently aware of any attempt, or contemplated attempt, to acquire control of the Company and the Authorized Shares Amendment is not part of any plan by the Board to recommend or implement a series of anti-takeover measures.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If we fail to obtain stockholder approval of this proposal at the Annual Meeting, we may continue to seek to obtain stockholder approval at each subsequent annual meeting of stockholders and/or special meetings of stockholders until such approval has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4"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left"/>
        <w:rPr/>
      </w:pPr>
      <w:r>
        <w:rPr/>
      </w:r>
    </w:p>
    <w:tbl>
      <w:tblPr>
        <w:tblW w:w="8699" w:type="dxa"/>
        <w:jc w:val="left"/>
        <w:tblInd w:w="0" w:type="dxa"/>
        <w:tblLayout w:type="fixed"/>
        <w:tblCellMar>
          <w:top w:w="28" w:type="dxa"/>
          <w:left w:w="28" w:type="dxa"/>
          <w:bottom w:w="28" w:type="dxa"/>
          <w:right w:w="28" w:type="dxa"/>
        </w:tblCellMar>
      </w:tblPr>
      <w:tblGrid>
        <w:gridCol w:w="2784"/>
        <w:gridCol w:w="2448"/>
        <w:gridCol w:w="3467"/>
      </w:tblGrid>
      <w:tr>
        <w:trPr/>
        <w:tc>
          <w:tcPr>
            <w:tcW w:w="2784"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r>
      <w:tr>
        <w:trPr/>
        <w:tc>
          <w:tcPr>
            <w:tcW w:w="8699"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Proposal 5</w:t>
            </w:r>
          </w:p>
          <w:p>
            <w:pPr>
              <w:pStyle w:val="TableContents"/>
              <w:bidi w:val="0"/>
              <w:spacing w:before="0" w:after="30"/>
              <w:jc w:val="center"/>
              <w:rPr/>
            </w:pPr>
            <w:r>
              <w:rPr/>
            </w:r>
          </w:p>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Ratification of Selection of Independent Registered Public Accounting Firm</w:t>
            </w:r>
          </w:p>
        </w:tc>
      </w:tr>
    </w:tbl>
    <w:p>
      <w:pPr>
        <w:pStyle w:val="TextBody"/>
        <w:bidi w:val="0"/>
        <w:spacing w:lineRule="auto" w:line="333" w:before="120" w:after="120"/>
        <w:jc w:val="left"/>
        <w:rPr>
          <w:rFonts w:ascii="Arial;sans-serif" w:hAnsi="Arial;sans-serif"/>
          <w:b/>
          <w:color w:val="05686F"/>
          <w:sz w:val="20"/>
        </w:rPr>
      </w:pPr>
      <w:r>
        <w:rPr>
          <w:rFonts w:ascii="Arial;sans-serif" w:hAnsi="Arial;sans-serif"/>
          <w:b/>
          <w:color w:val="05686F"/>
          <w:sz w:val="20"/>
        </w:rPr>
        <w:t>Recommendation:</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5686F"/>
          <w:sz w:val="20"/>
        </w:rPr>
      </w:pPr>
      <w:r>
        <w:rPr>
          <w:rFonts w:ascii="Arial;sans-serif" w:hAnsi="Arial;sans-serif"/>
          <w:b/>
          <w:color w:val="05686F"/>
          <w:sz w:val="20"/>
        </w:rPr>
        <w:t>The Board recommends a vote “FOR” the ratification of the selection by the Audit Committee of the Board of Directors of Ernst &amp; Young LLP as our independent registered public accounting firm for our fiscal year ending December 31, 2026.</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Audit Committee of the Board of Directors has appointed Ernst &amp; Young LLP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Ernst &amp; Young LLP has audited the Company’s financial statements since its inception in 2017. Representatives of Ernst &amp; Young LLP are expected to be present at the Annual Meeting. They will have an opportunity to make a statement if they so desire and will be available to respond to appropriate questions.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Neither the Company’s Amended and Restated Bylaws nor other governing documents or law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it determines that such a change would be in the best interests of the Company and its stockholders.</w:t>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Principal Accountant Fees and Services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following table represents aggregate fees billed to the Company for the fiscal years ended December 31, 2025 and December 31, 2024 by Ernst &amp; Young LLP, the Company’s principal accountant.</w:t>
      </w:r>
    </w:p>
    <w:tbl>
      <w:tblPr>
        <w:tblW w:w="3987" w:type="dxa"/>
        <w:jc w:val="center"/>
        <w:tblInd w:w="0" w:type="dxa"/>
        <w:tblLayout w:type="fixed"/>
        <w:tblCellMar>
          <w:top w:w="28" w:type="dxa"/>
          <w:left w:w="28" w:type="dxa"/>
          <w:bottom w:w="28" w:type="dxa"/>
          <w:right w:w="28" w:type="dxa"/>
        </w:tblCellMar>
      </w:tblPr>
      <w:tblGrid>
        <w:gridCol w:w="596"/>
        <w:gridCol w:w="525"/>
        <w:gridCol w:w="528"/>
        <w:gridCol w:w="316"/>
        <w:gridCol w:w="293"/>
        <w:gridCol w:w="293"/>
        <w:gridCol w:w="163"/>
        <w:gridCol w:w="163"/>
        <w:gridCol w:w="163"/>
        <w:gridCol w:w="316"/>
        <w:gridCol w:w="261"/>
        <w:gridCol w:w="370"/>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Fiscal Year Ended</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2025</w:t>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2024</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center"/>
              <w:rPr>
                <w:rFonts w:ascii="Arial;sans-serif" w:hAnsi="Arial;sans-serif"/>
                <w:b/>
                <w:color w:val="000000"/>
                <w:sz w:val="20"/>
              </w:rPr>
            </w:pPr>
            <w:r>
              <w:rPr>
                <w:rFonts w:ascii="Arial;sans-serif" w:hAnsi="Arial;sans-serif"/>
                <w:b/>
                <w:color w:val="000000"/>
                <w:sz w:val="20"/>
              </w:rPr>
              <w:t>(in thousands)</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Fee Category</w:t>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rFonts w:ascii="Arial;sans-serif" w:hAnsi="Arial;sans-serif"/>
                <w:b w:val="false"/>
                <w:color w:val="000000"/>
                <w:sz w:val="20"/>
              </w:rPr>
            </w:pPr>
            <w:r>
              <w:rPr>
                <w:rFonts w:ascii="Arial;sans-serif" w:hAnsi="Arial;sans-serif"/>
                <w:b w:val="false"/>
                <w:color w:val="000000"/>
                <w:sz w:val="20"/>
              </w:rPr>
              <w:t>Audit fees(1)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rFonts w:ascii="Arial;sans-serif" w:hAnsi="Arial;sans-serif"/>
                <w:b w:val="false"/>
                <w:color w:val="000000"/>
                <w:sz w:val="20"/>
              </w:rPr>
            </w:pPr>
            <w:r>
              <w:rPr>
                <w:rFonts w:ascii="Arial;sans-serif" w:hAnsi="Arial;sans-serif"/>
                <w:b w:val="false"/>
                <w:color w:val="000000"/>
                <w:sz w:val="20"/>
              </w:rPr>
              <w:t>Audit-related fees</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75" w:after="30"/>
              <w:jc w:val="left"/>
              <w:rPr>
                <w:rFonts w:ascii="Arial;sans-serif" w:hAnsi="Arial;sans-serif"/>
                <w:b w:val="false"/>
                <w:color w:val="000000"/>
                <w:sz w:val="20"/>
              </w:rPr>
            </w:pPr>
            <w:r>
              <w:rPr>
                <w:rFonts w:ascii="Arial;sans-serif" w:hAnsi="Arial;sans-serif"/>
                <w:b w:val="false"/>
                <w:color w:val="000000"/>
                <w:sz w:val="20"/>
              </w:rPr>
              <w:t xml:space="preserve">Tax fees </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75" w:after="30"/>
              <w:jc w:val="left"/>
              <w:rPr>
                <w:rFonts w:ascii="Arial;sans-serif" w:hAnsi="Arial;sans-serif"/>
                <w:b w:val="false"/>
                <w:color w:val="000000"/>
                <w:sz w:val="20"/>
              </w:rPr>
            </w:pPr>
            <w:r>
              <w:rPr>
                <w:rFonts w:ascii="Arial;sans-serif" w:hAnsi="Arial;sans-serif"/>
                <w:b w:val="false"/>
                <w:color w:val="000000"/>
                <w:sz w:val="20"/>
              </w:rPr>
              <w:t>All other fees</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55" w:after="30"/>
              <w:jc w:val="left"/>
              <w:rPr>
                <w:rFonts w:ascii="Arial;sans-serif" w:hAnsi="Arial;sans-serif"/>
                <w:b w:val="false"/>
                <w:color w:val="000000"/>
                <w:sz w:val="20"/>
              </w:rPr>
            </w:pPr>
            <w:r>
              <w:rPr>
                <w:rFonts w:ascii="Arial;sans-serif" w:hAnsi="Arial;sans-serif"/>
                <w:b w:val="false"/>
                <w:color w:val="000000"/>
                <w:sz w:val="20"/>
              </w:rPr>
              <w:t xml:space="preserve">Total fees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w:t>
            </w:r>
          </w:p>
        </w:tc>
      </w:tr>
    </w:tbl>
    <w:p>
      <w:pPr>
        <w:pStyle w:val="TextBody"/>
        <w:bidi w:val="0"/>
        <w:spacing w:lineRule="auto" w:line="333" w:before="120" w:after="120"/>
        <w:jc w:val="left"/>
        <w:rPr>
          <w:rFonts w:ascii="Arial;sans-serif" w:hAnsi="Arial;sans-serif"/>
          <w:b w:val="false"/>
          <w:color w:val="000000"/>
          <w:sz w:val="20"/>
        </w:rPr>
      </w:pPr>
      <w:r>
        <w:rPr>
          <w:rFonts w:ascii="Arial;sans-serif" w:hAnsi="Arial;sans-serif"/>
          <w:b w:val="false"/>
          <w:color w:val="000000"/>
          <w:sz w:val="20"/>
        </w:rPr>
        <w:t>(1) Audit fees consist of fees for professional services provided primarily in connection with the annual audit of our financial statements, quarterly reviews and services associated with SEC registration statements and other documents issued in connection with the Company’s at-the-market offerings, including comfort letters and consents.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All fees described above were pre-approved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5"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left"/>
        <w:rPr>
          <w:rFonts w:ascii="Arial;sans-serif" w:hAnsi="Arial;sans-serif"/>
          <w:b/>
          <w:color w:val="05686F"/>
          <w:sz w:val="20"/>
        </w:rPr>
      </w:pPr>
      <w:r>
        <w:rPr>
          <w:rFonts w:ascii="Arial;sans-serif" w:hAnsi="Arial;sans-serif"/>
          <w:b/>
          <w:color w:val="05686F"/>
          <w:sz w:val="20"/>
        </w:rPr>
        <w:t>Pre-Approval Policies and Procedures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Pursuant to its charter, the Audit Committee must review and approve, in advance, the scope and plans for the audits and the audit fees and approve in advance (or, where permitted under the rules and regulations of the SEC, subsequently) all non-audit services to be performed by the independent registered public accounting firm that are not otherwise prohibited by law and any associated fees. The Audit Committee may delegate to one or more members of the committee the authority to pre-approve audit and permissible non-audit services, as long as this pre-approval is presented to the full committee at scheduled meetings.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6"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120"/>
        <w:jc w:val="center"/>
        <w:rPr>
          <w:rFonts w:ascii="Arial;sans-serif" w:hAnsi="Arial;sans-serif"/>
          <w:b/>
          <w:color w:val="05686F"/>
          <w:sz w:val="20"/>
        </w:rPr>
      </w:pPr>
      <w:r>
        <w:rPr>
          <w:rFonts w:ascii="Arial;sans-serif" w:hAnsi="Arial;sans-serif"/>
          <w:b/>
          <w:color w:val="05686F"/>
          <w:sz w:val="20"/>
        </w:rPr>
        <w:t>Report of the Audit Committee of the Board of Directors*</w:t>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Audit Committee has reviewed and discussed the audited financial statements for the fiscal year ended December 31, 2025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the Company’s Annual Report on Form 10-K for the fiscal year ended December 31, 2025.</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Members of Allogene Therapeutics, Inc.</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Audit Committee</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Ms. Deborah Messemer (Chair)</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Ms. Elizabeth Barrett</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Dr. Stephen Mayo, Ph.D.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120"/>
        <w:jc w:val="left"/>
        <w:rPr>
          <w:rFonts w:ascii="Arial;sans-serif" w:hAnsi="Arial;sans-serif"/>
          <w:b w:val="false"/>
          <w:i/>
          <w:color w:val="000000"/>
          <w:sz w:val="20"/>
        </w:rPr>
      </w:pPr>
      <w:r>
        <w:rPr>
          <w:rFonts w:ascii="Arial;sans-serif" w:hAnsi="Arial;sans-serif"/>
          <w:b w:val="false"/>
          <w:i/>
          <w:color w:val="000000"/>
          <w:sz w:val="20"/>
        </w:rPr>
        <w:t>* The material in this report is not “soliciting material,” is not deemed “filed” with the SEC and is not to be incorporated by reference in any filing of the Company under the Exchange Act or the Securities Act of 1933, as amended (the “Securities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97"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0"/>
        <w:jc w:val="left"/>
        <w:rPr/>
      </w:pPr>
      <w:r>
        <w:rPr/>
      </w:r>
    </w:p>
    <w:tbl>
      <w:tblPr>
        <w:tblW w:w="3885" w:type="dxa"/>
        <w:jc w:val="left"/>
        <w:tblInd w:w="0" w:type="dxa"/>
        <w:tblLayout w:type="fixed"/>
        <w:tblCellMar>
          <w:top w:w="28" w:type="dxa"/>
          <w:left w:w="28" w:type="dxa"/>
          <w:bottom w:w="28" w:type="dxa"/>
          <w:right w:w="28" w:type="dxa"/>
        </w:tblCellMar>
      </w:tblPr>
      <w:tblGrid>
        <w:gridCol w:w="1244"/>
        <w:gridCol w:w="1094"/>
        <w:gridCol w:w="1547"/>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05686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Householding of Proxy Materials</w:t>
            </w:r>
          </w:p>
        </w:tc>
      </w:tr>
    </w:tbl>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This year, a number of brokers with account holders who are Company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the Company. Direct your written request to Allogene Therapeutics, Inc., Corporate Secretary, 210 East Grand Avenue, South San Francisco, California 94080, or call us at (650) 457-2700. Stockholders who currently receive multiple copies of the Notices of Internet Availability of Proxy Materials at their addresses and would like to request “householding” of their communications should contact their brokers.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98"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542"/>
        <w:gridCol w:w="477"/>
        <w:gridCol w:w="676"/>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Other Matters</w:t>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pStyle w:val="TextBody"/>
        <w:bidi w:val="0"/>
        <w:spacing w:before="0" w:after="0"/>
        <w:jc w:val="left"/>
        <w:rPr/>
      </w:pPr>
      <w:r>
        <w:rPr/>
      </w:r>
    </w:p>
    <w:p>
      <w:pPr>
        <w:pStyle w:val="TextBody"/>
        <w:bidi w:val="0"/>
        <w:spacing w:lineRule="auto" w:line="333"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before="0" w:after="0"/>
        <w:ind w:left="0" w:right="0" w:firstLine="5040"/>
        <w:jc w:val="left"/>
        <w:rPr/>
      </w:pPr>
      <w:r>
        <w:rPr/>
      </w:r>
    </w:p>
    <w:p>
      <w:pPr>
        <w:pStyle w:val="TextBody"/>
        <w:bidi w:val="0"/>
        <w:spacing w:before="0" w:after="0"/>
        <w:jc w:val="left"/>
        <w:rPr/>
      </w:pPr>
      <w:r>
        <w:rPr/>
        <w:drawing>
          <wp:inline distT="0" distB="0" distL="0" distR="0">
            <wp:extent cx="1371600" cy="352425"/>
            <wp:effectExtent l="0" t="0" r="0" b="0"/>
            <wp:docPr id="9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9" descr=""/>
                    <pic:cNvPicPr>
                      <a:picLocks noChangeAspect="1" noChangeArrowheads="1"/>
                    </pic:cNvPicPr>
                  </pic:nvPicPr>
                  <pic:blipFill>
                    <a:blip r:embed="rId20"/>
                    <a:stretch>
                      <a:fillRect/>
                    </a:stretch>
                  </pic:blipFill>
                  <pic:spPr bwMode="auto">
                    <a:xfrm>
                      <a:off x="0" y="0"/>
                      <a:ext cx="1371600" cy="352425"/>
                    </a:xfrm>
                    <a:prstGeom prst="rect">
                      <a:avLst/>
                    </a:prstGeom>
                  </pic:spPr>
                </pic:pic>
              </a:graphicData>
            </a:graphic>
          </wp:inline>
        </w:drawing>
      </w:r>
      <w:bookmarkStart w:id="18" w:name="i-19"/>
      <w:bookmarkEnd w:id="18"/>
    </w:p>
    <w:p>
      <w:pPr>
        <w:pStyle w:val="TextBody"/>
        <w:bidi w:val="0"/>
        <w:spacing w:lineRule="auto" w:line="333"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Earl Douglas</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Senior Vice President, General Counsel and Corporate Secretary</w:t>
      </w:r>
    </w:p>
    <w:p>
      <w:pPr>
        <w:pStyle w:val="TextBody"/>
        <w:bidi w:val="0"/>
        <w:spacing w:lineRule="auto" w:line="333"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South San Francisco, California</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April 30,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5686F"/>
          <w:sz w:val="20"/>
        </w:rPr>
      </w:pPr>
      <w:r>
        <w:rPr>
          <w:rFonts w:ascii="Arial;sans-serif" w:hAnsi="Arial;sans-serif"/>
          <w:b/>
          <w:color w:val="05686F"/>
          <w:sz w:val="20"/>
        </w:rPr>
        <w:t>A copy of the Company’s Annual Report to the Securities and Exchange Commission on Form 10-K for the fiscal year ended December 31, 2025 is available without charge upon written request to: Corporate Secretary, Allogene Therapeutics, Inc., 210 East Grand Avenue, South San Francisco, California 94080.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0"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20300"/>
            <wp:effectExtent l="0" t="0" r="0" b="0"/>
            <wp:docPr id="10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0" descr=""/>
                    <pic:cNvPicPr>
                      <a:picLocks noChangeAspect="1" noChangeArrowheads="1"/>
                    </pic:cNvPicPr>
                  </pic:nvPicPr>
                  <pic:blipFill>
                    <a:blip r:embed="rId21"/>
                    <a:stretch>
                      <a:fillRect/>
                    </a:stretch>
                  </pic:blipFill>
                  <pic:spPr bwMode="auto">
                    <a:xfrm>
                      <a:off x="0" y="0"/>
                      <a:ext cx="7772400" cy="10020300"/>
                    </a:xfrm>
                    <a:prstGeom prst="rect">
                      <a:avLst/>
                    </a:prstGeom>
                  </pic:spPr>
                </pic:pic>
              </a:graphicData>
            </a:graphic>
          </wp:inline>
        </w:drawing>
      </w:r>
      <w:bookmarkStart w:id="19" w:name="i-20"/>
      <w:bookmarkEnd w:id="1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7772400" cy="10058400"/>
            <wp:effectExtent l="0" t="0" r="0" b="0"/>
            <wp:docPr id="10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1" descr=""/>
                    <pic:cNvPicPr>
                      <a:picLocks noChangeAspect="1" noChangeArrowheads="1"/>
                    </pic:cNvPicPr>
                  </pic:nvPicPr>
                  <pic:blipFill>
                    <a:blip r:embed="rId22"/>
                    <a:stretch>
                      <a:fillRect/>
                    </a:stretch>
                  </pic:blipFill>
                  <pic:spPr bwMode="auto">
                    <a:xfrm>
                      <a:off x="0" y="0"/>
                      <a:ext cx="7772400" cy="10058400"/>
                    </a:xfrm>
                    <a:prstGeom prst="rect">
                      <a:avLst/>
                    </a:prstGeom>
                  </pic:spPr>
                </pic:pic>
              </a:graphicData>
            </a:graphic>
          </wp:inline>
        </w:drawing>
      </w:r>
      <w:bookmarkStart w:id="20" w:name="i-21"/>
      <w:bookmarkEnd w:id="2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left"/>
        <w:rPr/>
      </w:pPr>
      <w:r>
        <w:rPr/>
      </w:r>
    </w:p>
    <w:tbl>
      <w:tblPr>
        <w:tblW w:w="1514" w:type="dxa"/>
        <w:jc w:val="left"/>
        <w:tblInd w:w="0" w:type="dxa"/>
        <w:tblLayout w:type="fixed"/>
        <w:tblCellMar>
          <w:top w:w="28" w:type="dxa"/>
          <w:left w:w="28" w:type="dxa"/>
          <w:bottom w:w="28" w:type="dxa"/>
          <w:right w:w="28" w:type="dxa"/>
        </w:tblCellMar>
      </w:tblPr>
      <w:tblGrid>
        <w:gridCol w:w="484"/>
        <w:gridCol w:w="426"/>
        <w:gridCol w:w="604"/>
      </w:tblGrid>
      <w:tr>
        <w:trPr/>
        <w:tc>
          <w:tcPr>
            <w:tcW w:w="4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05686F" w:val="clear"/>
            <w:tcMar>
              <w:top w:w="0" w:type="dxa"/>
              <w:left w:w="0" w:type="dxa"/>
              <w:bottom w:w="0" w:type="dxa"/>
              <w:right w:w="0" w:type="dxa"/>
            </w:tcMar>
            <w:vAlign w:val="center"/>
          </w:tcPr>
          <w:p>
            <w:pPr>
              <w:pStyle w:val="TableContents"/>
              <w:bidi w:val="0"/>
              <w:spacing w:lineRule="auto" w:line="288" w:before="0" w:after="30"/>
              <w:jc w:val="center"/>
              <w:rPr>
                <w:rFonts w:ascii="Arial;sans-serif" w:hAnsi="Arial;sans-serif"/>
                <w:b/>
                <w:color w:val="FFFFFF"/>
                <w:sz w:val="24"/>
              </w:rPr>
            </w:pPr>
            <w:r>
              <w:rPr>
                <w:rFonts w:ascii="Arial;sans-serif" w:hAnsi="Arial;sans-serif"/>
                <w:b/>
                <w:color w:val="FFFFFF"/>
                <w:sz w:val="24"/>
              </w:rPr>
              <w:t>Appendix A</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Proposed Certificate of Amendment of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Amended and Restated Certificate of Incorporation of Allogene Therapeutics,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CERTIFICATE OF AMENDMENT OF</w:t>
      </w:r>
    </w:p>
    <w:p>
      <w:pPr>
        <w:pStyle w:val="TextBody"/>
        <w:bidi w:val="0"/>
        <w:spacing w:lineRule="auto" w:line="333" w:before="0" w:after="120"/>
        <w:jc w:val="center"/>
        <w:rPr/>
      </w:pPr>
      <w:r>
        <w:rPr>
          <w:rFonts w:ascii="Times New Roman;serif" w:hAnsi="Times New Roman;serif"/>
          <w:b/>
          <w:color w:val="000000"/>
          <w:sz w:val="20"/>
          <w:u w:val="single"/>
          <w:shd w:fill="FFFFFF" w:val="clear"/>
        </w:rPr>
        <w:t>AMENDED AND RESTATED CERTIFICATE OF INCORPORATION</w:t>
      </w:r>
      <w:r>
        <w:rPr>
          <w:color w:val="000000"/>
          <w:u w:val="single"/>
          <w:shd w:fill="FFFFFF" w:val="clear"/>
        </w:rPr>
        <w:t xml:space="preserve"> </w:t>
      </w:r>
      <w:r>
        <w:rPr>
          <w:rFonts w:ascii="Times New Roman;serif" w:hAnsi="Times New Roman;serif"/>
          <w:b/>
          <w:color w:val="000000"/>
          <w:sz w:val="24"/>
          <w:u w:val="single"/>
        </w:rPr>
        <w:t>OF</w:t>
      </w:r>
    </w:p>
    <w:p>
      <w:pPr>
        <w:pStyle w:val="TextBody"/>
        <w:bidi w:val="0"/>
        <w:spacing w:lineRule="auto" w:line="333" w:before="0" w:after="12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ALLOGENE THERAPEUTICS, INC.</w:t>
      </w:r>
    </w:p>
    <w:p>
      <w:pPr>
        <w:pStyle w:val="TextBody"/>
        <w:bidi w:val="0"/>
        <w:spacing w:lineRule="auto" w:line="333" w:before="0" w:after="120"/>
        <w:ind w:left="0" w:right="0" w:firstLine="490"/>
        <w:jc w:val="both"/>
        <w:rPr/>
      </w:pPr>
      <w:r>
        <w:rPr>
          <w:rFonts w:ascii="Times New Roman;serif" w:hAnsi="Times New Roman;serif"/>
          <w:b/>
          <w:color w:val="000000"/>
          <w:sz w:val="20"/>
          <w:shd w:fill="FFFFFF" w:val="clear"/>
        </w:rPr>
        <w:t>ALLOGENE THERAPEUTICS, INC.</w:t>
      </w:r>
      <w:r>
        <w:rPr>
          <w:rFonts w:ascii="Times New Roman;serif" w:hAnsi="Times New Roman;serif"/>
          <w:b w:val="false"/>
          <w:color w:val="000000"/>
          <w:sz w:val="20"/>
          <w:shd w:fill="FFFFFF" w:val="clear"/>
        </w:rPr>
        <w:t>, a corporation organized and existing under and by virtue of the General Corporation Law of the State of Delaware (the</w:t>
      </w:r>
      <w:r>
        <w:rPr>
          <w:color w:val="000000"/>
        </w:rPr>
        <w:t xml:space="preserve"> “</w:t>
      </w:r>
      <w:r>
        <w:rPr>
          <w:rFonts w:ascii="Times New Roman;serif" w:hAnsi="Times New Roman;serif"/>
          <w:b/>
          <w:i/>
          <w:color w:val="000000"/>
          <w:sz w:val="24"/>
        </w:rPr>
        <w:t>Company”</w:t>
      </w:r>
      <w:r>
        <w:rPr>
          <w:rFonts w:ascii="Times New Roman;serif" w:hAnsi="Times New Roman;serif"/>
          <w:b w:val="false"/>
          <w:color w:val="000000"/>
          <w:sz w:val="20"/>
          <w:shd w:fill="FFFFFF" w:val="clear"/>
        </w:rPr>
        <w:t>), does hereby certify:</w:t>
      </w:r>
    </w:p>
    <w:p>
      <w:pPr>
        <w:pStyle w:val="TextBody"/>
        <w:bidi w:val="0"/>
        <w:spacing w:lineRule="auto" w:line="333" w:before="0" w:after="120"/>
        <w:ind w:left="0" w:right="0" w:firstLine="490"/>
        <w:jc w:val="both"/>
        <w:rPr/>
      </w:pPr>
      <w:r>
        <w:rPr>
          <w:rFonts w:ascii="Times New Roman;serif" w:hAnsi="Times New Roman;serif"/>
          <w:b/>
          <w:color w:val="000000"/>
          <w:sz w:val="20"/>
          <w:shd w:fill="FFFFFF" w:val="clear"/>
        </w:rPr>
        <w:t>FIRST:</w:t>
      </w:r>
      <w:r>
        <w:rPr>
          <w:color w:val="000000"/>
          <w:shd w:fill="FFFFFF" w:val="clear"/>
        </w:rPr>
        <w:t xml:space="preserve"> </w:t>
      </w:r>
      <w:r>
        <w:rPr>
          <w:rFonts w:ascii="Times New Roman;serif" w:hAnsi="Times New Roman;serif"/>
          <w:b w:val="false"/>
          <w:color w:val="000000"/>
          <w:sz w:val="20"/>
          <w:shd w:fill="FFFFFF" w:val="clear"/>
        </w:rPr>
        <w:t>The name of the Company is Allogene Therapeutics, Inc. and the date of filing of the Company’s original Certificate of Incorporation with the Secretary of State of the State of Delaware was November 30, 2017.</w:t>
      </w:r>
    </w:p>
    <w:p>
      <w:pPr>
        <w:pStyle w:val="TextBody"/>
        <w:bidi w:val="0"/>
        <w:spacing w:lineRule="auto" w:line="333" w:before="0" w:after="120"/>
        <w:ind w:left="0" w:right="0" w:firstLine="490"/>
        <w:jc w:val="both"/>
        <w:rPr/>
      </w:pPr>
      <w:r>
        <w:rPr>
          <w:rFonts w:ascii="Times New Roman;serif" w:hAnsi="Times New Roman;serif"/>
          <w:b/>
          <w:color w:val="000000"/>
          <w:sz w:val="20"/>
          <w:shd w:fill="FFFFFF" w:val="clear"/>
        </w:rPr>
        <w:t>SECOND:</w:t>
      </w:r>
      <w:r>
        <w:rPr>
          <w:color w:val="000000"/>
          <w:shd w:fill="FFFFFF" w:val="clear"/>
        </w:rPr>
        <w:t xml:space="preserve"> </w:t>
      </w:r>
      <w:r>
        <w:rPr>
          <w:rFonts w:ascii="Times New Roman;serif" w:hAnsi="Times New Roman;serif"/>
          <w:b w:val="false"/>
          <w:color w:val="000000"/>
          <w:sz w:val="20"/>
          <w:shd w:fill="FFFFFF" w:val="clear"/>
        </w:rPr>
        <w:t>The Board of Directors of the Company, acting in accordance with the provisions of Sections 141 and 242 of the General Corporation Law of the State of Delaware (the “</w:t>
      </w:r>
      <w:r>
        <w:rPr>
          <w:rFonts w:ascii="Times New Roman;serif" w:hAnsi="Times New Roman;serif"/>
          <w:b/>
          <w:i/>
          <w:color w:val="000000"/>
          <w:sz w:val="24"/>
        </w:rPr>
        <w:t>DGCL</w:t>
      </w:r>
      <w:r>
        <w:rPr>
          <w:color w:val="000000"/>
          <w:shd w:fill="FFFFFF" w:val="clear"/>
        </w:rPr>
        <w:t>”</w:t>
      </w:r>
      <w:r>
        <w:rPr>
          <w:rFonts w:ascii="Times New Roman;serif" w:hAnsi="Times New Roman;serif"/>
          <w:b w:val="false"/>
          <w:color w:val="000000"/>
          <w:sz w:val="20"/>
          <w:shd w:fill="FFFFFF" w:val="clear"/>
        </w:rPr>
        <w:t>), adopted resolutions amending its Amended and Restated Certificate of Incorporation (the “</w:t>
      </w:r>
      <w:r>
        <w:rPr>
          <w:rFonts w:ascii="Times New Roman;serif" w:hAnsi="Times New Roman;serif"/>
          <w:b/>
          <w:i/>
          <w:color w:val="000000"/>
          <w:sz w:val="24"/>
        </w:rPr>
        <w:t>Restated Certificate</w:t>
      </w:r>
      <w:r>
        <w:rPr>
          <w:color w:val="000000"/>
          <w:shd w:fill="FFFFFF" w:val="clear"/>
        </w:rPr>
        <w:t>”</w:t>
      </w:r>
      <w:r>
        <w:rPr>
          <w:rFonts w:ascii="Times New Roman;serif" w:hAnsi="Times New Roman;serif"/>
          <w:b w:val="false"/>
          <w:color w:val="000000"/>
          <w:sz w:val="20"/>
          <w:shd w:fill="FFFFFF" w:val="clear"/>
        </w:rPr>
        <w:t>), as follows:</w:t>
      </w:r>
    </w:p>
    <w:p>
      <w:pPr>
        <w:pStyle w:val="TextBody"/>
        <w:bidi w:val="0"/>
        <w:spacing w:lineRule="auto" w:line="333" w:before="0" w:after="12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Paragraph A of Article IV of the Restated Certificate is hereby amended and restated to read in its entirety as follows:</w:t>
      </w:r>
    </w:p>
    <w:p>
      <w:pPr>
        <w:pStyle w:val="TextBody"/>
        <w:bidi w:val="0"/>
        <w:spacing w:lineRule="auto" w:line="333" w:before="0" w:after="120"/>
        <w:ind w:left="0" w:right="0" w:firstLine="490"/>
        <w:jc w:val="both"/>
        <w:rPr/>
      </w:pPr>
      <w:r>
        <w:rPr>
          <w:color w:val="000000"/>
          <w:shd w:fill="FFFFFF" w:val="clear"/>
        </w:rPr>
        <w:t>“</w:t>
      </w:r>
      <w:r>
        <w:rPr>
          <w:rFonts w:ascii="Times New Roman;serif" w:hAnsi="Times New Roman;serif"/>
          <w:b/>
          <w:color w:val="000000"/>
          <w:sz w:val="24"/>
        </w:rPr>
        <w:t>A.</w:t>
      </w:r>
      <w:r>
        <w:rPr>
          <w:color w:val="000000"/>
          <w:shd w:fill="FFFFFF" w:val="clear"/>
        </w:rPr>
        <w:t xml:space="preserve"> </w:t>
      </w:r>
      <w:r>
        <w:rPr>
          <w:rFonts w:ascii="Times New Roman;serif" w:hAnsi="Times New Roman;serif"/>
          <w:b w:val="false"/>
          <w:color w:val="000000"/>
          <w:sz w:val="20"/>
          <w:shd w:fill="FFFFFF" w:val="clear"/>
        </w:rPr>
        <w:t>The Company is authorized to issue two classes of stock to be designated, respectively, “</w:t>
      </w:r>
      <w:r>
        <w:rPr>
          <w:rFonts w:ascii="Times New Roman;serif" w:hAnsi="Times New Roman;serif"/>
          <w:b/>
          <w:i/>
          <w:color w:val="000000"/>
          <w:sz w:val="24"/>
        </w:rPr>
        <w:t>Common Stock</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i/>
          <w:color w:val="000000"/>
          <w:sz w:val="24"/>
        </w:rPr>
        <w:t>Preferred Stock.</w:t>
      </w:r>
      <w:r>
        <w:rPr>
          <w:color w:val="000000"/>
          <w:shd w:fill="FFFFFF" w:val="clear"/>
        </w:rPr>
        <w:t xml:space="preserve">” </w:t>
      </w:r>
      <w:r>
        <w:rPr>
          <w:rFonts w:ascii="Times New Roman;serif" w:hAnsi="Times New Roman;serif"/>
          <w:b w:val="false"/>
          <w:color w:val="000000"/>
          <w:sz w:val="20"/>
          <w:shd w:fill="FFFFFF" w:val="clear"/>
        </w:rPr>
        <w:t>The total number of shares which the Company is authorized to issue is 810,000,000 shares. 800,000,000 shares shall be Common Stock, each having a par value of $0.001. 10,000,000 shares shall be Preferred Stock, each having a par value of $0.001.”</w:t>
      </w:r>
    </w:p>
    <w:p>
      <w:pPr>
        <w:pStyle w:val="TextBody"/>
        <w:bidi w:val="0"/>
        <w:spacing w:lineRule="auto" w:line="333" w:before="0" w:after="120"/>
        <w:ind w:left="0" w:right="0" w:firstLine="490"/>
        <w:jc w:val="both"/>
        <w:rPr/>
      </w:pPr>
      <w:r>
        <w:rPr>
          <w:rFonts w:ascii="Times New Roman;serif" w:hAnsi="Times New Roman;serif"/>
          <w:b/>
          <w:color w:val="000000"/>
          <w:sz w:val="20"/>
          <w:shd w:fill="FFFFFF" w:val="clear"/>
        </w:rPr>
        <w:t>THIRD:</w:t>
      </w:r>
      <w:r>
        <w:rPr>
          <w:color w:val="000000"/>
          <w:shd w:fill="FFFFFF" w:val="clear"/>
        </w:rPr>
        <w:t xml:space="preserve"> </w:t>
      </w:r>
      <w:r>
        <w:rPr>
          <w:rFonts w:ascii="Times New Roman;serif" w:hAnsi="Times New Roman;serif"/>
          <w:b w:val="false"/>
          <w:color w:val="000000"/>
          <w:sz w:val="20"/>
          <w:shd w:fill="FFFFFF" w:val="clear"/>
        </w:rPr>
        <w:t>This Certificate of Amendment has been duly adopted and approved by the stockholders of the Company in accordance with Sections 211 and 242 of the DGCL.</w:t>
      </w:r>
    </w:p>
    <w:p>
      <w:pPr>
        <w:pStyle w:val="TextBody"/>
        <w:bidi w:val="0"/>
        <w:spacing w:lineRule="auto" w:line="333" w:before="0" w:after="120"/>
        <w:ind w:left="0" w:right="0" w:firstLine="490"/>
        <w:jc w:val="both"/>
        <w:rPr/>
      </w:pPr>
      <w:r>
        <w:rPr>
          <w:rFonts w:ascii="Times New Roman;serif" w:hAnsi="Times New Roman;serif"/>
          <w:b/>
          <w:color w:val="000000"/>
          <w:sz w:val="20"/>
          <w:shd w:fill="FFFFFF" w:val="clear"/>
        </w:rPr>
        <w:t>FOURTH:</w:t>
      </w:r>
      <w:r>
        <w:rPr>
          <w:color w:val="000000"/>
          <w:shd w:fill="FFFFFF" w:val="clear"/>
        </w:rPr>
        <w:t xml:space="preserve"> </w:t>
      </w:r>
      <w:r>
        <w:rPr>
          <w:rFonts w:ascii="Times New Roman;serif" w:hAnsi="Times New Roman;serif"/>
          <w:b w:val="false"/>
          <w:color w:val="000000"/>
          <w:sz w:val="20"/>
          <w:shd w:fill="FFFFFF" w:val="clear"/>
        </w:rPr>
        <w:t>This Certificate of Amendment shall become effective upon filing with the Secretary of State of the State of Delaware.</w:t>
      </w:r>
    </w:p>
    <w:p>
      <w:pPr>
        <w:pStyle w:val="TextBody"/>
        <w:bidi w:val="0"/>
        <w:spacing w:lineRule="auto" w:line="333" w:before="0" w:after="120"/>
        <w:ind w:left="0" w:right="0" w:firstLine="490"/>
        <w:jc w:val="both"/>
        <w:rPr/>
      </w:pPr>
      <w:r>
        <w:rPr>
          <w:rFonts w:ascii="Times New Roman;serif" w:hAnsi="Times New Roman;serif"/>
          <w:b/>
          <w:color w:val="000000"/>
          <w:sz w:val="20"/>
          <w:shd w:fill="FFFFFF" w:val="clear"/>
        </w:rPr>
        <w:t>IN WITNESS WHEREOF</w:t>
      </w:r>
      <w:r>
        <w:rPr>
          <w:rFonts w:ascii="Times New Roman;serif" w:hAnsi="Times New Roman;serif"/>
          <w:b w:val="false"/>
          <w:color w:val="000000"/>
          <w:sz w:val="20"/>
          <w:shd w:fill="FFFFFF" w:val="clear"/>
        </w:rPr>
        <w:t>, Allogene Therapeutics, Inc. has caused this Certificate of Amendment to be signed by its President and Chief Executive Officer on June ____, 2026.</w:t>
      </w:r>
    </w:p>
    <w:p>
      <w:pPr>
        <w:pStyle w:val="TextBody"/>
        <w:bidi w:val="0"/>
        <w:spacing w:before="0" w:after="120"/>
        <w:jc w:val="left"/>
        <w:rPr/>
      </w:pPr>
      <w:r>
        <w:rPr/>
      </w:r>
    </w:p>
    <w:p>
      <w:pPr>
        <w:pStyle w:val="TextBody"/>
        <w:bidi w:val="0"/>
        <w:spacing w:before="0" w:after="120"/>
        <w:jc w:val="right"/>
        <w:rPr/>
      </w:pPr>
      <w:r>
        <w:rPr/>
      </w:r>
    </w:p>
    <w:tbl>
      <w:tblPr>
        <w:tblW w:w="6164" w:type="dxa"/>
        <w:jc w:val="right"/>
        <w:tblInd w:w="0" w:type="dxa"/>
        <w:tblLayout w:type="fixed"/>
        <w:tblCellMar>
          <w:top w:w="28" w:type="dxa"/>
          <w:left w:w="28" w:type="dxa"/>
          <w:bottom w:w="28" w:type="dxa"/>
          <w:right w:w="28" w:type="dxa"/>
        </w:tblCellMar>
      </w:tblPr>
      <w:tblGrid>
        <w:gridCol w:w="124"/>
        <w:gridCol w:w="109"/>
        <w:gridCol w:w="109"/>
        <w:gridCol w:w="544"/>
        <w:gridCol w:w="544"/>
        <w:gridCol w:w="544"/>
        <w:gridCol w:w="1053"/>
        <w:gridCol w:w="1053"/>
        <w:gridCol w:w="1058"/>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ALLOGENE THERAPEUTICS,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Chang, M.D., Ph.D.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jc w:val="left"/>
        <w:rPr/>
      </w:pPr>
      <w:r>
        <w:rPr/>
        <w:drawing>
          <wp:inline distT="0" distB="0" distL="0" distR="0">
            <wp:extent cx="2743200" cy="1143000"/>
            <wp:effectExtent l="0" t="0" r="0" b="0"/>
            <wp:docPr id="10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2" descr=""/>
                    <pic:cNvPicPr>
                      <a:picLocks noChangeAspect="1" noChangeArrowheads="1"/>
                    </pic:cNvPicPr>
                  </pic:nvPicPr>
                  <pic:blipFill>
                    <a:blip r:embed="rId23"/>
                    <a:stretch>
                      <a:fillRect/>
                    </a:stretch>
                  </pic:blipFill>
                  <pic:spPr bwMode="auto">
                    <a:xfrm>
                      <a:off x="0" y="0"/>
                      <a:ext cx="2743200" cy="1143000"/>
                    </a:xfrm>
                    <a:prstGeom prst="rect">
                      <a:avLst/>
                    </a:prstGeom>
                  </pic:spPr>
                </pic:pic>
              </a:graphicData>
            </a:graphic>
          </wp:inline>
        </w:drawing>
      </w:r>
      <w:bookmarkStart w:id="21" w:name="i-22"/>
      <w:bookmarkEnd w:id="21"/>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3.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39803</Words>
  <Characters>224696</Characters>
  <CharactersWithSpaces>263051</CharactersWithSpaces>
  <Paragraphs>1965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