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6883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6883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000"/>
        <w:spacing w:after="0"/>
        <w:rPr>
          <w:sz w:val="20"/>
          <w:szCs w:val="20"/>
          <w:color w:val="auto"/>
        </w:rPr>
      </w:pPr>
      <w:r>
        <w:rPr>
          <w:rFonts w:ascii="Arial" w:cs="Arial" w:eastAsia="Arial" w:hAnsi="Arial"/>
          <w:sz w:val="20"/>
          <w:szCs w:val="20"/>
          <w:b w:val="1"/>
          <w:bCs w:val="1"/>
          <w:color w:val="auto"/>
        </w:rPr>
        <w:t>_________________________________</w:t>
      </w: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3" w:lineRule="exact"/>
        <w:rPr>
          <w:sz w:val="24"/>
          <w:szCs w:val="24"/>
          <w:color w:val="auto"/>
        </w:rPr>
      </w:pPr>
    </w:p>
    <w:p>
      <w:pPr>
        <w:ind w:left="4000"/>
        <w:spacing w:after="0"/>
        <w:rPr>
          <w:sz w:val="20"/>
          <w:szCs w:val="20"/>
          <w:color w:val="auto"/>
        </w:rPr>
      </w:pPr>
      <w:r>
        <w:rPr>
          <w:rFonts w:ascii="Arial" w:cs="Arial" w:eastAsia="Arial" w:hAnsi="Arial"/>
          <w:sz w:val="20"/>
          <w:szCs w:val="20"/>
          <w:b w:val="1"/>
          <w:bCs w:val="1"/>
          <w:color w:val="auto"/>
        </w:rPr>
        <w:t>_________________________________</w:t>
      </w:r>
    </w:p>
    <w:p>
      <w:pPr>
        <w:jc w:val="center"/>
        <w:ind w:right="-19"/>
        <w:spacing w:after="0" w:line="236" w:lineRule="auto"/>
        <w:rPr>
          <w:sz w:val="20"/>
          <w:szCs w:val="20"/>
          <w:color w:val="auto"/>
        </w:rPr>
      </w:pPr>
      <w:r>
        <w:rPr>
          <w:rFonts w:ascii="Arial" w:cs="Arial" w:eastAsia="Arial" w:hAnsi="Arial"/>
          <w:sz w:val="16"/>
          <w:szCs w:val="16"/>
          <w:b w:val="1"/>
          <w:bCs w:val="1"/>
          <w:color w:val="auto"/>
        </w:rPr>
        <w:t>(Mark One)</w:t>
      </w:r>
    </w:p>
    <w:p>
      <w:pPr>
        <w:ind w:left="920" w:hanging="256"/>
        <w:spacing w:after="0"/>
        <w:tabs>
          <w:tab w:leader="none" w:pos="9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2021</w:t>
      </w:r>
    </w:p>
    <w:p>
      <w:pPr>
        <w:jc w:val="center"/>
        <w:ind w:right="-19"/>
        <w:spacing w:after="0" w:line="237" w:lineRule="auto"/>
        <w:rPr>
          <w:sz w:val="20"/>
          <w:szCs w:val="20"/>
          <w:color w:val="auto"/>
        </w:rPr>
      </w:pPr>
      <w:r>
        <w:rPr>
          <w:rFonts w:ascii="Arial" w:cs="Arial" w:eastAsia="Arial" w:hAnsi="Arial"/>
          <w:sz w:val="16"/>
          <w:szCs w:val="16"/>
          <w:b w:val="1"/>
          <w:bCs w:val="1"/>
          <w:color w:val="auto"/>
        </w:rPr>
        <w:t>OR</w:t>
      </w:r>
    </w:p>
    <w:p>
      <w:pPr>
        <w:ind w:left="720" w:hanging="263"/>
        <w:spacing w:after="0"/>
        <w:tabs>
          <w:tab w:leader="none" w:pos="72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476" w:right="339" w:bottom="1440" w:gutter="0" w:footer="0" w:header="0"/>
        </w:sectPr>
      </w:pPr>
    </w:p>
    <w:p>
      <w:pPr>
        <w:spacing w:after="0" w:line="32" w:lineRule="exact"/>
        <w:rPr>
          <w:sz w:val="24"/>
          <w:szCs w:val="24"/>
          <w:color w:val="auto"/>
        </w:rPr>
      </w:pPr>
    </w:p>
    <w:p>
      <w:pPr>
        <w:ind w:left="3560"/>
        <w:spacing w:after="0"/>
        <w:rPr>
          <w:sz w:val="20"/>
          <w:szCs w:val="20"/>
          <w:color w:val="auto"/>
        </w:rPr>
      </w:pPr>
      <w:r>
        <w:rPr>
          <w:rFonts w:ascii="Arial" w:cs="Arial" w:eastAsia="Arial" w:hAnsi="Arial"/>
          <w:sz w:val="16"/>
          <w:szCs w:val="16"/>
          <w:b w:val="1"/>
          <w:bCs w:val="1"/>
          <w:color w:val="auto"/>
        </w:rPr>
        <w:t>FOR THE TRANSITION PERIOD FROM</w:t>
      </w:r>
    </w:p>
    <w:p>
      <w:pPr>
        <w:ind w:left="432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5"/>
          <w:szCs w:val="15"/>
          <w:b w:val="1"/>
          <w:bCs w:val="1"/>
          <w:color w:val="auto"/>
        </w:rPr>
        <w:t>001-38693</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w:t>
      </w:r>
    </w:p>
    <w:p>
      <w:pPr>
        <w:spacing w:after="0" w:line="208" w:lineRule="exact"/>
        <w:rPr>
          <w:sz w:val="24"/>
          <w:szCs w:val="24"/>
          <w:color w:val="auto"/>
        </w:rPr>
      </w:pPr>
    </w:p>
    <w:p>
      <w:pPr>
        <w:sectPr>
          <w:pgSz w:w="11900" w:h="16838" w:orient="portrait"/>
          <w:cols w:equalWidth="0" w:num="2">
            <w:col w:w="6920" w:space="540"/>
            <w:col w:w="3780"/>
          </w:cols>
          <w:pgMar w:left="320" w:top="476" w:right="339" w:bottom="1440" w:gutter="0" w:footer="0" w:header="0"/>
          <w:type w:val="continuous"/>
        </w:sectPr>
      </w:pPr>
    </w:p>
    <w:p>
      <w:pPr>
        <w:ind w:left="4000"/>
        <w:spacing w:after="0"/>
        <w:rPr>
          <w:sz w:val="20"/>
          <w:szCs w:val="20"/>
          <w:color w:val="auto"/>
        </w:rPr>
      </w:pPr>
      <w:r>
        <w:rPr>
          <w:rFonts w:ascii="Arial" w:cs="Arial" w:eastAsia="Arial" w:hAnsi="Arial"/>
          <w:sz w:val="16"/>
          <w:szCs w:val="16"/>
          <w:b w:val="1"/>
          <w:bCs w:val="1"/>
          <w:color w:val="auto"/>
        </w:rPr>
        <w:t>_________________________________</w:t>
      </w:r>
    </w:p>
    <w:p>
      <w:pPr>
        <w:sectPr>
          <w:pgSz w:w="11900" w:h="16838" w:orient="portrait"/>
          <w:cols w:equalWidth="0" w:num="1">
            <w:col w:w="11240"/>
          </w:cols>
          <w:pgMar w:left="320" w:top="476" w:right="339" w:bottom="1440" w:gutter="0" w:footer="0" w:header="0"/>
          <w:type w:val="continuous"/>
        </w:sectPr>
      </w:pPr>
    </w:p>
    <w:p>
      <w:pPr>
        <w:spacing w:after="0" w:line="5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Allogene Therapeutics,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4000"/>
        <w:spacing w:after="0"/>
        <w:rPr>
          <w:sz w:val="20"/>
          <w:szCs w:val="20"/>
          <w:color w:val="auto"/>
        </w:rPr>
      </w:pPr>
      <w:r>
        <w:rPr>
          <w:rFonts w:ascii="Arial" w:cs="Arial" w:eastAsia="Arial" w:hAnsi="Arial"/>
          <w:sz w:val="20"/>
          <w:szCs w:val="20"/>
          <w:b w:val="1"/>
          <w:bCs w:val="1"/>
          <w:color w:val="auto"/>
        </w:rPr>
        <w:t>_________________________________</w:t>
      </w:r>
    </w:p>
    <w:p>
      <w:pPr>
        <w:spacing w:after="0" w:line="18" w:lineRule="exact"/>
        <w:rPr>
          <w:sz w:val="24"/>
          <w:szCs w:val="24"/>
          <w:color w:val="auto"/>
        </w:rPr>
      </w:pPr>
    </w:p>
    <w:tbl>
      <w:tblPr>
        <w:tblLayout w:type="fixed"/>
        <w:tblInd w:w="1800" w:type="dxa"/>
        <w:tblCellMar>
          <w:top w:w="0" w:type="dxa"/>
          <w:left w:w="0" w:type="dxa"/>
          <w:bottom w:w="0" w:type="dxa"/>
          <w:right w:w="0" w:type="dxa"/>
        </w:tblCellMar>
      </w:tblPr>
      <w:tr>
        <w:trPr>
          <w:trHeight w:val="186"/>
        </w:trPr>
        <w:tc>
          <w:tcPr>
            <w:tcW w:w="4040" w:type="dxa"/>
            <w:vAlign w:val="bottom"/>
          </w:tcPr>
          <w:p>
            <w:pPr>
              <w:jc w:val="center"/>
              <w:ind w:right="1908"/>
              <w:spacing w:after="0"/>
              <w:rPr>
                <w:sz w:val="20"/>
                <w:szCs w:val="20"/>
                <w:color w:val="auto"/>
              </w:rPr>
            </w:pPr>
            <w:r>
              <w:rPr>
                <w:rFonts w:ascii="Arial" w:cs="Arial" w:eastAsia="Arial" w:hAnsi="Arial"/>
                <w:sz w:val="14"/>
                <w:szCs w:val="14"/>
                <w:b w:val="1"/>
                <w:bCs w:val="1"/>
                <w:color w:val="auto"/>
                <w:w w:val="94"/>
              </w:rPr>
              <w:t>Delaware</w:t>
            </w:r>
          </w:p>
        </w:tc>
        <w:tc>
          <w:tcPr>
            <w:tcW w:w="3120" w:type="dxa"/>
            <w:vAlign w:val="bottom"/>
          </w:tcPr>
          <w:p>
            <w:pPr>
              <w:jc w:val="center"/>
              <w:ind w:left="1948"/>
              <w:spacing w:after="0"/>
              <w:rPr>
                <w:sz w:val="20"/>
                <w:szCs w:val="20"/>
                <w:color w:val="auto"/>
              </w:rPr>
            </w:pPr>
            <w:r>
              <w:rPr>
                <w:rFonts w:ascii="Arial" w:cs="Arial" w:eastAsia="Arial" w:hAnsi="Arial"/>
                <w:sz w:val="14"/>
                <w:szCs w:val="14"/>
                <w:b w:val="1"/>
                <w:bCs w:val="1"/>
                <w:color w:val="auto"/>
                <w:w w:val="93"/>
              </w:rPr>
              <w:t>82-3562771</w:t>
            </w:r>
          </w:p>
        </w:tc>
      </w:tr>
      <w:tr>
        <w:trPr>
          <w:trHeight w:val="147"/>
        </w:trPr>
        <w:tc>
          <w:tcPr>
            <w:tcW w:w="4040" w:type="dxa"/>
            <w:vAlign w:val="bottom"/>
          </w:tcPr>
          <w:p>
            <w:pPr>
              <w:jc w:val="center"/>
              <w:ind w:right="1928"/>
              <w:spacing w:after="0" w:line="147" w:lineRule="exact"/>
              <w:rPr>
                <w:sz w:val="20"/>
                <w:szCs w:val="20"/>
                <w:color w:val="auto"/>
              </w:rPr>
            </w:pPr>
            <w:r>
              <w:rPr>
                <w:rFonts w:ascii="Arial" w:cs="Arial" w:eastAsia="Arial" w:hAnsi="Arial"/>
                <w:sz w:val="14"/>
                <w:szCs w:val="14"/>
                <w:b w:val="1"/>
                <w:bCs w:val="1"/>
                <w:color w:val="auto"/>
                <w:w w:val="93"/>
              </w:rPr>
              <w:t>(State or other jurisdiction</w:t>
            </w:r>
          </w:p>
        </w:tc>
        <w:tc>
          <w:tcPr>
            <w:tcW w:w="3120" w:type="dxa"/>
            <w:vAlign w:val="bottom"/>
          </w:tcPr>
          <w:p>
            <w:pPr>
              <w:jc w:val="center"/>
              <w:ind w:left="1928"/>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1928"/>
              <w:spacing w:after="0"/>
              <w:rPr>
                <w:sz w:val="20"/>
                <w:szCs w:val="20"/>
                <w:color w:val="auto"/>
              </w:rPr>
            </w:pPr>
            <w:r>
              <w:rPr>
                <w:rFonts w:ascii="Arial" w:cs="Arial" w:eastAsia="Arial" w:hAnsi="Arial"/>
                <w:sz w:val="14"/>
                <w:szCs w:val="14"/>
                <w:b w:val="1"/>
                <w:bCs w:val="1"/>
                <w:color w:val="auto"/>
                <w:w w:val="93"/>
              </w:rPr>
              <w:t>of incorporation or organization)</w:t>
            </w:r>
          </w:p>
        </w:tc>
        <w:tc>
          <w:tcPr>
            <w:tcW w:w="3120" w:type="dxa"/>
            <w:vAlign w:val="bottom"/>
          </w:tcPr>
          <w:p>
            <w:pPr>
              <w:jc w:val="center"/>
              <w:ind w:left="192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210 East Grand Avenue, South San Francisco, California 94080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457-2700</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20"/>
          <w:szCs w:val="20"/>
          <w:b w:val="1"/>
          <w:bCs w:val="1"/>
          <w:color w:val="auto"/>
        </w:rPr>
        <w:t>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
          </w:tcPr>
          <w:p>
            <w:pPr>
              <w:jc w:val="center"/>
              <w:ind w:right="639"/>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43"/>
        </w:trPr>
        <w:tc>
          <w:tcPr>
            <w:tcW w:w="43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Common Stock, Par Value $0.001 Per Share</w:t>
            </w:r>
          </w:p>
        </w:tc>
        <w:tc>
          <w:tcPr>
            <w:tcW w:w="3420" w:type="dxa"/>
            <w:vAlign w:val="bottom"/>
            <w:gridSpan w:val="3"/>
          </w:tcPr>
          <w:p>
            <w:pPr>
              <w:jc w:val="center"/>
              <w:ind w:right="820"/>
              <w:spacing w:after="0"/>
              <w:rPr>
                <w:sz w:val="20"/>
                <w:szCs w:val="20"/>
                <w:color w:val="auto"/>
              </w:rPr>
            </w:pPr>
            <w:r>
              <w:rPr>
                <w:rFonts w:ascii="Arial" w:cs="Arial" w:eastAsia="Arial" w:hAnsi="Arial"/>
                <w:sz w:val="18"/>
                <w:szCs w:val="18"/>
                <w:color w:val="auto"/>
              </w:rPr>
              <w:t>ALLO</w:t>
            </w:r>
          </w:p>
        </w:tc>
        <w:tc>
          <w:tcPr>
            <w:tcW w:w="3500" w:type="dxa"/>
            <w:vAlign w:val="bottom"/>
            <w:gridSpan w:val="3"/>
          </w:tcPr>
          <w:p>
            <w:pPr>
              <w:jc w:val="center"/>
              <w:ind w:right="639"/>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87"/>
        </w:trPr>
        <w:tc>
          <w:tcPr>
            <w:tcW w:w="7740" w:type="dxa"/>
            <w:vAlign w:val="bottom"/>
            <w:gridSpan w:val="5"/>
          </w:tcPr>
          <w:p>
            <w:pPr>
              <w:jc w:val="center"/>
              <w:ind w:left="3419"/>
              <w:spacing w:after="0"/>
              <w:rPr>
                <w:sz w:val="20"/>
                <w:szCs w:val="20"/>
                <w:color w:val="auto"/>
              </w:rPr>
            </w:pPr>
            <w:r>
              <w:rPr>
                <w:rFonts w:ascii="Arial" w:cs="Arial" w:eastAsia="Arial" w:hAnsi="Arial"/>
                <w:sz w:val="16"/>
                <w:szCs w:val="16"/>
                <w:color w:val="auto"/>
                <w:w w:val="91"/>
              </w:rPr>
              <w:t>Securities registered pursuant to Section 12(g) of the Act: None</w:t>
            </w:r>
          </w:p>
        </w:tc>
        <w:tc>
          <w:tcPr>
            <w:tcW w:w="560" w:type="dxa"/>
            <w:vAlign w:val="bottom"/>
          </w:tcPr>
          <w:p>
            <w:pPr>
              <w:spacing w:after="0"/>
              <w:rPr>
                <w:sz w:val="24"/>
                <w:szCs w:val="24"/>
                <w:color w:val="auto"/>
              </w:rPr>
            </w:pPr>
          </w:p>
        </w:tc>
        <w:tc>
          <w:tcPr>
            <w:tcW w:w="26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w w:val="99"/>
              </w:rPr>
              <w:t>☒</w:t>
            </w:r>
          </w:p>
        </w:tc>
        <w:tc>
          <w:tcPr>
            <w:tcW w:w="2680" w:type="dxa"/>
            <w:vAlign w:val="bottom"/>
            <w:vMerge w:val="restart"/>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9"/>
        </w:trPr>
        <w:tc>
          <w:tcPr>
            <w:tcW w:w="8300" w:type="dxa"/>
            <w:vAlign w:val="bottom"/>
            <w:gridSpan w:val="6"/>
          </w:tcPr>
          <w:p>
            <w:pPr>
              <w:ind w:left="340"/>
              <w:spacing w:after="0" w:line="159" w:lineRule="exact"/>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 Yes</w:t>
            </w:r>
          </w:p>
        </w:tc>
        <w:tc>
          <w:tcPr>
            <w:tcW w:w="260" w:type="dxa"/>
            <w:vAlign w:val="bottom"/>
            <w:vMerge w:val="continue"/>
          </w:tcPr>
          <w:p>
            <w:pPr>
              <w:spacing w:after="0"/>
              <w:rPr>
                <w:sz w:val="13"/>
                <w:szCs w:val="13"/>
                <w:color w:val="auto"/>
              </w:rPr>
            </w:pPr>
          </w:p>
        </w:tc>
        <w:tc>
          <w:tcPr>
            <w:tcW w:w="2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8300" w:type="dxa"/>
            <w:vAlign w:val="bottom"/>
            <w:gridSpan w:val="6"/>
          </w:tcPr>
          <w:p>
            <w:pPr>
              <w:ind w:left="340"/>
              <w:spacing w:after="0" w:line="184" w:lineRule="exact"/>
              <w:rPr>
                <w:sz w:val="20"/>
                <w:szCs w:val="20"/>
                <w:color w:val="auto"/>
              </w:rPr>
            </w:pPr>
            <w:r>
              <w:rPr>
                <w:rFonts w:ascii="Arial" w:cs="Arial" w:eastAsia="Arial" w:hAnsi="Arial"/>
                <w:sz w:val="16"/>
                <w:szCs w:val="16"/>
                <w:color w:val="auto"/>
                <w:w w:val="94"/>
              </w:rPr>
              <w:t xml:space="preserve">Indicate by check mark if the Registrant is not required to file reports pursuant to Section 13 or 15(d) of the Act. Yes </w:t>
            </w:r>
            <w:r>
              <w:rPr>
                <w:rFonts w:ascii="MS PGothic" w:cs="MS PGothic" w:eastAsia="MS PGothic" w:hAnsi="MS PGothic"/>
                <w:sz w:val="16"/>
                <w:szCs w:val="16"/>
                <w:color w:val="auto"/>
                <w:w w:val="94"/>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No</w:t>
            </w:r>
          </w:p>
        </w:tc>
        <w:tc>
          <w:tcPr>
            <w:tcW w:w="268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ind w:left="340" w:right="200"/>
        <w:spacing w:after="0" w:line="18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left="340" w:right="20"/>
        <w:spacing w:after="0" w:line="19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64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640"/>
              <w:spacing w:after="0"/>
              <w:rPr>
                <w:sz w:val="20"/>
                <w:szCs w:val="20"/>
                <w:color w:val="auto"/>
              </w:rPr>
            </w:pPr>
            <w:r>
              <w:rPr>
                <w:rFonts w:ascii="Arial" w:cs="Arial" w:eastAsia="Arial" w:hAnsi="Arial"/>
                <w:sz w:val="16"/>
                <w:szCs w:val="16"/>
                <w:color w:val="auto"/>
              </w:rPr>
              <w:t>Small reporting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80" w:type="dxa"/>
            <w:vAlign w:val="bottom"/>
          </w:tcPr>
          <w:p>
            <w:pPr>
              <w:ind w:left="264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65" w:lineRule="exact"/>
        <w:rPr>
          <w:sz w:val="24"/>
          <w:szCs w:val="24"/>
          <w:color w:val="auto"/>
        </w:rPr>
      </w:pPr>
    </w:p>
    <w:p>
      <w:pPr>
        <w:ind w:left="340" w:right="260"/>
        <w:spacing w:after="0" w:line="19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40" w:right="20"/>
        <w:spacing w:after="0" w:line="274"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ind w:left="340"/>
        <w:spacing w:after="0" w:line="181" w:lineRule="exact"/>
        <w:rPr>
          <w:sz w:val="20"/>
          <w:szCs w:val="20"/>
          <w:color w:val="auto"/>
        </w:rPr>
      </w:pPr>
      <w:r>
        <w:rPr>
          <w:rFonts w:ascii="MS PGothic" w:cs="MS PGothic" w:eastAsia="MS PGothic" w:hAnsi="MS PGothic"/>
          <w:sz w:val="18"/>
          <w:szCs w:val="18"/>
          <w:color w:val="auto"/>
        </w:rPr>
        <w:t>☒</w:t>
      </w:r>
    </w:p>
    <w:p>
      <w:pPr>
        <w:spacing w:after="0" w:line="37" w:lineRule="exact"/>
        <w:rPr>
          <w:sz w:val="24"/>
          <w:szCs w:val="24"/>
          <w:color w:val="auto"/>
        </w:rPr>
      </w:pPr>
    </w:p>
    <w:p>
      <w:pPr>
        <w:ind w:left="340"/>
        <w:spacing w:after="0" w:line="184" w:lineRule="exact"/>
        <w:tabs>
          <w:tab w:leader="none" w:pos="84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ind w:left="340" w:right="180"/>
        <w:spacing w:after="0" w:line="234"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2021 (the last business day of the registrant’s most recently completed second fiscal quarter) was approximately $2,254 million based on the closing price of the registrant’s common stock on June 30, 2021 of $26.08 per share, as reported by The Nasdaq Global Select Market</w:t>
      </w:r>
      <w:r>
        <w:rPr>
          <w:rFonts w:ascii="Arial" w:cs="Arial" w:eastAsia="Arial" w:hAnsi="Arial"/>
          <w:sz w:val="14"/>
          <w:szCs w:val="14"/>
          <w:color w:val="auto"/>
        </w:rPr>
        <w:t>.</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of Registrant’s Common Stock outstanding as of February 21, 2022 was 142,752,002.</w:t>
      </w:r>
    </w:p>
    <w:p>
      <w:pPr>
        <w:spacing w:after="0" w:line="95"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ind w:right="680"/>
        <w:spacing w:after="0" w:line="328" w:lineRule="auto"/>
        <w:rPr>
          <w:sz w:val="20"/>
          <w:szCs w:val="20"/>
          <w:color w:val="auto"/>
        </w:rPr>
      </w:pPr>
      <w:r>
        <w:rPr>
          <w:rFonts w:ascii="Arial" w:cs="Arial" w:eastAsia="Arial" w:hAnsi="Arial"/>
          <w:sz w:val="14"/>
          <w:szCs w:val="14"/>
          <w:color w:val="auto"/>
        </w:rPr>
        <w:t>Portions of the Registrant’s Definitive Proxy Statement relating to the 2022 Annual Meeting of Stockholders, which will be filed with the Securities and Exchange Commission within 120 days after the end of the Registrant’s fiscal year ended December 31, 2021,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6883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6883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60" w:type="dxa"/>
            <w:vAlign w:val="bottom"/>
            <w:gridSpan w:val="9"/>
          </w:tcPr>
          <w:p>
            <w:pPr>
              <w:ind w:left="52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r>
      <w:tr>
        <w:trPr>
          <w:trHeight w:val="209"/>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176"/>
        </w:trPr>
        <w:tc>
          <w:tcPr>
            <w:tcW w:w="600" w:type="dxa"/>
            <w:vAlign w:val="bottom"/>
            <w:tcBorders>
              <w:bottom w:val="single" w:sz="8" w:color="0000FF"/>
            </w:tcBorders>
          </w:tcPr>
          <w:p>
            <w:pPr>
              <w:spacing w:after="0" w:line="176" w:lineRule="exact"/>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46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9"/>
        </w:trPr>
        <w:tc>
          <w:tcPr>
            <w:tcW w:w="1060" w:type="dxa"/>
            <w:vAlign w:val="bottom"/>
            <w:gridSpan w:val="5"/>
          </w:tcPr>
          <w:p>
            <w:pPr>
              <w:ind w:left="120"/>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8940" w:type="dxa"/>
            <w:vAlign w:val="bottom"/>
            <w:gridSpan w:val="21"/>
          </w:tcPr>
          <w:p>
            <w:pPr>
              <w:spacing w:after="0"/>
              <w:rPr>
                <w:sz w:val="18"/>
                <w:szCs w:val="18"/>
                <w:color w:val="auto"/>
              </w:rPr>
            </w:pPr>
          </w:p>
        </w:tc>
        <w:tc>
          <w:tcPr>
            <w:tcW w:w="5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10"/>
        </w:trPr>
        <w:tc>
          <w:tcPr>
            <w:tcW w:w="1060" w:type="dxa"/>
            <w:vAlign w:val="bottom"/>
            <w:gridSpan w:val="5"/>
          </w:tcPr>
          <w:p>
            <w:pPr>
              <w:ind w:left="120"/>
              <w:spacing w:after="0"/>
              <w:rPr>
                <w:rFonts w:ascii="Arial" w:cs="Arial" w:eastAsia="Arial" w:hAnsi="Arial"/>
                <w:sz w:val="18"/>
                <w:szCs w:val="18"/>
                <w:color w:val="auto"/>
              </w:rPr>
            </w:pPr>
            <w:hyperlink w:anchor="page41">
              <w:r>
                <w:rPr>
                  <w:rFonts w:ascii="Arial" w:cs="Arial" w:eastAsia="Arial" w:hAnsi="Arial"/>
                  <w:sz w:val="18"/>
                  <w:szCs w:val="18"/>
                  <w:color w:val="auto"/>
                </w:rPr>
                <w:t>Item 1A.</w:t>
              </w:r>
            </w:hyperlink>
          </w:p>
        </w:tc>
        <w:tc>
          <w:tcPr>
            <w:tcW w:w="9580" w:type="dxa"/>
            <w:vAlign w:val="bottom"/>
            <w:gridSpan w:val="2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5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40</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1060" w:type="dxa"/>
            <w:vAlign w:val="bottom"/>
            <w:gridSpan w:val="5"/>
          </w:tcPr>
          <w:p>
            <w:pPr>
              <w:ind w:left="120"/>
              <w:spacing w:after="0"/>
              <w:rPr>
                <w:rFonts w:ascii="Arial" w:cs="Arial" w:eastAsia="Arial" w:hAnsi="Arial"/>
                <w:sz w:val="18"/>
                <w:szCs w:val="18"/>
                <w:color w:val="auto"/>
              </w:rPr>
            </w:pPr>
            <w:hyperlink w:anchor="page77">
              <w:r>
                <w:rPr>
                  <w:rFonts w:ascii="Arial" w:cs="Arial" w:eastAsia="Arial" w:hAnsi="Arial"/>
                  <w:sz w:val="18"/>
                  <w:szCs w:val="18"/>
                  <w:color w:val="auto"/>
                </w:rPr>
                <w:t>Item 1B.</w:t>
              </w:r>
            </w:hyperlink>
          </w:p>
        </w:tc>
        <w:tc>
          <w:tcPr>
            <w:tcW w:w="9580" w:type="dxa"/>
            <w:vAlign w:val="bottom"/>
            <w:gridSpan w:val="2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Unresolved Staff Comments</w:t>
              </w:r>
            </w:hyperlink>
          </w:p>
        </w:tc>
        <w:tc>
          <w:tcPr>
            <w:tcW w:w="54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76</w:t>
              </w:r>
            </w:hyperlink>
          </w:p>
        </w:tc>
      </w:tr>
      <w:tr>
        <w:trPr>
          <w:trHeight w:val="209"/>
        </w:trPr>
        <w:tc>
          <w:tcPr>
            <w:tcW w:w="1060" w:type="dxa"/>
            <w:vAlign w:val="bottom"/>
            <w:gridSpan w:val="5"/>
          </w:tcPr>
          <w:p>
            <w:pPr>
              <w:ind w:left="120"/>
              <w:spacing w:after="0"/>
              <w:rPr>
                <w:rFonts w:ascii="Arial" w:cs="Arial" w:eastAsia="Arial" w:hAnsi="Arial"/>
                <w:sz w:val="18"/>
                <w:szCs w:val="18"/>
                <w:color w:val="auto"/>
              </w:rPr>
            </w:pPr>
            <w:hyperlink w:anchor="page78">
              <w:r>
                <w:rPr>
                  <w:rFonts w:ascii="Arial" w:cs="Arial" w:eastAsia="Arial" w:hAnsi="Arial"/>
                  <w:sz w:val="18"/>
                  <w:szCs w:val="18"/>
                  <w:color w:val="auto"/>
                </w:rPr>
                <w:t>Item 2.</w:t>
              </w:r>
            </w:hyperlink>
          </w:p>
        </w:tc>
        <w:tc>
          <w:tcPr>
            <w:tcW w:w="2040" w:type="dxa"/>
            <w:vAlign w:val="bottom"/>
            <w:tcBorders>
              <w:top w:val="single" w:sz="8" w:color="0000FF"/>
            </w:tcBorders>
            <w:gridSpan w:val="10"/>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Properties</w:t>
              </w:r>
            </w:hyperlink>
          </w:p>
        </w:tc>
        <w:tc>
          <w:tcPr>
            <w:tcW w:w="7540" w:type="dxa"/>
            <w:vAlign w:val="bottom"/>
            <w:gridSpan w:val="12"/>
          </w:tcPr>
          <w:p>
            <w:pPr>
              <w:spacing w:after="0"/>
              <w:rPr>
                <w:sz w:val="18"/>
                <w:szCs w:val="18"/>
                <w:color w:val="auto"/>
              </w:rPr>
            </w:pPr>
          </w:p>
        </w:tc>
        <w:tc>
          <w:tcPr>
            <w:tcW w:w="54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76</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1060" w:type="dxa"/>
            <w:vAlign w:val="bottom"/>
            <w:gridSpan w:val="5"/>
          </w:tcPr>
          <w:p>
            <w:pPr>
              <w:ind w:left="120"/>
              <w:spacing w:after="0"/>
              <w:rPr>
                <w:rFonts w:ascii="Arial" w:cs="Arial" w:eastAsia="Arial" w:hAnsi="Arial"/>
                <w:sz w:val="18"/>
                <w:szCs w:val="18"/>
                <w:color w:val="auto"/>
              </w:rPr>
            </w:pPr>
            <w:hyperlink w:anchor="page78">
              <w:r>
                <w:rPr>
                  <w:rFonts w:ascii="Arial" w:cs="Arial" w:eastAsia="Arial" w:hAnsi="Arial"/>
                  <w:sz w:val="18"/>
                  <w:szCs w:val="18"/>
                  <w:color w:val="auto"/>
                </w:rPr>
                <w:t>Item 3.</w:t>
              </w:r>
            </w:hyperlink>
          </w:p>
        </w:tc>
        <w:tc>
          <w:tcPr>
            <w:tcW w:w="134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78">
              <w:r>
                <w:rPr>
                  <w:rFonts w:ascii="Arial" w:cs="Arial" w:eastAsia="Arial" w:hAnsi="Arial"/>
                  <w:sz w:val="18"/>
                  <w:szCs w:val="18"/>
                  <w:color w:val="0000FF"/>
                  <w:w w:val="88"/>
                </w:rPr>
                <w:t>Legal Proceedings</w:t>
              </w:r>
            </w:hyperlink>
          </w:p>
        </w:tc>
        <w:tc>
          <w:tcPr>
            <w:tcW w:w="8240" w:type="dxa"/>
            <w:vAlign w:val="bottom"/>
            <w:gridSpan w:val="16"/>
          </w:tcPr>
          <w:p>
            <w:pPr>
              <w:spacing w:after="0"/>
              <w:rPr>
                <w:sz w:val="18"/>
                <w:szCs w:val="18"/>
                <w:color w:val="auto"/>
              </w:rPr>
            </w:pPr>
          </w:p>
        </w:tc>
        <w:tc>
          <w:tcPr>
            <w:tcW w:w="54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76</w:t>
              </w:r>
            </w:hyperlink>
          </w:p>
        </w:tc>
      </w:tr>
      <w:tr>
        <w:trPr>
          <w:trHeight w:val="209"/>
        </w:trPr>
        <w:tc>
          <w:tcPr>
            <w:tcW w:w="1060" w:type="dxa"/>
            <w:vAlign w:val="bottom"/>
            <w:gridSpan w:val="5"/>
          </w:tcPr>
          <w:p>
            <w:pPr>
              <w:ind w:left="120"/>
              <w:spacing w:after="0"/>
              <w:rPr>
                <w:rFonts w:ascii="Arial" w:cs="Arial" w:eastAsia="Arial" w:hAnsi="Arial"/>
                <w:sz w:val="18"/>
                <w:szCs w:val="18"/>
                <w:color w:val="auto"/>
              </w:rPr>
            </w:pPr>
            <w:hyperlink w:anchor="page78">
              <w:r>
                <w:rPr>
                  <w:rFonts w:ascii="Arial" w:cs="Arial" w:eastAsia="Arial" w:hAnsi="Arial"/>
                  <w:sz w:val="18"/>
                  <w:szCs w:val="18"/>
                  <w:color w:val="auto"/>
                </w:rPr>
                <w:t>Item 4.</w:t>
              </w:r>
            </w:hyperlink>
          </w:p>
        </w:tc>
        <w:tc>
          <w:tcPr>
            <w:tcW w:w="9580" w:type="dxa"/>
            <w:vAlign w:val="bottom"/>
            <w:gridSpan w:val="22"/>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Mine Safety Disclosures</w:t>
              </w:r>
            </w:hyperlink>
          </w:p>
        </w:tc>
        <w:tc>
          <w:tcPr>
            <w:tcW w:w="54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76</w:t>
              </w:r>
            </w:hyperlink>
          </w:p>
        </w:tc>
      </w:tr>
      <w:tr>
        <w:trPr>
          <w:trHeight w:val="480"/>
        </w:trPr>
        <w:tc>
          <w:tcPr>
            <w:tcW w:w="660" w:type="dxa"/>
            <w:vAlign w:val="bottom"/>
            <w:tcBorders>
              <w:bottom w:val="single" w:sz="8" w:color="0000FF"/>
            </w:tcBorders>
            <w:gridSpan w:val="2"/>
          </w:tcPr>
          <w:p>
            <w:pPr>
              <w:spacing w:after="0"/>
              <w:rPr>
                <w:rFonts w:ascii="Arial" w:cs="Arial" w:eastAsia="Arial" w:hAnsi="Arial"/>
                <w:sz w:val="18"/>
                <w:szCs w:val="18"/>
                <w:b w:val="1"/>
                <w:bCs w:val="1"/>
                <w:color w:val="0000FF"/>
                <w:w w:val="99"/>
              </w:rPr>
            </w:pPr>
            <w:hyperlink w:anchor="page78">
              <w:r>
                <w:rPr>
                  <w:rFonts w:ascii="Arial" w:cs="Arial" w:eastAsia="Arial" w:hAnsi="Arial"/>
                  <w:sz w:val="18"/>
                  <w:szCs w:val="18"/>
                  <w:b w:val="1"/>
                  <w:bCs w:val="1"/>
                  <w:color w:val="0000FF"/>
                  <w:w w:val="99"/>
                </w:rPr>
                <w:t>PART II</w:t>
              </w:r>
            </w:hyperlink>
          </w:p>
        </w:tc>
        <w:tc>
          <w:tcPr>
            <w:tcW w:w="40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0"/>
        </w:trPr>
        <w:tc>
          <w:tcPr>
            <w:tcW w:w="1060" w:type="dxa"/>
            <w:vAlign w:val="bottom"/>
            <w:gridSpan w:val="5"/>
          </w:tcPr>
          <w:p>
            <w:pPr>
              <w:ind w:left="120"/>
              <w:spacing w:after="0"/>
              <w:rPr>
                <w:rFonts w:ascii="Arial" w:cs="Arial" w:eastAsia="Arial" w:hAnsi="Arial"/>
                <w:sz w:val="18"/>
                <w:szCs w:val="18"/>
                <w:color w:val="auto"/>
              </w:rPr>
            </w:pPr>
            <w:hyperlink w:anchor="page79">
              <w:r>
                <w:rPr>
                  <w:rFonts w:ascii="Arial" w:cs="Arial" w:eastAsia="Arial" w:hAnsi="Arial"/>
                  <w:sz w:val="18"/>
                  <w:szCs w:val="18"/>
                  <w:color w:val="auto"/>
                </w:rPr>
                <w:t>Item 5.</w:t>
              </w:r>
            </w:hyperlink>
          </w:p>
        </w:tc>
        <w:tc>
          <w:tcPr>
            <w:tcW w:w="808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Market for Registrant’s Common Equity, Related Stockholder Matters and Issuer Purchases of Equity Securities</w:t>
              </w:r>
            </w:hyperlink>
          </w:p>
        </w:tc>
        <w:tc>
          <w:tcPr>
            <w:tcW w:w="1500" w:type="dxa"/>
            <w:vAlign w:val="bottom"/>
          </w:tcPr>
          <w:p>
            <w:pPr>
              <w:spacing w:after="0"/>
              <w:rPr>
                <w:sz w:val="18"/>
                <w:szCs w:val="18"/>
                <w:color w:val="auto"/>
              </w:rPr>
            </w:pPr>
          </w:p>
        </w:tc>
        <w:tc>
          <w:tcPr>
            <w:tcW w:w="54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77</w:t>
              </w:r>
            </w:hyperlink>
          </w:p>
        </w:tc>
      </w:tr>
      <w:tr>
        <w:trPr>
          <w:trHeight w:val="209"/>
        </w:trPr>
        <w:tc>
          <w:tcPr>
            <w:tcW w:w="1060" w:type="dxa"/>
            <w:vAlign w:val="bottom"/>
            <w:gridSpan w:val="5"/>
          </w:tcPr>
          <w:p>
            <w:pPr>
              <w:ind w:left="120"/>
              <w:spacing w:after="0"/>
              <w:rPr>
                <w:rFonts w:ascii="Arial" w:cs="Arial" w:eastAsia="Arial" w:hAnsi="Arial"/>
                <w:sz w:val="18"/>
                <w:szCs w:val="18"/>
                <w:color w:val="auto"/>
              </w:rPr>
            </w:pPr>
            <w:hyperlink w:anchor="page80">
              <w:r>
                <w:rPr>
                  <w:rFonts w:ascii="Arial" w:cs="Arial" w:eastAsia="Arial" w:hAnsi="Arial"/>
                  <w:sz w:val="18"/>
                  <w:szCs w:val="18"/>
                  <w:color w:val="auto"/>
                </w:rPr>
                <w:t>Item 6.</w:t>
              </w:r>
            </w:hyperlink>
          </w:p>
        </w:tc>
        <w:tc>
          <w:tcPr>
            <w:tcW w:w="9580" w:type="dxa"/>
            <w:vAlign w:val="bottom"/>
            <w:gridSpan w:val="22"/>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[Reserved]</w:t>
              </w:r>
            </w:hyperlink>
          </w:p>
        </w:tc>
        <w:tc>
          <w:tcPr>
            <w:tcW w:w="54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78</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1060" w:type="dxa"/>
            <w:vAlign w:val="bottom"/>
            <w:gridSpan w:val="5"/>
          </w:tcPr>
          <w:p>
            <w:pPr>
              <w:ind w:left="120"/>
              <w:spacing w:after="0"/>
              <w:rPr>
                <w:rFonts w:ascii="Arial" w:cs="Arial" w:eastAsia="Arial" w:hAnsi="Arial"/>
                <w:sz w:val="18"/>
                <w:szCs w:val="18"/>
                <w:color w:val="auto"/>
              </w:rPr>
            </w:pPr>
            <w:hyperlink w:anchor="page80">
              <w:r>
                <w:rPr>
                  <w:rFonts w:ascii="Arial" w:cs="Arial" w:eastAsia="Arial" w:hAnsi="Arial"/>
                  <w:sz w:val="18"/>
                  <w:szCs w:val="18"/>
                  <w:color w:val="auto"/>
                </w:rPr>
                <w:t>Item 7.</w:t>
              </w:r>
            </w:hyperlink>
          </w:p>
        </w:tc>
        <w:tc>
          <w:tcPr>
            <w:tcW w:w="646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80">
              <w:r>
                <w:rPr>
                  <w:rFonts w:ascii="Arial" w:cs="Arial" w:eastAsia="Arial" w:hAnsi="Arial"/>
                  <w:sz w:val="18"/>
                  <w:szCs w:val="18"/>
                  <w:color w:val="0000FF"/>
                  <w:w w:val="90"/>
                </w:rPr>
                <w:t>Management’s Discussion and Analysis of Financial Condition and Results of Operations</w:t>
              </w:r>
            </w:hyperlink>
          </w:p>
        </w:tc>
        <w:tc>
          <w:tcPr>
            <w:tcW w:w="3120" w:type="dxa"/>
            <w:vAlign w:val="bottom"/>
            <w:gridSpan w:val="4"/>
          </w:tcPr>
          <w:p>
            <w:pPr>
              <w:spacing w:after="0"/>
              <w:rPr>
                <w:sz w:val="18"/>
                <w:szCs w:val="18"/>
                <w:color w:val="auto"/>
              </w:rPr>
            </w:pPr>
          </w:p>
        </w:tc>
        <w:tc>
          <w:tcPr>
            <w:tcW w:w="54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78</w:t>
              </w:r>
            </w:hyperlink>
          </w:p>
        </w:tc>
      </w:tr>
      <w:tr>
        <w:trPr>
          <w:trHeight w:val="209"/>
        </w:trPr>
        <w:tc>
          <w:tcPr>
            <w:tcW w:w="1060" w:type="dxa"/>
            <w:vAlign w:val="bottom"/>
            <w:gridSpan w:val="5"/>
          </w:tcPr>
          <w:p>
            <w:pPr>
              <w:ind w:left="120"/>
              <w:spacing w:after="0"/>
              <w:rPr>
                <w:rFonts w:ascii="Arial" w:cs="Arial" w:eastAsia="Arial" w:hAnsi="Arial"/>
                <w:sz w:val="18"/>
                <w:szCs w:val="18"/>
                <w:color w:val="auto"/>
              </w:rPr>
            </w:pPr>
            <w:hyperlink w:anchor="page90">
              <w:r>
                <w:rPr>
                  <w:rFonts w:ascii="Arial" w:cs="Arial" w:eastAsia="Arial" w:hAnsi="Arial"/>
                  <w:sz w:val="18"/>
                  <w:szCs w:val="18"/>
                  <w:color w:val="auto"/>
                </w:rPr>
                <w:t>Item 7A.</w:t>
              </w:r>
            </w:hyperlink>
          </w:p>
        </w:tc>
        <w:tc>
          <w:tcPr>
            <w:tcW w:w="436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Quantitative and Qualitative Disclosures About Market Risk</w:t>
              </w:r>
            </w:hyperlink>
          </w:p>
        </w:tc>
        <w:tc>
          <w:tcPr>
            <w:tcW w:w="5220" w:type="dxa"/>
            <w:vAlign w:val="bottom"/>
            <w:gridSpan w:val="7"/>
          </w:tcPr>
          <w:p>
            <w:pPr>
              <w:spacing w:after="0"/>
              <w:rPr>
                <w:sz w:val="18"/>
                <w:szCs w:val="18"/>
                <w:color w:val="auto"/>
              </w:rPr>
            </w:pPr>
          </w:p>
        </w:tc>
        <w:tc>
          <w:tcPr>
            <w:tcW w:w="54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88</w:t>
              </w:r>
            </w:hyperlink>
          </w:p>
        </w:tc>
      </w:tr>
      <w:tr>
        <w:trPr>
          <w:trHeight w:val="210"/>
        </w:trPr>
        <w:tc>
          <w:tcPr>
            <w:tcW w:w="1060" w:type="dxa"/>
            <w:vAlign w:val="bottom"/>
            <w:gridSpan w:val="5"/>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Item 8.</w:t>
              </w:r>
            </w:hyperlink>
          </w:p>
        </w:tc>
        <w:tc>
          <w:tcPr>
            <w:tcW w:w="9580" w:type="dxa"/>
            <w:vAlign w:val="bottom"/>
            <w:gridSpan w:val="22"/>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Financial Statements and Supplementary Data</w:t>
              </w:r>
            </w:hyperlink>
          </w:p>
        </w:tc>
        <w:tc>
          <w:tcPr>
            <w:tcW w:w="54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90</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1060" w:type="dxa"/>
            <w:vAlign w:val="bottom"/>
            <w:gridSpan w:val="5"/>
          </w:tcPr>
          <w:p>
            <w:pPr>
              <w:ind w:left="120"/>
              <w:spacing w:after="0"/>
              <w:rPr>
                <w:rFonts w:ascii="Arial" w:cs="Arial" w:eastAsia="Arial" w:hAnsi="Arial"/>
                <w:sz w:val="18"/>
                <w:szCs w:val="18"/>
                <w:color w:val="auto"/>
              </w:rPr>
            </w:pPr>
            <w:hyperlink w:anchor="page124">
              <w:r>
                <w:rPr>
                  <w:rFonts w:ascii="Arial" w:cs="Arial" w:eastAsia="Arial" w:hAnsi="Arial"/>
                  <w:sz w:val="18"/>
                  <w:szCs w:val="18"/>
                  <w:color w:val="auto"/>
                </w:rPr>
                <w:t>Item 9.</w:t>
              </w:r>
            </w:hyperlink>
          </w:p>
        </w:tc>
        <w:tc>
          <w:tcPr>
            <w:tcW w:w="9580" w:type="dxa"/>
            <w:vAlign w:val="bottom"/>
            <w:gridSpan w:val="22"/>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Changes in and Disagreements With Accountants on Accounting and Financial Disclosure</w:t>
              </w:r>
            </w:hyperlink>
          </w:p>
        </w:tc>
        <w:tc>
          <w:tcPr>
            <w:tcW w:w="540" w:type="dxa"/>
            <w:vAlign w:val="bottom"/>
          </w:tcPr>
          <w:p>
            <w:pPr>
              <w:jc w:val="right"/>
              <w:spacing w:after="0"/>
              <w:rPr>
                <w:rFonts w:ascii="Arial" w:cs="Arial" w:eastAsia="Arial" w:hAnsi="Arial"/>
                <w:sz w:val="18"/>
                <w:szCs w:val="18"/>
                <w:color w:val="auto"/>
              </w:rPr>
            </w:pPr>
            <w:hyperlink w:anchor="page124">
              <w:r>
                <w:rPr>
                  <w:rFonts w:ascii="Arial" w:cs="Arial" w:eastAsia="Arial" w:hAnsi="Arial"/>
                  <w:sz w:val="18"/>
                  <w:szCs w:val="18"/>
                  <w:color w:val="auto"/>
                </w:rPr>
                <w:t>123</w:t>
              </w:r>
            </w:hyperlink>
          </w:p>
        </w:tc>
      </w:tr>
      <w:tr>
        <w:trPr>
          <w:trHeight w:val="209"/>
        </w:trPr>
        <w:tc>
          <w:tcPr>
            <w:tcW w:w="1060" w:type="dxa"/>
            <w:vAlign w:val="bottom"/>
            <w:gridSpan w:val="5"/>
          </w:tcPr>
          <w:p>
            <w:pPr>
              <w:ind w:left="120"/>
              <w:spacing w:after="0"/>
              <w:rPr>
                <w:rFonts w:ascii="Arial" w:cs="Arial" w:eastAsia="Arial" w:hAnsi="Arial"/>
                <w:sz w:val="18"/>
                <w:szCs w:val="18"/>
                <w:color w:val="auto"/>
              </w:rPr>
            </w:pPr>
            <w:hyperlink w:anchor="page125">
              <w:r>
                <w:rPr>
                  <w:rFonts w:ascii="Arial" w:cs="Arial" w:eastAsia="Arial" w:hAnsi="Arial"/>
                  <w:sz w:val="18"/>
                  <w:szCs w:val="18"/>
                  <w:color w:val="auto"/>
                </w:rPr>
                <w:t>Item 9A.</w:t>
              </w:r>
            </w:hyperlink>
          </w:p>
        </w:tc>
        <w:tc>
          <w:tcPr>
            <w:tcW w:w="6500" w:type="dxa"/>
            <w:vAlign w:val="bottom"/>
            <w:tcBorders>
              <w:top w:val="single" w:sz="8" w:color="0000FF"/>
            </w:tcBorders>
            <w:gridSpan w:val="19"/>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Controls and Procedures</w:t>
              </w:r>
            </w:hyperlink>
          </w:p>
        </w:tc>
        <w:tc>
          <w:tcPr>
            <w:tcW w:w="3080" w:type="dxa"/>
            <w:vAlign w:val="bottom"/>
            <w:gridSpan w:val="3"/>
          </w:tcPr>
          <w:p>
            <w:pPr>
              <w:spacing w:after="0"/>
              <w:rPr>
                <w:sz w:val="18"/>
                <w:szCs w:val="18"/>
                <w:color w:val="auto"/>
              </w:rPr>
            </w:pPr>
          </w:p>
        </w:tc>
        <w:tc>
          <w:tcPr>
            <w:tcW w:w="540" w:type="dxa"/>
            <w:vAlign w:val="bottom"/>
          </w:tcPr>
          <w:p>
            <w:pPr>
              <w:jc w:val="right"/>
              <w:spacing w:after="0"/>
              <w:rPr>
                <w:rFonts w:ascii="Arial" w:cs="Arial" w:eastAsia="Arial" w:hAnsi="Arial"/>
                <w:sz w:val="18"/>
                <w:szCs w:val="18"/>
                <w:color w:val="auto"/>
              </w:rPr>
            </w:pPr>
            <w:hyperlink w:anchor="page125">
              <w:r>
                <w:rPr>
                  <w:rFonts w:ascii="Arial" w:cs="Arial" w:eastAsia="Arial" w:hAnsi="Arial"/>
                  <w:sz w:val="18"/>
                  <w:szCs w:val="18"/>
                  <w:color w:val="auto"/>
                </w:rPr>
                <w:t>123</w:t>
              </w:r>
            </w:hyperlink>
          </w:p>
        </w:tc>
      </w:tr>
      <w:tr>
        <w:trPr>
          <w:trHeight w:val="210"/>
        </w:trPr>
        <w:tc>
          <w:tcPr>
            <w:tcW w:w="1060" w:type="dxa"/>
            <w:vAlign w:val="bottom"/>
            <w:gridSpan w:val="5"/>
          </w:tcPr>
          <w:p>
            <w:pPr>
              <w:ind w:left="120"/>
              <w:spacing w:after="0"/>
              <w:rPr>
                <w:rFonts w:ascii="Arial" w:cs="Arial" w:eastAsia="Arial" w:hAnsi="Arial"/>
                <w:sz w:val="18"/>
                <w:szCs w:val="18"/>
                <w:color w:val="auto"/>
              </w:rPr>
            </w:pPr>
            <w:hyperlink w:anchor="page126">
              <w:r>
                <w:rPr>
                  <w:rFonts w:ascii="Arial" w:cs="Arial" w:eastAsia="Arial" w:hAnsi="Arial"/>
                  <w:sz w:val="18"/>
                  <w:szCs w:val="18"/>
                  <w:color w:val="auto"/>
                </w:rPr>
                <w:t>Item 9B.</w:t>
              </w:r>
            </w:hyperlink>
          </w:p>
        </w:tc>
        <w:tc>
          <w:tcPr>
            <w:tcW w:w="13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126">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3"/>
          </w:tcPr>
          <w:p>
            <w:pPr>
              <w:spacing w:after="0"/>
              <w:rPr>
                <w:sz w:val="18"/>
                <w:szCs w:val="18"/>
                <w:color w:val="auto"/>
              </w:rPr>
            </w:pPr>
          </w:p>
        </w:tc>
        <w:tc>
          <w:tcPr>
            <w:tcW w:w="7820" w:type="dxa"/>
            <w:vAlign w:val="bottom"/>
            <w:gridSpan w:val="14"/>
          </w:tcPr>
          <w:p>
            <w:pPr>
              <w:spacing w:after="0"/>
              <w:rPr>
                <w:sz w:val="18"/>
                <w:szCs w:val="18"/>
                <w:color w:val="auto"/>
              </w:rPr>
            </w:pPr>
          </w:p>
        </w:tc>
        <w:tc>
          <w:tcPr>
            <w:tcW w:w="54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124</w:t>
              </w:r>
            </w:hyperlink>
          </w:p>
        </w:tc>
      </w:tr>
      <w:tr>
        <w:trPr>
          <w:trHeight w:val="209"/>
        </w:trPr>
        <w:tc>
          <w:tcPr>
            <w:tcW w:w="1060" w:type="dxa"/>
            <w:vAlign w:val="bottom"/>
            <w:gridSpan w:val="5"/>
          </w:tcPr>
          <w:p>
            <w:pPr>
              <w:ind w:left="120"/>
              <w:spacing w:after="0"/>
              <w:rPr>
                <w:sz w:val="20"/>
                <w:szCs w:val="20"/>
                <w:color w:val="auto"/>
              </w:rPr>
            </w:pPr>
            <w:r>
              <w:rPr>
                <w:rFonts w:ascii="Arial" w:cs="Arial" w:eastAsia="Arial" w:hAnsi="Arial"/>
                <w:sz w:val="18"/>
                <w:szCs w:val="18"/>
                <w:color w:val="auto"/>
              </w:rPr>
              <w:t>Item 9C.</w:t>
            </w:r>
          </w:p>
        </w:tc>
        <w:tc>
          <w:tcPr>
            <w:tcW w:w="9580" w:type="dxa"/>
            <w:vAlign w:val="bottom"/>
            <w:gridSpan w:val="22"/>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Disclosure Regarding Foreign Jurisdictions that Prevent Inspections</w:t>
              </w:r>
            </w:hyperlink>
          </w:p>
        </w:tc>
        <w:tc>
          <w:tcPr>
            <w:tcW w:w="54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124</w:t>
              </w:r>
            </w:hyperlink>
          </w:p>
        </w:tc>
      </w:tr>
      <w:tr>
        <w:trPr>
          <w:trHeight w:val="480"/>
        </w:trPr>
        <w:tc>
          <w:tcPr>
            <w:tcW w:w="74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PART III</w:t>
              </w:r>
            </w:hyperlink>
          </w:p>
        </w:tc>
        <w:tc>
          <w:tcPr>
            <w:tcW w:w="3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0"/>
        </w:trPr>
        <w:tc>
          <w:tcPr>
            <w:tcW w:w="1060" w:type="dxa"/>
            <w:vAlign w:val="bottom"/>
            <w:gridSpan w:val="5"/>
          </w:tcPr>
          <w:p>
            <w:pPr>
              <w:ind w:left="120"/>
              <w:spacing w:after="0"/>
              <w:rPr>
                <w:rFonts w:ascii="Arial" w:cs="Arial" w:eastAsia="Arial" w:hAnsi="Arial"/>
                <w:sz w:val="18"/>
                <w:szCs w:val="18"/>
                <w:color w:val="auto"/>
              </w:rPr>
            </w:pPr>
            <w:hyperlink w:anchor="page127">
              <w:r>
                <w:rPr>
                  <w:rFonts w:ascii="Arial" w:cs="Arial" w:eastAsia="Arial" w:hAnsi="Arial"/>
                  <w:sz w:val="18"/>
                  <w:szCs w:val="18"/>
                  <w:color w:val="auto"/>
                </w:rPr>
                <w:t>Item 10.</w:t>
              </w:r>
            </w:hyperlink>
          </w:p>
        </w:tc>
        <w:tc>
          <w:tcPr>
            <w:tcW w:w="410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127">
              <w:r>
                <w:rPr>
                  <w:rFonts w:ascii="Arial" w:cs="Arial" w:eastAsia="Arial" w:hAnsi="Arial"/>
                  <w:sz w:val="18"/>
                  <w:szCs w:val="18"/>
                  <w:color w:val="0000FF"/>
                  <w:w w:val="90"/>
                </w:rPr>
                <w:t>Directors, Executive Officers and Corporate Governance</w:t>
              </w:r>
            </w:hyperlink>
          </w:p>
        </w:tc>
        <w:tc>
          <w:tcPr>
            <w:tcW w:w="5480" w:type="dxa"/>
            <w:vAlign w:val="bottom"/>
            <w:gridSpan w:val="8"/>
          </w:tcPr>
          <w:p>
            <w:pPr>
              <w:spacing w:after="0"/>
              <w:rPr>
                <w:sz w:val="18"/>
                <w:szCs w:val="18"/>
                <w:color w:val="auto"/>
              </w:rPr>
            </w:pPr>
          </w:p>
        </w:tc>
        <w:tc>
          <w:tcPr>
            <w:tcW w:w="540" w:type="dxa"/>
            <w:vAlign w:val="bottom"/>
          </w:tcPr>
          <w:p>
            <w:pPr>
              <w:jc w:val="right"/>
              <w:spacing w:after="0"/>
              <w:rPr>
                <w:rFonts w:ascii="Arial" w:cs="Arial" w:eastAsia="Arial" w:hAnsi="Arial"/>
                <w:sz w:val="18"/>
                <w:szCs w:val="18"/>
                <w:color w:val="auto"/>
              </w:rPr>
            </w:pPr>
            <w:hyperlink w:anchor="page127">
              <w:r>
                <w:rPr>
                  <w:rFonts w:ascii="Arial" w:cs="Arial" w:eastAsia="Arial" w:hAnsi="Arial"/>
                  <w:sz w:val="18"/>
                  <w:szCs w:val="18"/>
                  <w:color w:val="auto"/>
                </w:rPr>
                <w:t>125</w:t>
              </w:r>
            </w:hyperlink>
          </w:p>
        </w:tc>
      </w:tr>
      <w:tr>
        <w:trPr>
          <w:trHeight w:val="209"/>
        </w:trPr>
        <w:tc>
          <w:tcPr>
            <w:tcW w:w="1060" w:type="dxa"/>
            <w:vAlign w:val="bottom"/>
            <w:gridSpan w:val="5"/>
          </w:tcPr>
          <w:p>
            <w:pPr>
              <w:ind w:left="120"/>
              <w:spacing w:after="0"/>
              <w:rPr>
                <w:rFonts w:ascii="Arial" w:cs="Arial" w:eastAsia="Arial" w:hAnsi="Arial"/>
                <w:sz w:val="18"/>
                <w:szCs w:val="18"/>
                <w:color w:val="auto"/>
              </w:rPr>
            </w:pPr>
            <w:hyperlink w:anchor="page127">
              <w:r>
                <w:rPr>
                  <w:rFonts w:ascii="Arial" w:cs="Arial" w:eastAsia="Arial" w:hAnsi="Arial"/>
                  <w:sz w:val="18"/>
                  <w:szCs w:val="18"/>
                  <w:color w:val="auto"/>
                </w:rPr>
                <w:t>Item 11.</w:t>
              </w:r>
            </w:hyperlink>
          </w:p>
        </w:tc>
        <w:tc>
          <w:tcPr>
            <w:tcW w:w="9580" w:type="dxa"/>
            <w:vAlign w:val="bottom"/>
            <w:gridSpan w:val="22"/>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Executive Compensation</w:t>
              </w:r>
            </w:hyperlink>
          </w:p>
        </w:tc>
        <w:tc>
          <w:tcPr>
            <w:tcW w:w="540" w:type="dxa"/>
            <w:vAlign w:val="bottom"/>
          </w:tcPr>
          <w:p>
            <w:pPr>
              <w:jc w:val="right"/>
              <w:spacing w:after="0"/>
              <w:rPr>
                <w:rFonts w:ascii="Arial" w:cs="Arial" w:eastAsia="Arial" w:hAnsi="Arial"/>
                <w:sz w:val="18"/>
                <w:szCs w:val="18"/>
                <w:color w:val="auto"/>
              </w:rPr>
            </w:pPr>
            <w:hyperlink w:anchor="page127">
              <w:r>
                <w:rPr>
                  <w:rFonts w:ascii="Arial" w:cs="Arial" w:eastAsia="Arial" w:hAnsi="Arial"/>
                  <w:sz w:val="18"/>
                  <w:szCs w:val="18"/>
                  <w:color w:val="auto"/>
                </w:rPr>
                <w:t>125</w:t>
              </w:r>
            </w:hyperlink>
          </w:p>
        </w:tc>
      </w:tr>
      <w:tr>
        <w:trPr>
          <w:trHeight w:val="20"/>
        </w:trPr>
        <w:tc>
          <w:tcPr>
            <w:tcW w:w="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1060" w:type="dxa"/>
            <w:vAlign w:val="bottom"/>
            <w:gridSpan w:val="5"/>
          </w:tcPr>
          <w:p>
            <w:pPr>
              <w:ind w:left="120"/>
              <w:spacing w:after="0"/>
              <w:rPr>
                <w:rFonts w:ascii="Arial" w:cs="Arial" w:eastAsia="Arial" w:hAnsi="Arial"/>
                <w:sz w:val="18"/>
                <w:szCs w:val="18"/>
                <w:color w:val="auto"/>
              </w:rPr>
            </w:pPr>
            <w:hyperlink w:anchor="page127">
              <w:r>
                <w:rPr>
                  <w:rFonts w:ascii="Arial" w:cs="Arial" w:eastAsia="Arial" w:hAnsi="Arial"/>
                  <w:sz w:val="18"/>
                  <w:szCs w:val="18"/>
                  <w:color w:val="auto"/>
                </w:rPr>
                <w:t>Item 12.</w:t>
              </w:r>
            </w:hyperlink>
          </w:p>
        </w:tc>
        <w:tc>
          <w:tcPr>
            <w:tcW w:w="9580" w:type="dxa"/>
            <w:vAlign w:val="bottom"/>
            <w:gridSpan w:val="22"/>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Security Ownership of Certain Beneficial Owners and Management and Related Stockholder Matters</w:t>
              </w:r>
            </w:hyperlink>
          </w:p>
        </w:tc>
        <w:tc>
          <w:tcPr>
            <w:tcW w:w="540" w:type="dxa"/>
            <w:vAlign w:val="bottom"/>
          </w:tcPr>
          <w:p>
            <w:pPr>
              <w:jc w:val="right"/>
              <w:spacing w:after="0"/>
              <w:rPr>
                <w:rFonts w:ascii="Arial" w:cs="Arial" w:eastAsia="Arial" w:hAnsi="Arial"/>
                <w:sz w:val="18"/>
                <w:szCs w:val="18"/>
                <w:color w:val="auto"/>
              </w:rPr>
            </w:pPr>
            <w:hyperlink w:anchor="page127">
              <w:r>
                <w:rPr>
                  <w:rFonts w:ascii="Arial" w:cs="Arial" w:eastAsia="Arial" w:hAnsi="Arial"/>
                  <w:sz w:val="18"/>
                  <w:szCs w:val="18"/>
                  <w:color w:val="auto"/>
                </w:rPr>
                <w:t>125</w:t>
              </w:r>
            </w:hyperlink>
          </w:p>
        </w:tc>
      </w:tr>
      <w:tr>
        <w:trPr>
          <w:trHeight w:val="210"/>
        </w:trPr>
        <w:tc>
          <w:tcPr>
            <w:tcW w:w="1060" w:type="dxa"/>
            <w:vAlign w:val="bottom"/>
            <w:gridSpan w:val="5"/>
          </w:tcPr>
          <w:p>
            <w:pPr>
              <w:ind w:left="120"/>
              <w:spacing w:after="0"/>
              <w:rPr>
                <w:rFonts w:ascii="Arial" w:cs="Arial" w:eastAsia="Arial" w:hAnsi="Arial"/>
                <w:sz w:val="18"/>
                <w:szCs w:val="18"/>
                <w:color w:val="auto"/>
              </w:rPr>
            </w:pPr>
            <w:hyperlink w:anchor="page127">
              <w:r>
                <w:rPr>
                  <w:rFonts w:ascii="Arial" w:cs="Arial" w:eastAsia="Arial" w:hAnsi="Arial"/>
                  <w:sz w:val="18"/>
                  <w:szCs w:val="18"/>
                  <w:color w:val="auto"/>
                </w:rPr>
                <w:t>Item 13.</w:t>
              </w:r>
            </w:hyperlink>
          </w:p>
        </w:tc>
        <w:tc>
          <w:tcPr>
            <w:tcW w:w="7280" w:type="dxa"/>
            <w:vAlign w:val="bottom"/>
            <w:tcBorders>
              <w:top w:val="single" w:sz="8" w:color="0000FF"/>
            </w:tcBorders>
            <w:gridSpan w:val="20"/>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Certain Relationships and Related Transactions, and Director Independence</w:t>
              </w:r>
            </w:hyperlink>
          </w:p>
        </w:tc>
        <w:tc>
          <w:tcPr>
            <w:tcW w:w="2300" w:type="dxa"/>
            <w:vAlign w:val="bottom"/>
            <w:gridSpan w:val="2"/>
          </w:tcPr>
          <w:p>
            <w:pPr>
              <w:spacing w:after="0"/>
              <w:rPr>
                <w:sz w:val="18"/>
                <w:szCs w:val="18"/>
                <w:color w:val="auto"/>
              </w:rPr>
            </w:pPr>
          </w:p>
        </w:tc>
        <w:tc>
          <w:tcPr>
            <w:tcW w:w="540" w:type="dxa"/>
            <w:vAlign w:val="bottom"/>
          </w:tcPr>
          <w:p>
            <w:pPr>
              <w:jc w:val="right"/>
              <w:spacing w:after="0"/>
              <w:rPr>
                <w:rFonts w:ascii="Arial" w:cs="Arial" w:eastAsia="Arial" w:hAnsi="Arial"/>
                <w:sz w:val="18"/>
                <w:szCs w:val="18"/>
                <w:color w:val="auto"/>
              </w:rPr>
            </w:pPr>
            <w:hyperlink w:anchor="page127">
              <w:r>
                <w:rPr>
                  <w:rFonts w:ascii="Arial" w:cs="Arial" w:eastAsia="Arial" w:hAnsi="Arial"/>
                  <w:sz w:val="18"/>
                  <w:szCs w:val="18"/>
                  <w:color w:val="auto"/>
                </w:rPr>
                <w:t>125</w:t>
              </w:r>
            </w:hyperlink>
          </w:p>
        </w:tc>
      </w:tr>
      <w:tr>
        <w:trPr>
          <w:trHeight w:val="209"/>
        </w:trPr>
        <w:tc>
          <w:tcPr>
            <w:tcW w:w="1060" w:type="dxa"/>
            <w:vAlign w:val="bottom"/>
            <w:gridSpan w:val="5"/>
          </w:tcPr>
          <w:p>
            <w:pPr>
              <w:ind w:left="120"/>
              <w:spacing w:after="0"/>
              <w:rPr>
                <w:rFonts w:ascii="Arial" w:cs="Arial" w:eastAsia="Arial" w:hAnsi="Arial"/>
                <w:sz w:val="18"/>
                <w:szCs w:val="18"/>
                <w:color w:val="auto"/>
              </w:rPr>
            </w:pPr>
            <w:hyperlink w:anchor="page127">
              <w:r>
                <w:rPr>
                  <w:rFonts w:ascii="Arial" w:cs="Arial" w:eastAsia="Arial" w:hAnsi="Arial"/>
                  <w:sz w:val="18"/>
                  <w:szCs w:val="18"/>
                  <w:color w:val="auto"/>
                </w:rPr>
                <w:t>Item 14.</w:t>
              </w:r>
            </w:hyperlink>
          </w:p>
        </w:tc>
        <w:tc>
          <w:tcPr>
            <w:tcW w:w="5440" w:type="dxa"/>
            <w:vAlign w:val="bottom"/>
            <w:tcBorders>
              <w:top w:val="single" w:sz="8" w:color="0000FF"/>
            </w:tcBorders>
            <w:gridSpan w:val="17"/>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Principal Accounting Fees and Services</w:t>
              </w:r>
            </w:hyperlink>
          </w:p>
        </w:tc>
        <w:tc>
          <w:tcPr>
            <w:tcW w:w="4140" w:type="dxa"/>
            <w:vAlign w:val="bottom"/>
            <w:gridSpan w:val="5"/>
          </w:tcPr>
          <w:p>
            <w:pPr>
              <w:spacing w:after="0"/>
              <w:rPr>
                <w:sz w:val="18"/>
                <w:szCs w:val="18"/>
                <w:color w:val="auto"/>
              </w:rPr>
            </w:pPr>
          </w:p>
        </w:tc>
        <w:tc>
          <w:tcPr>
            <w:tcW w:w="540" w:type="dxa"/>
            <w:vAlign w:val="bottom"/>
          </w:tcPr>
          <w:p>
            <w:pPr>
              <w:jc w:val="right"/>
              <w:spacing w:after="0"/>
              <w:rPr>
                <w:rFonts w:ascii="Arial" w:cs="Arial" w:eastAsia="Arial" w:hAnsi="Arial"/>
                <w:sz w:val="18"/>
                <w:szCs w:val="18"/>
                <w:color w:val="auto"/>
              </w:rPr>
            </w:pPr>
            <w:hyperlink w:anchor="page127">
              <w:r>
                <w:rPr>
                  <w:rFonts w:ascii="Arial" w:cs="Arial" w:eastAsia="Arial" w:hAnsi="Arial"/>
                  <w:sz w:val="18"/>
                  <w:szCs w:val="18"/>
                  <w:color w:val="auto"/>
                </w:rPr>
                <w:t>125</w:t>
              </w:r>
            </w:hyperlink>
          </w:p>
        </w:tc>
      </w:tr>
      <w:tr>
        <w:trPr>
          <w:trHeight w:val="480"/>
        </w:trPr>
        <w:tc>
          <w:tcPr>
            <w:tcW w:w="720" w:type="dxa"/>
            <w:vAlign w:val="bottom"/>
            <w:tcBorders>
              <w:bottom w:val="single" w:sz="8" w:color="0000FF"/>
            </w:tcBorders>
            <w:gridSpan w:val="3"/>
          </w:tcPr>
          <w:p>
            <w:pPr>
              <w:spacing w:after="0"/>
              <w:rPr>
                <w:rFonts w:ascii="Arial" w:cs="Arial" w:eastAsia="Arial" w:hAnsi="Arial"/>
                <w:sz w:val="18"/>
                <w:szCs w:val="18"/>
                <w:b w:val="1"/>
                <w:bCs w:val="1"/>
                <w:color w:val="0000FF"/>
                <w:w w:val="98"/>
              </w:rPr>
            </w:pPr>
            <w:hyperlink w:anchor="page127">
              <w:r>
                <w:rPr>
                  <w:rFonts w:ascii="Arial" w:cs="Arial" w:eastAsia="Arial" w:hAnsi="Arial"/>
                  <w:sz w:val="18"/>
                  <w:szCs w:val="18"/>
                  <w:b w:val="1"/>
                  <w:bCs w:val="1"/>
                  <w:color w:val="0000FF"/>
                  <w:w w:val="98"/>
                </w:rPr>
                <w:t>PART IV</w:t>
              </w:r>
            </w:hyperlink>
          </w:p>
        </w:tc>
        <w:tc>
          <w:tcPr>
            <w:tcW w:w="34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0"/>
        </w:trPr>
        <w:tc>
          <w:tcPr>
            <w:tcW w:w="1060" w:type="dxa"/>
            <w:vAlign w:val="bottom"/>
            <w:gridSpan w:val="5"/>
          </w:tcPr>
          <w:p>
            <w:pPr>
              <w:ind w:left="120"/>
              <w:spacing w:after="0"/>
              <w:rPr>
                <w:rFonts w:ascii="Arial" w:cs="Arial" w:eastAsia="Arial" w:hAnsi="Arial"/>
                <w:sz w:val="18"/>
                <w:szCs w:val="18"/>
                <w:color w:val="auto"/>
              </w:rPr>
            </w:pPr>
            <w:hyperlink w:anchor="page128">
              <w:r>
                <w:rPr>
                  <w:rFonts w:ascii="Arial" w:cs="Arial" w:eastAsia="Arial" w:hAnsi="Arial"/>
                  <w:sz w:val="18"/>
                  <w:szCs w:val="18"/>
                  <w:color w:val="auto"/>
                </w:rPr>
                <w:t>Item 15.</w:t>
              </w:r>
            </w:hyperlink>
          </w:p>
        </w:tc>
        <w:tc>
          <w:tcPr>
            <w:tcW w:w="29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128">
              <w:r>
                <w:rPr>
                  <w:rFonts w:ascii="Arial" w:cs="Arial" w:eastAsia="Arial" w:hAnsi="Arial"/>
                  <w:sz w:val="18"/>
                  <w:szCs w:val="18"/>
                  <w:color w:val="0000FF"/>
                  <w:w w:val="89"/>
                </w:rPr>
                <w:t>Exhibits, Financial Statement Schedules</w:t>
              </w:r>
            </w:hyperlink>
          </w:p>
        </w:tc>
        <w:tc>
          <w:tcPr>
            <w:tcW w:w="6680" w:type="dxa"/>
            <w:vAlign w:val="bottom"/>
            <w:gridSpan w:val="10"/>
          </w:tcPr>
          <w:p>
            <w:pPr>
              <w:spacing w:after="0"/>
              <w:rPr>
                <w:sz w:val="18"/>
                <w:szCs w:val="18"/>
                <w:color w:val="auto"/>
              </w:rPr>
            </w:pPr>
          </w:p>
        </w:tc>
        <w:tc>
          <w:tcPr>
            <w:tcW w:w="540" w:type="dxa"/>
            <w:vAlign w:val="bottom"/>
          </w:tcPr>
          <w:p>
            <w:pPr>
              <w:jc w:val="right"/>
              <w:spacing w:after="0"/>
              <w:rPr>
                <w:rFonts w:ascii="Arial" w:cs="Arial" w:eastAsia="Arial" w:hAnsi="Arial"/>
                <w:sz w:val="18"/>
                <w:szCs w:val="18"/>
                <w:color w:val="auto"/>
              </w:rPr>
            </w:pPr>
            <w:hyperlink w:anchor="page128">
              <w:r>
                <w:rPr>
                  <w:rFonts w:ascii="Arial" w:cs="Arial" w:eastAsia="Arial" w:hAnsi="Arial"/>
                  <w:sz w:val="18"/>
                  <w:szCs w:val="18"/>
                  <w:color w:val="auto"/>
                </w:rPr>
                <w:t>126</w:t>
              </w:r>
            </w:hyperlink>
          </w:p>
        </w:tc>
      </w:tr>
      <w:tr>
        <w:trPr>
          <w:trHeight w:val="210"/>
        </w:trPr>
        <w:tc>
          <w:tcPr>
            <w:tcW w:w="1060" w:type="dxa"/>
            <w:vAlign w:val="bottom"/>
            <w:gridSpan w:val="5"/>
          </w:tcPr>
          <w:p>
            <w:pPr>
              <w:ind w:left="120"/>
              <w:spacing w:after="0"/>
              <w:rPr>
                <w:rFonts w:ascii="Arial" w:cs="Arial" w:eastAsia="Arial" w:hAnsi="Arial"/>
                <w:sz w:val="18"/>
                <w:szCs w:val="18"/>
                <w:color w:val="auto"/>
              </w:rPr>
            </w:pPr>
            <w:hyperlink w:anchor="page128">
              <w:r>
                <w:rPr>
                  <w:rFonts w:ascii="Arial" w:cs="Arial" w:eastAsia="Arial" w:hAnsi="Arial"/>
                  <w:sz w:val="18"/>
                  <w:szCs w:val="18"/>
                  <w:color w:val="auto"/>
                </w:rPr>
                <w:t>Item 16</w:t>
              </w:r>
            </w:hyperlink>
          </w:p>
        </w:tc>
        <w:tc>
          <w:tcPr>
            <w:tcW w:w="9580" w:type="dxa"/>
            <w:vAlign w:val="bottom"/>
            <w:gridSpan w:val="22"/>
          </w:tcPr>
          <w:p>
            <w:pPr>
              <w:spacing w:after="0"/>
              <w:rPr>
                <w:rFonts w:ascii="Arial" w:cs="Arial" w:eastAsia="Arial" w:hAnsi="Arial"/>
                <w:sz w:val="18"/>
                <w:szCs w:val="18"/>
                <w:color w:val="0000FF"/>
              </w:rPr>
            </w:pPr>
            <w:hyperlink w:anchor="page128">
              <w:r>
                <w:rPr>
                  <w:rFonts w:ascii="Arial" w:cs="Arial" w:eastAsia="Arial" w:hAnsi="Arial"/>
                  <w:sz w:val="18"/>
                  <w:szCs w:val="18"/>
                  <w:color w:val="0000FF"/>
                </w:rPr>
                <w:t>Form 10-K Summary</w:t>
              </w:r>
            </w:hyperlink>
          </w:p>
        </w:tc>
        <w:tc>
          <w:tcPr>
            <w:tcW w:w="540" w:type="dxa"/>
            <w:vAlign w:val="bottom"/>
          </w:tcPr>
          <w:p>
            <w:pPr>
              <w:jc w:val="right"/>
              <w:spacing w:after="0"/>
              <w:rPr>
                <w:rFonts w:ascii="Arial" w:cs="Arial" w:eastAsia="Arial" w:hAnsi="Arial"/>
                <w:sz w:val="18"/>
                <w:szCs w:val="18"/>
                <w:color w:val="auto"/>
              </w:rPr>
            </w:pPr>
            <w:hyperlink w:anchor="page128">
              <w:r>
                <w:rPr>
                  <w:rFonts w:ascii="Arial" w:cs="Arial" w:eastAsia="Arial" w:hAnsi="Arial"/>
                  <w:sz w:val="18"/>
                  <w:szCs w:val="18"/>
                  <w:color w:val="auto"/>
                </w:rPr>
                <w:t>126</w:t>
              </w:r>
            </w:hyperlink>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40" w:firstLine="810"/>
        <w:spacing w:after="0" w:line="342" w:lineRule="auto"/>
        <w:rPr>
          <w:sz w:val="20"/>
          <w:szCs w:val="20"/>
          <w:color w:val="auto"/>
        </w:rPr>
      </w:pPr>
      <w:r>
        <w:rPr>
          <w:rFonts w:ascii="Arial" w:cs="Arial" w:eastAsia="Arial" w:hAnsi="Arial"/>
          <w:sz w:val="16"/>
          <w:szCs w:val="16"/>
          <w:color w:val="auto"/>
        </w:rPr>
        <w:t>Unless the context requires otherwise, references in this report to “Allogene,” “we,” “us” and “our” refer to Allogene Therapeutics, Inc., and references in this report to “Servier” collectively refer to Les Laboratoires Servier SAS and Institut de Recherches Internationales Servier SAS.</w:t>
      </w:r>
    </w:p>
    <w:p>
      <w:pPr>
        <w:spacing w:after="0" w:line="1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This Annual Report on Form 10-K contains forward-looking statements. The forward-looking statements are contained principally in the sections entitled “Business,” “Risk Factors,” and “Management’s Discussion and Analysis of Financial Condition and Results of Operations”.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20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timing and potential indications of our product development activities and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initiation, enrollment and completion of planned clinical trials in the United States and foreign countries;</w:t>
      </w:r>
    </w:p>
    <w:p>
      <w:pPr>
        <w:spacing w:after="0" w:line="25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in any of the indications for which we plan to develop them, and any related restrictions, limitations, and/or warnings in the label of an approved product candidate;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complete the clinical trials of any of our product candidates;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plans to research, develop, manufacture and commercialize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collaborators with development, regulatory and commercialization expertise;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markets for our product candidates, and our ability to serve those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sales and marketing capabilities, whether alone or with potential future collaborators;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and the performance of our and our collaborators’ third-party suppliers and manufacturers;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successfully operate our own manufacturing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capital requirements and needs for additional financing;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cash and other resources; and</w:t>
      </w:r>
    </w:p>
    <w:p>
      <w:pPr>
        <w:spacing w:after="0" w:line="25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 and our ability to operate our business without infringing on the intellectual property rights of others.</w:t>
      </w:r>
    </w:p>
    <w:p>
      <w:pPr>
        <w:spacing w:after="0" w:line="170"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In some cases, you can identify these statements by terms such as “anticipate,” “believe,” “could,” “estimate,” “expects,” “intend,” “may,” “plan,” “potential,” “predict,” “project,” “should,” “will,” “would” or the negative of those terms, and similar expressions that convey uncertainty of future events or outcomes. These forward-looking statements reflect our</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management’s beliefs and views with respect to future events and are based on estimates and assumptions as of the date of this report and are subject to risks and uncertainties. 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We discuss many of the risks associated with the forward-looking statements in this report in greater detail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185"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You should carefully read this report and the documents that we reference in this report and have filed as exhibits to the Form 10-K, of which this report is a part, completely and with the understanding that our actual future results may be materially different from what we expect. We qualify all of the forward-looking statements in this report by these cautionary statements.</w:t>
      </w:r>
    </w:p>
    <w:p>
      <w:pPr>
        <w:spacing w:after="0" w:line="184" w:lineRule="exact"/>
        <w:rPr>
          <w:sz w:val="20"/>
          <w:szCs w:val="20"/>
          <w:color w:val="auto"/>
        </w:rPr>
      </w:pPr>
    </w:p>
    <w:p>
      <w:pPr>
        <w:ind w:right="120" w:firstLine="810"/>
        <w:spacing w:after="0" w:line="342" w:lineRule="auto"/>
        <w:rPr>
          <w:sz w:val="20"/>
          <w:szCs w:val="20"/>
          <w:color w:val="auto"/>
        </w:rPr>
      </w:pPr>
      <w:r>
        <w:rPr>
          <w:rFonts w:ascii="Arial" w:cs="Arial" w:eastAsia="Arial" w:hAnsi="Arial"/>
          <w:sz w:val="16"/>
          <w:szCs w:val="16"/>
          <w:color w:val="auto"/>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228"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Trademarks and Trade names</w:t>
      </w:r>
    </w:p>
    <w:p>
      <w:pPr>
        <w:spacing w:after="0" w:line="121"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 xml:space="preserve">This Annual Report on Form 10-K contains references to our trademarks and to trademarks belonging to other entities. Solely for convenience, trademarks and trade names referred to in this Annual Report, including logos, artwork and other visual displays, may appear without the </w:t>
      </w:r>
      <w:r>
        <w:rPr>
          <w:rFonts w:ascii="Arial" w:cs="Arial" w:eastAsia="Arial" w:hAnsi="Arial"/>
          <w:sz w:val="16"/>
          <w:szCs w:val="16"/>
          <w:color w:val="auto"/>
        </w:rPr>
        <w:t>®</w:t>
      </w:r>
      <w:r>
        <w:rPr>
          <w:rFonts w:ascii="Arial" w:cs="Arial" w:eastAsia="Arial" w:hAnsi="Arial"/>
          <w:sz w:val="18"/>
          <w:szCs w:val="18"/>
          <w:color w:val="auto"/>
        </w:rPr>
        <w:t xml:space="preserve">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20" w:firstLine="441"/>
        <w:spacing w:after="0" w:line="243" w:lineRule="auto"/>
        <w:rPr>
          <w:sz w:val="20"/>
          <w:szCs w:val="20"/>
          <w:color w:val="auto"/>
        </w:rPr>
      </w:pPr>
      <w:r>
        <w:rPr>
          <w:rFonts w:ascii="Arial" w:cs="Arial" w:eastAsia="Arial" w:hAnsi="Arial"/>
          <w:sz w:val="18"/>
          <w:szCs w:val="18"/>
          <w:i w:val="1"/>
          <w:iCs w:val="1"/>
          <w:color w:val="auto"/>
        </w:rPr>
        <w:t>Below is a summary of the material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under Item 1A of Part I of this Annual Report, and should be carefully considered, together with other information in this Annual Report before making investment decisions regarding our common stock.</w:t>
      </w:r>
    </w:p>
    <w:p>
      <w:pPr>
        <w:spacing w:after="0" w:line="42" w:lineRule="exact"/>
        <w:rPr>
          <w:sz w:val="20"/>
          <w:szCs w:val="20"/>
          <w:color w:val="auto"/>
        </w:rPr>
      </w:pPr>
    </w:p>
    <w:p>
      <w:pPr>
        <w:ind w:left="1140" w:hanging="484"/>
        <w:spacing w:after="0"/>
        <w:tabs>
          <w:tab w:leader="none" w:pos="1140" w:val="left"/>
        </w:tabs>
        <w:numPr>
          <w:ilvl w:val="0"/>
          <w:numId w:val="4"/>
        </w:numPr>
        <w:rPr>
          <w:rFonts w:ascii="Arial" w:cs="Arial" w:eastAsia="Arial" w:hAnsi="Arial"/>
          <w:sz w:val="21"/>
          <w:szCs w:val="21"/>
          <w:color w:val="auto"/>
        </w:rPr>
      </w:pPr>
      <w:r>
        <w:rPr>
          <w:rFonts w:ascii="Arial" w:cs="Arial" w:eastAsia="Arial" w:hAnsi="Arial"/>
          <w:sz w:val="17"/>
          <w:szCs w:val="17"/>
          <w:color w:val="auto"/>
        </w:rPr>
        <w:t>We have incurred net losses in every period since our inception and anticipate that we will incur substantial net losses in the future.</w:t>
      </w:r>
    </w:p>
    <w:p>
      <w:pPr>
        <w:spacing w:after="0" w:line="66" w:lineRule="exact"/>
        <w:rPr>
          <w:rFonts w:ascii="Arial" w:cs="Arial" w:eastAsia="Arial" w:hAnsi="Arial"/>
          <w:sz w:val="21"/>
          <w:szCs w:val="21"/>
          <w:color w:val="auto"/>
        </w:rPr>
      </w:pPr>
    </w:p>
    <w:p>
      <w:pPr>
        <w:ind w:left="1140" w:right="200" w:hanging="484"/>
        <w:spacing w:after="0" w:line="218" w:lineRule="auto"/>
        <w:tabs>
          <w:tab w:leader="none" w:pos="113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engineered allogeneic T cell product candidates represent a novel approach to cancer treatment that creates significant challenges for us.</w:t>
      </w:r>
    </w:p>
    <w:p>
      <w:pPr>
        <w:spacing w:after="0" w:line="41" w:lineRule="exact"/>
        <w:rPr>
          <w:rFonts w:ascii="Arial" w:cs="Arial" w:eastAsia="Arial" w:hAnsi="Arial"/>
          <w:sz w:val="22"/>
          <w:szCs w:val="22"/>
          <w:color w:val="auto"/>
        </w:rPr>
      </w:pPr>
    </w:p>
    <w:p>
      <w:pPr>
        <w:ind w:left="1140" w:right="300" w:hanging="484"/>
        <w:spacing w:after="0" w:line="218" w:lineRule="auto"/>
        <w:tabs>
          <w:tab w:leader="none" w:pos="1135" w:val="left"/>
        </w:tabs>
        <w:numPr>
          <w:ilvl w:val="0"/>
          <w:numId w:val="4"/>
        </w:numPr>
        <w:rPr>
          <w:rFonts w:ascii="Arial" w:cs="Arial" w:eastAsia="Arial" w:hAnsi="Arial"/>
          <w:sz w:val="22"/>
          <w:szCs w:val="22"/>
          <w:color w:val="auto"/>
        </w:rPr>
      </w:pPr>
      <w:r>
        <w:rPr>
          <w:rFonts w:ascii="Arial" w:cs="Arial" w:eastAsia="Arial" w:hAnsi="Arial"/>
          <w:sz w:val="18"/>
          <w:szCs w:val="18"/>
          <w:color w:val="auto"/>
        </w:rPr>
        <w:t>Gene-editing is a relatively new technology, and if we are unable to use this technology in our intended product candidates, our revenue opportunities will be materially limited.</w:t>
      </w:r>
    </w:p>
    <w:p>
      <w:pPr>
        <w:spacing w:after="0" w:line="18" w:lineRule="exact"/>
        <w:rPr>
          <w:rFonts w:ascii="Arial" w:cs="Arial" w:eastAsia="Arial" w:hAnsi="Arial"/>
          <w:sz w:val="22"/>
          <w:szCs w:val="22"/>
          <w:color w:val="auto"/>
        </w:rPr>
      </w:pPr>
    </w:p>
    <w:p>
      <w:pPr>
        <w:ind w:left="1140" w:hanging="484"/>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COVID-19 global pandemic is adversely impacting our business, including our preclinical studies and clinical trials.</w:t>
      </w:r>
    </w:p>
    <w:p>
      <w:pPr>
        <w:spacing w:after="0" w:line="66" w:lineRule="exact"/>
        <w:rPr>
          <w:rFonts w:ascii="Arial" w:cs="Arial" w:eastAsia="Arial" w:hAnsi="Arial"/>
          <w:sz w:val="22"/>
          <w:szCs w:val="22"/>
          <w:color w:val="auto"/>
        </w:rPr>
      </w:pPr>
    </w:p>
    <w:p>
      <w:pPr>
        <w:ind w:left="1140" w:right="60" w:hanging="484"/>
        <w:spacing w:after="0" w:line="218" w:lineRule="auto"/>
        <w:tabs>
          <w:tab w:leader="none" w:pos="113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are heavily reliant on our partners for access to TALEN gene editing technology for the manufacturing and development of our product candidates.</w:t>
      </w:r>
    </w:p>
    <w:p>
      <w:pPr>
        <w:spacing w:after="0" w:line="41" w:lineRule="exact"/>
        <w:rPr>
          <w:rFonts w:ascii="Arial" w:cs="Arial" w:eastAsia="Arial" w:hAnsi="Arial"/>
          <w:sz w:val="22"/>
          <w:szCs w:val="22"/>
          <w:color w:val="auto"/>
        </w:rPr>
      </w:pPr>
    </w:p>
    <w:p>
      <w:pPr>
        <w:ind w:left="1140" w:right="740" w:hanging="484"/>
        <w:spacing w:after="0" w:line="218" w:lineRule="auto"/>
        <w:tabs>
          <w:tab w:leader="none" w:pos="113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product candidates are based on novel technologies, which makes it difficult to predict the time and cost of product candidate development and obtaining regulatory approval.</w:t>
      </w:r>
    </w:p>
    <w:p>
      <w:pPr>
        <w:spacing w:after="0" w:line="41" w:lineRule="exact"/>
        <w:rPr>
          <w:rFonts w:ascii="Arial" w:cs="Arial" w:eastAsia="Arial" w:hAnsi="Arial"/>
          <w:sz w:val="22"/>
          <w:szCs w:val="22"/>
          <w:color w:val="auto"/>
        </w:rPr>
      </w:pPr>
    </w:p>
    <w:p>
      <w:pPr>
        <w:ind w:left="1140" w:right="140" w:hanging="484"/>
        <w:spacing w:after="0" w:line="214" w:lineRule="auto"/>
        <w:tabs>
          <w:tab w:leader="none" w:pos="113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business is highly dependent on the success of our lead product candidates. If we are unable to advance clinical development, obtain approval of and successfully commercialize our lead product candidates for the treatment of patients in approved indications, our business would be significantly harmed.</w:t>
      </w:r>
    </w:p>
    <w:p>
      <w:pPr>
        <w:spacing w:after="0" w:line="53" w:lineRule="exact"/>
        <w:rPr>
          <w:rFonts w:ascii="Arial" w:cs="Arial" w:eastAsia="Arial" w:hAnsi="Arial"/>
          <w:sz w:val="22"/>
          <w:szCs w:val="22"/>
          <w:color w:val="auto"/>
        </w:rPr>
      </w:pPr>
    </w:p>
    <w:p>
      <w:pPr>
        <w:ind w:left="1140" w:hanging="484"/>
        <w:spacing w:after="0" w:line="230" w:lineRule="auto"/>
        <w:tabs>
          <w:tab w:leader="none" w:pos="1135"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product candidates may cause undesirable side effects or have other properties that have halted and could in the future halt their clinical development, prevent their regulatory approval, limit their commercial potential or result in significant negative consequences.</w:t>
      </w:r>
    </w:p>
    <w:p>
      <w:pPr>
        <w:spacing w:after="0" w:line="40" w:lineRule="exact"/>
        <w:rPr>
          <w:rFonts w:ascii="Arial" w:cs="Arial" w:eastAsia="Arial" w:hAnsi="Arial"/>
          <w:sz w:val="21"/>
          <w:szCs w:val="21"/>
          <w:color w:val="auto"/>
        </w:rPr>
      </w:pPr>
    </w:p>
    <w:p>
      <w:pPr>
        <w:ind w:left="1140" w:hanging="484"/>
        <w:spacing w:after="0" w:line="218" w:lineRule="auto"/>
        <w:tabs>
          <w:tab w:leader="none" w:pos="113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clinical trials may fail to demonstrate the safety and efficacy of any of our product candidates, which would prevent or delay regulatory approval and commercialization.</w:t>
      </w:r>
    </w:p>
    <w:p>
      <w:pPr>
        <w:spacing w:after="0" w:line="41" w:lineRule="exact"/>
        <w:rPr>
          <w:rFonts w:ascii="Arial" w:cs="Arial" w:eastAsia="Arial" w:hAnsi="Arial"/>
          <w:sz w:val="22"/>
          <w:szCs w:val="22"/>
          <w:color w:val="auto"/>
        </w:rPr>
      </w:pPr>
    </w:p>
    <w:p>
      <w:pPr>
        <w:ind w:left="1140" w:right="80" w:hanging="484"/>
        <w:spacing w:after="0" w:line="230" w:lineRule="auto"/>
        <w:tabs>
          <w:tab w:leader="none" w:pos="1135" w:val="left"/>
        </w:tabs>
        <w:numPr>
          <w:ilvl w:val="0"/>
          <w:numId w:val="4"/>
        </w:numPr>
        <w:rPr>
          <w:rFonts w:ascii="Arial" w:cs="Arial" w:eastAsia="Arial" w:hAnsi="Arial"/>
          <w:sz w:val="21"/>
          <w:szCs w:val="21"/>
          <w:color w:val="auto"/>
        </w:rPr>
      </w:pPr>
      <w:r>
        <w:rPr>
          <w:rFonts w:ascii="Arial" w:cs="Arial" w:eastAsia="Arial" w:hAnsi="Arial"/>
          <w:sz w:val="17"/>
          <w:szCs w:val="17"/>
          <w:color w:val="auto"/>
        </w:rPr>
        <w:t>Initial, interim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1" w:lineRule="exact"/>
        <w:rPr>
          <w:rFonts w:ascii="Arial" w:cs="Arial" w:eastAsia="Arial" w:hAnsi="Arial"/>
          <w:sz w:val="21"/>
          <w:szCs w:val="21"/>
          <w:color w:val="auto"/>
        </w:rPr>
      </w:pPr>
    </w:p>
    <w:p>
      <w:pPr>
        <w:ind w:left="1140" w:hanging="484"/>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may encounter substantial delays in our clinical trials, or may not be able to conduct our trials on the timelines we expect.</w:t>
      </w:r>
    </w:p>
    <w:p>
      <w:pPr>
        <w:spacing w:after="0" w:line="53" w:lineRule="exact"/>
        <w:rPr>
          <w:rFonts w:ascii="Arial" w:cs="Arial" w:eastAsia="Arial" w:hAnsi="Arial"/>
          <w:sz w:val="22"/>
          <w:szCs w:val="22"/>
          <w:color w:val="auto"/>
        </w:rPr>
      </w:pPr>
    </w:p>
    <w:p>
      <w:pPr>
        <w:ind w:left="1140" w:right="600" w:hanging="484"/>
        <w:spacing w:after="0" w:line="218" w:lineRule="auto"/>
        <w:tabs>
          <w:tab w:leader="none" w:pos="1135"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we encounter difficulties enrolling patients in our clinical trials, our clinical development activities could be delayed or otherwise adversely affected.</w:t>
      </w:r>
    </w:p>
    <w:p>
      <w:pPr>
        <w:spacing w:after="0" w:line="41" w:lineRule="exact"/>
        <w:rPr>
          <w:rFonts w:ascii="Arial" w:cs="Arial" w:eastAsia="Arial" w:hAnsi="Arial"/>
          <w:sz w:val="22"/>
          <w:szCs w:val="22"/>
          <w:color w:val="auto"/>
        </w:rPr>
      </w:pPr>
    </w:p>
    <w:p>
      <w:pPr>
        <w:ind w:left="1140" w:hanging="484"/>
        <w:spacing w:after="0" w:line="214" w:lineRule="auto"/>
        <w:tabs>
          <w:tab w:leader="none" w:pos="113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may fail to successfully manufacture our product candidates, operate our own manufacturing facility, or obtain regulatory approval to utilize or commercialize from our manufacturing facility, which could adversely affect our clinical trials and the commercial viability of our product candidates.</w:t>
      </w:r>
    </w:p>
    <w:p>
      <w:pPr>
        <w:spacing w:after="0" w:line="26" w:lineRule="exact"/>
        <w:rPr>
          <w:rFonts w:ascii="Arial" w:cs="Arial" w:eastAsia="Arial" w:hAnsi="Arial"/>
          <w:sz w:val="22"/>
          <w:szCs w:val="22"/>
          <w:color w:val="auto"/>
        </w:rPr>
      </w:pPr>
    </w:p>
    <w:p>
      <w:pPr>
        <w:ind w:left="1140" w:right="100" w:hanging="484"/>
        <w:spacing w:after="0" w:line="235"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13" w:lineRule="exact"/>
        <w:rPr>
          <w:rFonts w:ascii="Arial" w:cs="Arial" w:eastAsia="Arial" w:hAnsi="Arial"/>
          <w:sz w:val="18"/>
          <w:szCs w:val="18"/>
          <w:color w:val="auto"/>
        </w:rPr>
      </w:pPr>
    </w:p>
    <w:p>
      <w:pPr>
        <w:ind w:left="1140" w:right="160" w:hanging="484"/>
        <w:spacing w:after="0" w:line="235" w:lineRule="auto"/>
        <w:tabs>
          <w:tab w:leader="none" w:pos="11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40" w:lineRule="exact"/>
        <w:rPr>
          <w:rFonts w:ascii="Arial" w:cs="Arial" w:eastAsia="Arial" w:hAnsi="Arial"/>
          <w:sz w:val="18"/>
          <w:szCs w:val="18"/>
          <w:b w:val="1"/>
          <w:bCs w:val="1"/>
          <w:i w:val="1"/>
          <w:iCs w:val="1"/>
          <w:color w:val="auto"/>
        </w:rPr>
      </w:pPr>
    </w:p>
    <w:p>
      <w:pPr>
        <w:ind w:left="1140" w:right="340" w:hanging="484"/>
        <w:spacing w:after="0" w:line="230" w:lineRule="auto"/>
        <w:tabs>
          <w:tab w:leader="none" w:pos="1135" w:val="left"/>
        </w:tabs>
        <w:numPr>
          <w:ilvl w:val="0"/>
          <w:numId w:val="4"/>
        </w:numPr>
        <w:rPr>
          <w:rFonts w:ascii="Arial" w:cs="Arial" w:eastAsia="Arial" w:hAnsi="Arial"/>
          <w:sz w:val="21"/>
          <w:szCs w:val="21"/>
          <w:color w:val="auto"/>
        </w:rPr>
      </w:pPr>
      <w:r>
        <w:rPr>
          <w:rFonts w:ascii="Arial" w:cs="Arial" w:eastAsia="Arial" w:hAnsi="Arial"/>
          <w:sz w:val="17"/>
          <w:szCs w:val="17"/>
          <w:color w:val="auto"/>
        </w:rPr>
        <w:t>We will need substantial additional financing to develop our products and implement our operating plans. If we fail to obtain additional financing, we may be unable to complete the development and commercialization of our product candidates.</w:t>
      </w:r>
    </w:p>
    <w:p>
      <w:pPr>
        <w:spacing w:after="0" w:line="53" w:lineRule="exact"/>
        <w:rPr>
          <w:rFonts w:ascii="Arial" w:cs="Arial" w:eastAsia="Arial" w:hAnsi="Arial"/>
          <w:sz w:val="21"/>
          <w:szCs w:val="21"/>
          <w:color w:val="auto"/>
        </w:rPr>
      </w:pPr>
    </w:p>
    <w:p>
      <w:pPr>
        <w:ind w:left="1140" w:right="60" w:hanging="484"/>
        <w:spacing w:after="0" w:line="214" w:lineRule="auto"/>
        <w:tabs>
          <w:tab w:leader="none" w:pos="113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rely and will continue to rely on third parties to conduct our clinical trials and manufacture our product candidates. If these third parties do not successfully carry out their contractual duties or meet expected deadlines, we may not be able to obtain regulatory approval of or commercialize our product candidates.</w:t>
      </w:r>
    </w:p>
    <w:p>
      <w:pPr>
        <w:spacing w:after="0" w:line="39" w:lineRule="exact"/>
        <w:rPr>
          <w:rFonts w:ascii="Arial" w:cs="Arial" w:eastAsia="Arial" w:hAnsi="Arial"/>
          <w:sz w:val="22"/>
          <w:szCs w:val="22"/>
          <w:color w:val="auto"/>
        </w:rPr>
      </w:pPr>
    </w:p>
    <w:p>
      <w:pPr>
        <w:ind w:left="1140" w:right="660" w:hanging="484"/>
        <w:spacing w:after="0" w:line="218" w:lineRule="auto"/>
        <w:tabs>
          <w:tab w:leader="none" w:pos="113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rely on T cells from healthy donors and other specialty raw materials to manufacture our product candidates, which may not be available to us on acceptable terms or at all.</w:t>
      </w:r>
    </w:p>
    <w:p>
      <w:pPr>
        <w:spacing w:after="0" w:line="30" w:lineRule="exact"/>
        <w:rPr>
          <w:rFonts w:ascii="Arial" w:cs="Arial" w:eastAsia="Arial" w:hAnsi="Arial"/>
          <w:sz w:val="22"/>
          <w:szCs w:val="22"/>
          <w:color w:val="auto"/>
        </w:rPr>
      </w:pPr>
    </w:p>
    <w:p>
      <w:pPr>
        <w:ind w:left="1140" w:hanging="484"/>
        <w:spacing w:after="0"/>
        <w:tabs>
          <w:tab w:leader="none" w:pos="1140" w:val="left"/>
        </w:tabs>
        <w:numPr>
          <w:ilvl w:val="0"/>
          <w:numId w:val="4"/>
        </w:numPr>
        <w:rPr>
          <w:rFonts w:ascii="Arial" w:cs="Arial" w:eastAsia="Arial" w:hAnsi="Arial"/>
          <w:sz w:val="21"/>
          <w:szCs w:val="21"/>
          <w:color w:val="auto"/>
        </w:rPr>
      </w:pPr>
      <w:r>
        <w:rPr>
          <w:rFonts w:ascii="Arial" w:cs="Arial" w:eastAsia="Arial" w:hAnsi="Arial"/>
          <w:sz w:val="17"/>
          <w:szCs w:val="17"/>
          <w:color w:val="auto"/>
        </w:rPr>
        <w:t>The FDA may disagree with our regulatory plan and we may fail to obtain regulatory approval of our CAR T cell product candidates.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left="1140" w:right="60" w:hanging="484"/>
        <w:spacing w:after="0" w:line="218" w:lineRule="auto"/>
        <w:tabs>
          <w:tab w:leader="none" w:pos="113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depend on intellectual property licensed from third parties and termination of any of these licenses could result in the loss of significant rights, which would harm our business.</w:t>
      </w:r>
    </w:p>
    <w:p>
      <w:pPr>
        <w:spacing w:after="0" w:line="54" w:lineRule="exact"/>
        <w:rPr>
          <w:rFonts w:ascii="Arial" w:cs="Arial" w:eastAsia="Arial" w:hAnsi="Arial"/>
          <w:sz w:val="22"/>
          <w:szCs w:val="22"/>
          <w:color w:val="auto"/>
        </w:rPr>
      </w:pPr>
    </w:p>
    <w:p>
      <w:pPr>
        <w:ind w:left="1140" w:right="20" w:hanging="484"/>
        <w:spacing w:after="0" w:line="218" w:lineRule="auto"/>
        <w:tabs>
          <w:tab w:leader="none" w:pos="1135"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our efforts to protect the proprietary nature of the intellectual property related to our technologies are not adequate, we may not be able to compete effectively in our market.</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firstLine="810"/>
        <w:spacing w:after="0" w:line="241" w:lineRule="auto"/>
        <w:rPr>
          <w:sz w:val="20"/>
          <w:szCs w:val="20"/>
          <w:color w:val="auto"/>
        </w:rPr>
      </w:pPr>
      <w:r>
        <w:rPr>
          <w:rFonts w:ascii="Arial" w:cs="Arial" w:eastAsia="Arial" w:hAnsi="Arial"/>
          <w:sz w:val="18"/>
          <w:szCs w:val="18"/>
          <w:color w:val="auto"/>
        </w:rPr>
        <w:t>We are a clinical stage immuno-oncology company pioneering the development of genetically engineered allogeneic T cell therapies for the treatment of cancer. We are developing a pipeline of off-the-shelf T cell product candidates that are designed to target and kill cancer cells.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spacing w:after="0" w:line="203" w:lineRule="exact"/>
        <w:rPr>
          <w:sz w:val="20"/>
          <w:szCs w:val="20"/>
          <w:color w:val="auto"/>
        </w:rPr>
      </w:pPr>
    </w:p>
    <w:p>
      <w:pPr>
        <w:ind w:right="60" w:firstLine="810"/>
        <w:spacing w:after="0" w:line="237" w:lineRule="auto"/>
        <w:rPr>
          <w:sz w:val="20"/>
          <w:szCs w:val="20"/>
          <w:color w:val="auto"/>
        </w:rPr>
      </w:pPr>
      <w:r>
        <w:rPr>
          <w:rFonts w:ascii="Arial" w:cs="Arial" w:eastAsia="Arial" w:hAnsi="Arial"/>
          <w:sz w:val="17"/>
          <w:szCs w:val="17"/>
          <w:color w:val="auto"/>
        </w:rPr>
        <w:t>Chimeric antigen receptor (CAR) T cell therapy, a form of cancer immunotherapy, has emerged as a revolutionary and potentially curative therapy for patients with hematologic cancers, including refractory cancers. In 2017, the first two autologous anti-CD19 CAR T cell therapies, Kymriah, developed by Novartis International AG (Novartis), and Yescarta, developed by Kite Pharma, Inc. (Kite), were approved by the U.S. Food and Drug Administration (FDA) for the treatment of relapsed/refractory (R/R) B-cell precursor acute lymphoblastic leukemia (ALL) (Kymriah) and R/R large B-cell lymphoma (Yescarta). Autologous CAR T cell therapies are manufactured individually for the patient’s use by modifying the patient’s own T cells outside the body, causing the T cells to express CARs. The entire manufacturing process is dependent on the viability of each patient’s T cells and takes approximately two to four weeks. Obtaining a manufacturing slot, collecting patient cells, and scheduling can extend the time to treatment by additional weeks. As seen in the registrational trials for Kymriah and Yescarta, up to 31% of intended patients ultimately did not receive treatment primarily due to interval complications from the underlying disease prior to delivery of therapy or manufacturing failures.</w:t>
      </w:r>
    </w:p>
    <w:p>
      <w:pPr>
        <w:spacing w:after="0" w:line="220" w:lineRule="exact"/>
        <w:rPr>
          <w:sz w:val="20"/>
          <w:szCs w:val="20"/>
          <w:color w:val="auto"/>
        </w:rPr>
      </w:pPr>
    </w:p>
    <w:p>
      <w:pPr>
        <w:ind w:right="60" w:firstLine="810"/>
        <w:spacing w:after="0" w:line="241" w:lineRule="auto"/>
        <w:rPr>
          <w:sz w:val="20"/>
          <w:szCs w:val="20"/>
          <w:color w:val="auto"/>
        </w:rPr>
      </w:pPr>
      <w:r>
        <w:rPr>
          <w:rFonts w:ascii="Arial" w:cs="Arial" w:eastAsia="Arial" w:hAnsi="Arial"/>
          <w:sz w:val="18"/>
          <w:szCs w:val="18"/>
          <w:color w:val="auto"/>
        </w:rPr>
        <w:t>Our allogeneic approach involves engineering healthy donor T cells, which we believe will allow for the creation of an inventory of off-the-shelf products that can be delivered to a larger portion of eligible patients throughout the world. These potential benefits led our Executive Chair, Arie Belldegrun, M.D., FACS, who was previously the Chair and Chief Executive Officer at Kite, and our President and Chief Executive Officer, David Chang, M.D., Ph.D., previously Chief Medical Officer and Executive Vice President of Research and Development at Kite, to found our company with the driving purpose of accelerating the development of allogeneic CAR T cell therapies.</w:t>
      </w:r>
    </w:p>
    <w:p>
      <w:pPr>
        <w:spacing w:after="0" w:line="216" w:lineRule="exact"/>
        <w:rPr>
          <w:sz w:val="20"/>
          <w:szCs w:val="20"/>
          <w:color w:val="auto"/>
        </w:rPr>
      </w:pPr>
    </w:p>
    <w:p>
      <w:pPr>
        <w:ind w:right="20" w:firstLine="810"/>
        <w:spacing w:after="0" w:line="243" w:lineRule="auto"/>
        <w:rPr>
          <w:sz w:val="20"/>
          <w:szCs w:val="20"/>
          <w:color w:val="auto"/>
        </w:rPr>
      </w:pPr>
      <w:r>
        <w:rPr>
          <w:rFonts w:ascii="Arial" w:cs="Arial" w:eastAsia="Arial" w:hAnsi="Arial"/>
          <w:sz w:val="18"/>
          <w:szCs w:val="18"/>
          <w:color w:val="auto"/>
        </w:rPr>
        <w:t>We have multiple clinical trials ongoing and have a deep pipeline to further the research and development of allogeneic CAR T cell product candidates in both hematological malignancies and solid tumors. We believe our technology platform combined with our management team’s experience in immuno-oncology and specifically in CAR T cell therapy will help drive the rapid development and, if approved, the commercialization of potentially curative therapies for patients with aggressive cancer.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56" w:lineRule="exact"/>
        <w:rPr>
          <w:sz w:val="20"/>
          <w:szCs w:val="20"/>
          <w:color w:val="auto"/>
        </w:rPr>
      </w:pPr>
    </w:p>
    <w:p>
      <w:pPr>
        <w:ind w:right="320" w:firstLine="810"/>
        <w:spacing w:after="0" w:line="284" w:lineRule="auto"/>
        <w:rPr>
          <w:sz w:val="20"/>
          <w:szCs w:val="20"/>
          <w:color w:val="auto"/>
        </w:rPr>
      </w:pPr>
      <w:r>
        <w:rPr>
          <w:rFonts w:ascii="Arial" w:cs="Arial" w:eastAsia="Arial" w:hAnsi="Arial"/>
          <w:sz w:val="16"/>
          <w:szCs w:val="16"/>
          <w:color w:val="auto"/>
        </w:rPr>
        <w:t>Our allogeneic T cell development strategy has four key pillars: (1) engineering product candidates to minimize the risk of graft-versus-host disease (GvHD), a condition where allogeneic T cells can recognize the patient’s normal tissue as foreign and cause damage, (2) creating a window of persistence that may enable allogeneic T cells to expand and eradicate cancer cells in patients, (3) building a leading manufacturing platform to enable consistent and high quality production and (4) leveraging next generation technologies to improve the functionality of allogeneic CAR T cells.</w:t>
      </w:r>
    </w:p>
    <w:p>
      <w:pPr>
        <w:spacing w:after="0" w:line="182" w:lineRule="exact"/>
        <w:rPr>
          <w:sz w:val="20"/>
          <w:szCs w:val="20"/>
          <w:color w:val="auto"/>
        </w:rPr>
      </w:pPr>
    </w:p>
    <w:p>
      <w:pPr>
        <w:ind w:firstLine="810"/>
        <w:spacing w:after="0" w:line="255" w:lineRule="auto"/>
        <w:rPr>
          <w:sz w:val="20"/>
          <w:szCs w:val="20"/>
          <w:color w:val="auto"/>
        </w:rPr>
      </w:pPr>
      <w:r>
        <w:rPr>
          <w:rFonts w:ascii="Arial" w:cs="Arial" w:eastAsia="Arial" w:hAnsi="Arial"/>
          <w:sz w:val="17"/>
          <w:szCs w:val="17"/>
          <w:color w:val="auto"/>
        </w:rPr>
        <w:t>We use Cellectis, S.A. (Cellectis), TALEN gene-editing technology to limit the risk of GvHD by engineering T cells to lack functional T cell receptors (TCRs) that are no longer capable of recognizing a patient’s normal tissue as foreign. With the goal of enhancing the expansion and persistence of our engineered allogeneic T cells, we use TALEN to inactivate the CD52 gene in donor T cells and an anti-CD52 monoclonal antibody to deplete CD52 expressing T cells in patients while sparing the therapeutic allogeneic T cells. We believe this enables a window of persistence for the infused allogeneic T cells to actively target and destroy cancer cells. We are also developing ALLO-647, our own anti-CD52 monoclonal antibody, which is designed to be used prior to infusing our other product candidates as part of a lymphodepletion regimen. Our off-the-shelf approach is dependent on state-of-the-art manufacturing processes, and we are continuing to build a technical operations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organization with fully integrated in-house expertise in clinical and commercial engineered T cell manufacturing. In February 2019, we entered into a lease to construct our own cell therapy manufacturing facility in Newark, California, and we commenced current good manufacturing practices (cGMP) manufacturing at our facility in 2021. Finally, we plan to leverage next generation technologies to develop more potent product candidates and to develop product candidates from a renewable cell source. We believe next generation technologies will also allow us to develop allogeneic T cell therapies for the treatment of solid tumors, which to date have been difficult to treat because of the lack of validated targets and tumor microenvironments that can impair the activity of T cells.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56" w:lineRule="exact"/>
        <w:rPr>
          <w:sz w:val="20"/>
          <w:szCs w:val="20"/>
          <w:color w:val="auto"/>
        </w:rPr>
      </w:pPr>
    </w:p>
    <w:p>
      <w:pPr>
        <w:ind w:firstLine="810"/>
        <w:spacing w:after="0" w:line="259" w:lineRule="auto"/>
        <w:rPr>
          <w:sz w:val="20"/>
          <w:szCs w:val="20"/>
          <w:color w:val="auto"/>
        </w:rPr>
      </w:pPr>
      <w:r>
        <w:rPr>
          <w:rFonts w:ascii="Arial" w:cs="Arial" w:eastAsia="Arial" w:hAnsi="Arial"/>
          <w:sz w:val="17"/>
          <w:szCs w:val="17"/>
          <w:color w:val="auto"/>
        </w:rPr>
        <w:t>We are currently developing a pipeline of multiple allogeneic CAR T cell product candidates utilizing protein engineering, gene editing, gene insertion and advanced proprietary T cell manufacturing technologies. Our most advanced product candidates, ALLO-501 and ALLO-501A, are engineered allogeneic CAR T cell therapies that target CD19, a protein expressed on the cell surface of B cells and a validated target for B cell driven hematological malignancies. We are also developing engineered allogeneic CAR T cell product candidates for multiple myeloma, clear cell renal cell carcinoma (ccRCC), and other blood cancers and solid tumors. Our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5863590" cy="2305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hanging="72"/>
        <w:spacing w:after="0"/>
        <w:tabs>
          <w:tab w:leader="none" w:pos="80" w:val="left"/>
        </w:tabs>
        <w:numPr>
          <w:ilvl w:val="0"/>
          <w:numId w:val="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Servier holds ex-US commercial rights.</w:t>
      </w:r>
    </w:p>
    <w:p>
      <w:pPr>
        <w:ind w:left="80" w:hanging="72"/>
        <w:spacing w:after="0" w:line="187" w:lineRule="auto"/>
        <w:tabs>
          <w:tab w:leader="none" w:pos="80" w:val="left"/>
        </w:tabs>
        <w:numPr>
          <w:ilvl w:val="0"/>
          <w:numId w:val="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Phase 3 may not be required if Phase 2 is registrational.</w:t>
      </w:r>
    </w:p>
    <w:p>
      <w:pPr>
        <w:ind w:left="100" w:hanging="92"/>
        <w:spacing w:after="0" w:line="188" w:lineRule="auto"/>
        <w:tabs>
          <w:tab w:leader="none" w:pos="100" w:val="left"/>
        </w:tabs>
        <w:numPr>
          <w:ilvl w:val="0"/>
          <w:numId w:val="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Allogene sponsored trial in combination with SpringWorks Therapeutics, Inc.</w:t>
      </w:r>
    </w:p>
    <w:p>
      <w:pPr>
        <w:ind w:left="100" w:hanging="92"/>
        <w:spacing w:after="0" w:line="197" w:lineRule="auto"/>
        <w:tabs>
          <w:tab w:leader="none" w:pos="100" w:val="left"/>
        </w:tabs>
        <w:numPr>
          <w:ilvl w:val="0"/>
          <w:numId w:val="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ALLO-647 intended to enable expansion and persistence of allogeneic CAR T product candidates.</w:t>
      </w: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lead product candidates include:</w:t>
      </w:r>
    </w:p>
    <w:p>
      <w:pPr>
        <w:spacing w:after="0" w:line="252" w:lineRule="exact"/>
        <w:rPr>
          <w:sz w:val="20"/>
          <w:szCs w:val="20"/>
          <w:color w:val="auto"/>
        </w:rPr>
      </w:pPr>
    </w:p>
    <w:p>
      <w:pPr>
        <w:ind w:left="660" w:right="160" w:hanging="328"/>
        <w:spacing w:after="0" w:line="214" w:lineRule="auto"/>
        <w:tabs>
          <w:tab w:leader="none" w:pos="655" w:val="left"/>
        </w:tabs>
        <w:numPr>
          <w:ilvl w:val="0"/>
          <w:numId w:val="10"/>
        </w:numPr>
        <w:rPr>
          <w:rFonts w:ascii="Arial" w:cs="Arial" w:eastAsia="Arial" w:hAnsi="Arial"/>
          <w:sz w:val="22"/>
          <w:szCs w:val="22"/>
          <w:b w:val="1"/>
          <w:bCs w:val="1"/>
          <w:i w:val="1"/>
          <w:iCs w:val="1"/>
          <w:color w:val="auto"/>
        </w:rPr>
      </w:pPr>
      <w:r>
        <w:rPr>
          <w:rFonts w:ascii="Arial" w:cs="Arial" w:eastAsia="Arial" w:hAnsi="Arial"/>
          <w:sz w:val="18"/>
          <w:szCs w:val="18"/>
          <w:i w:val="1"/>
          <w:iCs w:val="1"/>
          <w:color w:val="auto"/>
        </w:rPr>
        <w:t xml:space="preserve">ALLO-501. </w:t>
      </w:r>
      <w:r>
        <w:rPr>
          <w:rFonts w:ascii="Arial" w:cs="Arial" w:eastAsia="Arial" w:hAnsi="Arial"/>
          <w:sz w:val="18"/>
          <w:szCs w:val="18"/>
          <w:color w:val="auto"/>
        </w:rPr>
        <w:t>We are sponsoring a Phase 1 clinical trial (the ALPHA trial) of ALLO-501 in patients with the most common R/R non-Hodgkin</w:t>
      </w:r>
      <w:r>
        <w:rPr>
          <w:rFonts w:ascii="Arial" w:cs="Arial" w:eastAsia="Arial" w:hAnsi="Arial"/>
          <w:sz w:val="18"/>
          <w:szCs w:val="18"/>
          <w:i w:val="1"/>
          <w:iCs w:val="1"/>
          <w:color w:val="auto"/>
        </w:rPr>
        <w:t xml:space="preserve"> </w:t>
      </w:r>
      <w:r>
        <w:rPr>
          <w:rFonts w:ascii="Arial" w:cs="Arial" w:eastAsia="Arial" w:hAnsi="Arial"/>
          <w:sz w:val="18"/>
          <w:szCs w:val="18"/>
          <w:color w:val="auto"/>
        </w:rPr>
        <w:t>lymphoma (NHL) subtypes, including R/R large B-cell lymphoma and R/R follicular lymphoma (FL). We completed accrual in the ALPHA trial in 2021 and are following patients as part of long-term follow-up.</w:t>
      </w:r>
    </w:p>
    <w:p>
      <w:pPr>
        <w:spacing w:after="0" w:line="188" w:lineRule="exact"/>
        <w:rPr>
          <w:rFonts w:ascii="Arial" w:cs="Arial" w:eastAsia="Arial" w:hAnsi="Arial"/>
          <w:sz w:val="22"/>
          <w:szCs w:val="22"/>
          <w:b w:val="1"/>
          <w:bCs w:val="1"/>
          <w:i w:val="1"/>
          <w:iCs w:val="1"/>
          <w:color w:val="auto"/>
        </w:rPr>
      </w:pPr>
    </w:p>
    <w:p>
      <w:pPr>
        <w:ind w:left="660" w:right="60" w:hanging="328"/>
        <w:spacing w:after="0" w:line="255"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ALLO-501A. </w:t>
      </w:r>
      <w:r>
        <w:rPr>
          <w:rFonts w:ascii="Arial" w:cs="Arial" w:eastAsia="Arial" w:hAnsi="Arial"/>
          <w:sz w:val="16"/>
          <w:szCs w:val="16"/>
          <w:color w:val="auto"/>
        </w:rPr>
        <w:t>We have removed rituximab recognition domains in our second-generation version of ALLO-501, known as ALLO-501A,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will potentially facilitate treatment of more patients, as rituximab is a typical part of a treatment regimen for a patient with NHL. We initiated a Phase 1/2 clinical trial for ALLO-501A (the ALPHA2 trial) in the second quarter of 2020. The Phase 1 portion of the ALPHA2 trial is designed to assess the safety and tolerability at increasing dose levels of ALLO-501A in patients with R/R large B-cell lymphoma or transformed FL. In December 2021, interim results from the ALPHA trial and ALPHA2 trial were presented at the American Society of Hematology (ASH) annual meeting. See “—Product Pipeline and Development Strategy—Anti-CD19 Development Program—Results from the Phase 1 ALLO-501 ALPHA Trial and the Phase 1 ALLO-501A ALPHA2 Trial” for information regarding the results. Subject to further patient follow-up and FDA discussion, we plan to proceed to the Phase 2 portion of the trial in adult patients with R/R large B-cell lymphoma in mid-2022.</w:t>
      </w:r>
    </w:p>
    <w:p>
      <w:pPr>
        <w:spacing w:after="0" w:line="218" w:lineRule="exact"/>
        <w:rPr>
          <w:rFonts w:ascii="Arial" w:cs="Arial" w:eastAsia="Arial" w:hAnsi="Arial"/>
          <w:sz w:val="16"/>
          <w:szCs w:val="16"/>
          <w:color w:val="auto"/>
        </w:rPr>
      </w:pPr>
    </w:p>
    <w:p>
      <w:pPr>
        <w:ind w:left="660" w:right="680" w:hanging="328"/>
        <w:spacing w:after="0" w:line="218" w:lineRule="auto"/>
        <w:tabs>
          <w:tab w:leader="none" w:pos="655" w:val="left"/>
        </w:tabs>
        <w:numPr>
          <w:ilvl w:val="0"/>
          <w:numId w:val="10"/>
        </w:numPr>
        <w:rPr>
          <w:rFonts w:ascii="Arial" w:cs="Arial" w:eastAsia="Arial" w:hAnsi="Arial"/>
          <w:sz w:val="22"/>
          <w:szCs w:val="22"/>
          <w:b w:val="1"/>
          <w:bCs w:val="1"/>
          <w:i w:val="1"/>
          <w:iCs w:val="1"/>
          <w:color w:val="auto"/>
        </w:rPr>
      </w:pPr>
      <w:r>
        <w:rPr>
          <w:rFonts w:ascii="Arial" w:cs="Arial" w:eastAsia="Arial" w:hAnsi="Arial"/>
          <w:sz w:val="18"/>
          <w:szCs w:val="18"/>
          <w:i w:val="1"/>
          <w:iCs w:val="1"/>
          <w:color w:val="auto"/>
        </w:rPr>
        <w:t xml:space="preserve">ALLO-715. </w:t>
      </w:r>
      <w:r>
        <w:rPr>
          <w:rFonts w:ascii="Arial" w:cs="Arial" w:eastAsia="Arial" w:hAnsi="Arial"/>
          <w:sz w:val="18"/>
          <w:szCs w:val="18"/>
          <w:color w:val="auto"/>
        </w:rPr>
        <w:t>We are sponsoring a Phase 1 clinical trial (the UNIVERSAL trial) of ALLO-715, an allogeneic CAR T cell product candidate</w:t>
      </w:r>
      <w:r>
        <w:rPr>
          <w:rFonts w:ascii="Arial" w:cs="Arial" w:eastAsia="Arial" w:hAnsi="Arial"/>
          <w:sz w:val="18"/>
          <w:szCs w:val="18"/>
          <w:i w:val="1"/>
          <w:iCs w:val="1"/>
          <w:color w:val="auto"/>
        </w:rPr>
        <w:t xml:space="preserve"> </w:t>
      </w:r>
      <w:r>
        <w:rPr>
          <w:rFonts w:ascii="Arial" w:cs="Arial" w:eastAsia="Arial" w:hAnsi="Arial"/>
          <w:sz w:val="18"/>
          <w:szCs w:val="18"/>
          <w:color w:val="auto"/>
        </w:rPr>
        <w:t>targeting B-cell maturation antigen (BCMA), in adult patients with R/R multiple myeloma. In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left="660" w:right="700"/>
        <w:spacing w:after="0" w:line="259" w:lineRule="auto"/>
        <w:rPr>
          <w:sz w:val="20"/>
          <w:szCs w:val="20"/>
          <w:color w:val="auto"/>
        </w:rPr>
      </w:pPr>
      <w:r>
        <w:rPr>
          <w:rFonts w:ascii="Arial" w:cs="Arial" w:eastAsia="Arial" w:hAnsi="Arial"/>
          <w:sz w:val="16"/>
          <w:szCs w:val="16"/>
          <w:color w:val="auto"/>
        </w:rPr>
        <w:t>December 2021, interim results from the UNIVERSAL trial were presented at the ASH annual meeting. See “—Product Pipeline and Development Strategy—Anti-BCMA Development Program—Results from the Phase 1 ALLO-715 UNIVERSAL Trial” for information regarding the results. We are continuing the UNIVERSAL trial to further explore ALLO-715 and lymphodepletion dose and schedule.</w:t>
      </w:r>
    </w:p>
    <w:p>
      <w:pPr>
        <w:spacing w:after="0" w:line="174" w:lineRule="exact"/>
        <w:rPr>
          <w:sz w:val="20"/>
          <w:szCs w:val="20"/>
          <w:color w:val="auto"/>
        </w:rPr>
      </w:pPr>
    </w:p>
    <w:p>
      <w:pPr>
        <w:jc w:val="both"/>
        <w:ind w:left="660" w:right="40" w:hanging="328"/>
        <w:spacing w:after="0" w:line="22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ALLO-715 plus nirogacestat</w:t>
      </w:r>
      <w:r>
        <w:rPr>
          <w:rFonts w:ascii="Arial" w:cs="Arial" w:eastAsia="Arial" w:hAnsi="Arial"/>
          <w:sz w:val="18"/>
          <w:szCs w:val="18"/>
          <w:color w:val="auto"/>
        </w:rPr>
        <w:t>. In the first half of 2021, we expanded the UNIVERSAL trial to assess ALLO-715 in combination with SpringWorks</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Therapeutics, Inc.’s investigational gamma secretase inhibitor, nirogacestat. We have dosed an initial cohort of patients that we are following prior to enrolling any further patients.</w:t>
      </w:r>
    </w:p>
    <w:p>
      <w:pPr>
        <w:spacing w:after="0" w:line="216" w:lineRule="exact"/>
        <w:rPr>
          <w:rFonts w:ascii="Arial" w:cs="Arial" w:eastAsia="Arial" w:hAnsi="Arial"/>
          <w:sz w:val="18"/>
          <w:szCs w:val="18"/>
          <w:color w:val="auto"/>
        </w:rPr>
      </w:pPr>
    </w:p>
    <w:p>
      <w:pPr>
        <w:ind w:left="660" w:right="160" w:hanging="328"/>
        <w:spacing w:after="0" w:line="211" w:lineRule="auto"/>
        <w:tabs>
          <w:tab w:leader="none" w:pos="655" w:val="left"/>
        </w:tabs>
        <w:numPr>
          <w:ilvl w:val="0"/>
          <w:numId w:val="11"/>
        </w:numPr>
        <w:rPr>
          <w:rFonts w:ascii="Arial" w:cs="Arial" w:eastAsia="Arial" w:hAnsi="Arial"/>
          <w:sz w:val="22"/>
          <w:szCs w:val="22"/>
          <w:b w:val="1"/>
          <w:bCs w:val="1"/>
          <w:i w:val="1"/>
          <w:iCs w:val="1"/>
          <w:color w:val="auto"/>
        </w:rPr>
      </w:pPr>
      <w:r>
        <w:rPr>
          <w:rFonts w:ascii="Arial" w:cs="Arial" w:eastAsia="Arial" w:hAnsi="Arial"/>
          <w:sz w:val="18"/>
          <w:szCs w:val="18"/>
          <w:i w:val="1"/>
          <w:iCs w:val="1"/>
          <w:color w:val="auto"/>
        </w:rPr>
        <w:t xml:space="preserve">ALLO-605. </w:t>
      </w:r>
      <w:r>
        <w:rPr>
          <w:rFonts w:ascii="Arial" w:cs="Arial" w:eastAsia="Arial" w:hAnsi="Arial"/>
          <w:sz w:val="18"/>
          <w:szCs w:val="18"/>
          <w:color w:val="auto"/>
        </w:rPr>
        <w:t>We are sponsoring a Phase 1 clinical trial (the IGNITE trial) of ALLO-605, an allogeneic CAR T cell product candidate targeting</w:t>
      </w:r>
      <w:r>
        <w:rPr>
          <w:rFonts w:ascii="Arial" w:cs="Arial" w:eastAsia="Arial" w:hAnsi="Arial"/>
          <w:sz w:val="18"/>
          <w:szCs w:val="18"/>
          <w:i w:val="1"/>
          <w:iCs w:val="1"/>
          <w:color w:val="auto"/>
        </w:rPr>
        <w:t xml:space="preserve"> </w:t>
      </w:r>
      <w:r>
        <w:rPr>
          <w:rFonts w:ascii="Arial" w:cs="Arial" w:eastAsia="Arial" w:hAnsi="Arial"/>
          <w:sz w:val="18"/>
          <w:szCs w:val="18"/>
          <w:color w:val="auto"/>
        </w:rPr>
        <w:t>BCMA, in adult patients with R/R multiple myeloma. ALLO-605 is our first product candidate to incorporate our TurboCAR technology. TurboCAR technology allows cytokine signaling to be engineered selectively into CAR T cells and has shown the ability to improve the potency and persistence of the cells and to delay exhaustion of the cells in preclinical models.</w:t>
      </w:r>
    </w:p>
    <w:p>
      <w:pPr>
        <w:spacing w:after="0" w:line="217" w:lineRule="exact"/>
        <w:rPr>
          <w:rFonts w:ascii="Arial" w:cs="Arial" w:eastAsia="Arial" w:hAnsi="Arial"/>
          <w:sz w:val="22"/>
          <w:szCs w:val="22"/>
          <w:b w:val="1"/>
          <w:bCs w:val="1"/>
          <w:i w:val="1"/>
          <w:iCs w:val="1"/>
          <w:color w:val="auto"/>
        </w:rPr>
      </w:pPr>
    </w:p>
    <w:p>
      <w:pPr>
        <w:ind w:left="660" w:right="120" w:hanging="328"/>
        <w:spacing w:after="0" w:line="225" w:lineRule="auto"/>
        <w:tabs>
          <w:tab w:leader="none" w:pos="655" w:val="left"/>
        </w:tabs>
        <w:numPr>
          <w:ilvl w:val="0"/>
          <w:numId w:val="11"/>
        </w:numPr>
        <w:rPr>
          <w:rFonts w:ascii="Arial" w:cs="Arial" w:eastAsia="Arial" w:hAnsi="Arial"/>
          <w:sz w:val="21"/>
          <w:szCs w:val="21"/>
          <w:b w:val="1"/>
          <w:bCs w:val="1"/>
          <w:i w:val="1"/>
          <w:iCs w:val="1"/>
          <w:color w:val="auto"/>
        </w:rPr>
      </w:pPr>
      <w:r>
        <w:rPr>
          <w:rFonts w:ascii="Arial" w:cs="Arial" w:eastAsia="Arial" w:hAnsi="Arial"/>
          <w:sz w:val="17"/>
          <w:szCs w:val="17"/>
          <w:i w:val="1"/>
          <w:iCs w:val="1"/>
          <w:color w:val="auto"/>
        </w:rPr>
        <w:t xml:space="preserve">ALLO-316. </w:t>
      </w:r>
      <w:r>
        <w:rPr>
          <w:rFonts w:ascii="Arial" w:cs="Arial" w:eastAsia="Arial" w:hAnsi="Arial"/>
          <w:sz w:val="17"/>
          <w:szCs w:val="17"/>
          <w:color w:val="auto"/>
        </w:rPr>
        <w:t>We are sponsoring a Phase 1 clinical trial (the TRAVERSE trial) of ALLO-316, an allogeneic CAR T cell product candidate targeting</w:t>
      </w:r>
      <w:r>
        <w:rPr>
          <w:rFonts w:ascii="Arial" w:cs="Arial" w:eastAsia="Arial" w:hAnsi="Arial"/>
          <w:sz w:val="17"/>
          <w:szCs w:val="17"/>
          <w:i w:val="1"/>
          <w:iCs w:val="1"/>
          <w:color w:val="auto"/>
        </w:rPr>
        <w:t xml:space="preserve"> </w:t>
      </w:r>
      <w:r>
        <w:rPr>
          <w:rFonts w:ascii="Arial" w:cs="Arial" w:eastAsia="Arial" w:hAnsi="Arial"/>
          <w:sz w:val="17"/>
          <w:szCs w:val="17"/>
          <w:color w:val="auto"/>
        </w:rPr>
        <w:t>CD70, in adult patients with advanced or metastatic ccRCC. Subject to results from the TRAVERSE trial, we also plan to investigate the use of ALLO-316 for other solid tumor and hematologic indications, such as acute myeloid leukemia (AML).</w:t>
      </w:r>
    </w:p>
    <w:p>
      <w:pPr>
        <w:spacing w:after="0" w:line="217" w:lineRule="exact"/>
        <w:rPr>
          <w:rFonts w:ascii="Arial" w:cs="Arial" w:eastAsia="Arial" w:hAnsi="Arial"/>
          <w:sz w:val="21"/>
          <w:szCs w:val="21"/>
          <w:b w:val="1"/>
          <w:bCs w:val="1"/>
          <w:i w:val="1"/>
          <w:iCs w:val="1"/>
          <w:color w:val="auto"/>
        </w:rPr>
      </w:pPr>
    </w:p>
    <w:p>
      <w:pPr>
        <w:ind w:left="660" w:right="60" w:hanging="328"/>
        <w:spacing w:after="0" w:line="236" w:lineRule="auto"/>
        <w:tabs>
          <w:tab w:leader="none" w:pos="655" w:val="left"/>
        </w:tabs>
        <w:numPr>
          <w:ilvl w:val="0"/>
          <w:numId w:val="11"/>
        </w:numPr>
        <w:rPr>
          <w:rFonts w:ascii="Arial" w:cs="Arial" w:eastAsia="Arial" w:hAnsi="Arial"/>
          <w:sz w:val="19"/>
          <w:szCs w:val="19"/>
          <w:color w:val="auto"/>
        </w:rPr>
      </w:pPr>
      <w:r>
        <w:rPr>
          <w:rFonts w:ascii="Arial" w:cs="Arial" w:eastAsia="Arial" w:hAnsi="Arial"/>
          <w:sz w:val="16"/>
          <w:szCs w:val="16"/>
          <w:i w:val="1"/>
          <w:iCs w:val="1"/>
          <w:color w:val="auto"/>
        </w:rPr>
        <w:t>ALLO-647</w:t>
      </w:r>
      <w:r>
        <w:rPr>
          <w:rFonts w:ascii="Arial" w:cs="Arial" w:eastAsia="Arial" w:hAnsi="Arial"/>
          <w:sz w:val="16"/>
          <w:szCs w:val="16"/>
          <w:color w:val="auto"/>
        </w:rPr>
        <w:t>. We are developing an anti-CD52 monoclonal antibody, ALLO-647, which is a component of our lymphodepletion regimen. ALLO-647 may be able to reduce the likelihood of a patient’s immune system rejecting the engineered allogeneic T cells for a sufficient period of time to enable a window of persistence during which our engineered allogeneic T cells can actively target and destroy cancer cells. We are currently utilizing ALLO-647 in all of our clinical trials and plan to assess ALLO-647 in a separate registration trial that we plan to initiate in mid-2022 subject to the advancement of the ALPHA2 trial. We expect to assess the safety of ALLO-647 and its contribution to the overall benefit to risk ratio of the lymphodepletion regimen through a randomized study with a cohort of patients that do not receive ALLO-647.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Team</w:t>
      </w:r>
    </w:p>
    <w:p>
      <w:pPr>
        <w:spacing w:after="0" w:line="256" w:lineRule="exact"/>
        <w:rPr>
          <w:sz w:val="20"/>
          <w:szCs w:val="20"/>
          <w:color w:val="auto"/>
        </w:rPr>
      </w:pPr>
    </w:p>
    <w:p>
      <w:pPr>
        <w:ind w:firstLine="810"/>
        <w:spacing w:after="0" w:line="272" w:lineRule="auto"/>
        <w:rPr>
          <w:sz w:val="20"/>
          <w:szCs w:val="20"/>
          <w:color w:val="auto"/>
        </w:rPr>
      </w:pPr>
      <w:r>
        <w:rPr>
          <w:rFonts w:ascii="Arial" w:cs="Arial" w:eastAsia="Arial" w:hAnsi="Arial"/>
          <w:sz w:val="16"/>
          <w:szCs w:val="16"/>
          <w:color w:val="auto"/>
        </w:rPr>
        <w:t>We believe we have established a leadership position in allogeneic T cell therapy. In April 2018, we acquired certain assets from Pfizer Inc. (Pfizer), including strategic license and collaboration agreements and other intellectual property related to the development and administration of allogeneic CAR T cells for the treatment of cancer. We have an exclusive collaboration with Servier to develop and commercialize ALLO-501 and ALLO-501A, and we hold the commercial rights to these product candidates in the United States. We also have an exclusive worldwide license from Cellectis to its TALEN gene-editing technology for the development of allogeneic T cell product candidates directed against 15 different cancer antigens. Our collaboration with Servier is intended to give us access to TALEN gene-editing technology for all product candidates we are co-developing. In connection with the Pfizer asset acquisition, we hired a team of employees from Pfizer, who are primarily research and technical operation employees and were leading the research and development of our product candidates and next generation gene engineering and cell engineering technologies at Pfizer.</w:t>
      </w:r>
    </w:p>
    <w:p>
      <w:pPr>
        <w:spacing w:after="0" w:line="195" w:lineRule="exact"/>
        <w:rPr>
          <w:sz w:val="20"/>
          <w:szCs w:val="20"/>
          <w:color w:val="auto"/>
        </w:rPr>
      </w:pPr>
    </w:p>
    <w:p>
      <w:pPr>
        <w:ind w:right="140" w:firstLine="810"/>
        <w:spacing w:after="0" w:line="239" w:lineRule="auto"/>
        <w:rPr>
          <w:sz w:val="20"/>
          <w:szCs w:val="20"/>
          <w:color w:val="auto"/>
        </w:rPr>
      </w:pPr>
      <w:r>
        <w:rPr>
          <w:rFonts w:ascii="Arial" w:cs="Arial" w:eastAsia="Arial" w:hAnsi="Arial"/>
          <w:sz w:val="18"/>
          <w:szCs w:val="18"/>
          <w:color w:val="auto"/>
        </w:rPr>
        <w:t>Our world-class management team has significant experience in immuno-oncology and in progressing products from early stage research to clinical trials, and ultimately to regulatory approval and commercialization. In particular, both Dr. Belldegrun and Dr. Chang led the development and approval of Yescarta at Kite. Additionally, our Executive Vice President of Research and Development and Chief Medical Officer, Dr. Rafael Amado, has more than 15 years of experience in biotechnology and he most recently served as President, Research and Development, at Adaptimmune Therapeutics plc, a T cell therapy company. Our Chief Technical Officer, Alison Moore, Ph.D., has over 25 years of experience in biotechnology and was previously Senior Vice President, Process Development at Amgen, where she led the development, deployment and oversight of manufacturing for approximately 80 multi-modality assets.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56" w:lineRule="exact"/>
        <w:rPr>
          <w:sz w:val="20"/>
          <w:szCs w:val="20"/>
          <w:color w:val="auto"/>
        </w:rPr>
      </w:pPr>
    </w:p>
    <w:p>
      <w:pPr>
        <w:ind w:right="200" w:firstLine="810"/>
        <w:spacing w:after="0" w:line="284" w:lineRule="auto"/>
        <w:rPr>
          <w:sz w:val="20"/>
          <w:szCs w:val="20"/>
          <w:color w:val="auto"/>
        </w:rPr>
      </w:pPr>
      <w:r>
        <w:rPr>
          <w:rFonts w:ascii="Arial" w:cs="Arial" w:eastAsia="Arial" w:hAnsi="Arial"/>
          <w:sz w:val="16"/>
          <w:szCs w:val="16"/>
          <w:color w:val="auto"/>
        </w:rPr>
        <w:t>Our goal is to maintain and build upon our leadership position in allogeneic T cell therapy. We plan to rapidly develop and, if approved, commercialize allogeneic T cell products for the treatment of cancer that can be delivered faster, more reliably and at greater scale than autologous T cell therapies. We believe achieving this goal could result in allogeneic T cell therapy becoming a standard of care in cancer treatment and enable us to make potentially curative therapies more readily accessible to more patients throughout the world. Key elements of our strategy include: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660" w:right="80" w:hanging="328"/>
        <w:spacing w:after="0" w:line="210"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Capitalize on a validated target and our leadership in engineered allogeneic anti-CD19 CAR T cell product candidates. </w:t>
      </w:r>
      <w:r>
        <w:rPr>
          <w:rFonts w:ascii="Arial" w:cs="Arial" w:eastAsia="Arial" w:hAnsi="Arial"/>
          <w:sz w:val="18"/>
          <w:szCs w:val="18"/>
          <w:color w:val="auto"/>
        </w:rPr>
        <w:t>Autologous anti-CD19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 T cell therapies, such as Kymriah and Yescarta, have emerged as potentially curative therapies for B-cell lymphomas and leukemias. We believe developing allogeneic CAR T cell product candidates targeting CD19 is the next frontier in delivering potentially curative therapies against B-cell lymphomas and leukemias. We are focused on advancing ALLO-501A and plan to proceed to the Phase 2 portion of the ALPHA2 trial in mid-2022.</w:t>
      </w:r>
    </w:p>
    <w:p>
      <w:pPr>
        <w:spacing w:after="0" w:line="211" w:lineRule="exact"/>
        <w:rPr>
          <w:rFonts w:ascii="Arial" w:cs="Arial" w:eastAsia="Arial" w:hAnsi="Arial"/>
          <w:sz w:val="22"/>
          <w:szCs w:val="22"/>
          <w:color w:val="auto"/>
        </w:rPr>
      </w:pPr>
    </w:p>
    <w:p>
      <w:pPr>
        <w:ind w:left="660" w:hanging="328"/>
        <w:spacing w:after="0" w:line="222" w:lineRule="auto"/>
        <w:tabs>
          <w:tab w:leader="none" w:pos="655" w:val="left"/>
        </w:tabs>
        <w:numPr>
          <w:ilvl w:val="0"/>
          <w:numId w:val="12"/>
        </w:numPr>
        <w:rPr>
          <w:rFonts w:ascii="Arial" w:cs="Arial" w:eastAsia="Arial" w:hAnsi="Arial"/>
          <w:sz w:val="21"/>
          <w:szCs w:val="21"/>
          <w:color w:val="auto"/>
        </w:rPr>
      </w:pPr>
      <w:r>
        <w:rPr>
          <w:rFonts w:ascii="Arial" w:cs="Arial" w:eastAsia="Arial" w:hAnsi="Arial"/>
          <w:sz w:val="17"/>
          <w:szCs w:val="17"/>
          <w:b w:val="1"/>
          <w:bCs w:val="1"/>
          <w:i w:val="1"/>
          <w:iCs w:val="1"/>
          <w:color w:val="auto"/>
        </w:rPr>
        <w:t>Expand our leadership position within hematologic indications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to ALLO-501A, we plan to advance our near-term pipeline against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hematologic targets where there remains a high unmet need. For example, we believe BCMA is a promising target, as initial results from the UNIVERSAL trial have shown encouraging efficacy and manageable safety. We also plan to develop additional allogeneic T cell product candidates targeting other antigens found on hematologic malignancies, including ALLO-316 targeting CD70, which may be applicable to multiple hematological malignancies, and ALLO-819 targeting FLT3 for the treatment of AML.</w:t>
      </w:r>
    </w:p>
    <w:p>
      <w:pPr>
        <w:spacing w:after="0" w:line="214" w:lineRule="exact"/>
        <w:rPr>
          <w:rFonts w:ascii="Arial" w:cs="Arial" w:eastAsia="Arial" w:hAnsi="Arial"/>
          <w:sz w:val="21"/>
          <w:szCs w:val="21"/>
          <w:color w:val="auto"/>
        </w:rPr>
      </w:pPr>
    </w:p>
    <w:p>
      <w:pPr>
        <w:ind w:left="660" w:right="20" w:hanging="328"/>
        <w:spacing w:after="0" w:line="220" w:lineRule="auto"/>
        <w:tabs>
          <w:tab w:leader="none" w:pos="655" w:val="left"/>
        </w:tabs>
        <w:numPr>
          <w:ilvl w:val="0"/>
          <w:numId w:val="12"/>
        </w:numPr>
        <w:rPr>
          <w:rFonts w:ascii="Arial" w:cs="Arial" w:eastAsia="Arial" w:hAnsi="Arial"/>
          <w:sz w:val="21"/>
          <w:szCs w:val="21"/>
          <w:color w:val="auto"/>
        </w:rPr>
      </w:pPr>
      <w:r>
        <w:rPr>
          <w:rFonts w:ascii="Arial" w:cs="Arial" w:eastAsia="Arial" w:hAnsi="Arial"/>
          <w:sz w:val="17"/>
          <w:szCs w:val="17"/>
          <w:b w:val="1"/>
          <w:bCs w:val="1"/>
          <w:i w:val="1"/>
          <w:iCs w:val="1"/>
          <w:color w:val="auto"/>
        </w:rPr>
        <w:t>Build state-of-the-art gene engineering and cell manufacturing capabilities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allogeneic T cell product candidates involves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of complex and precise steps. We believe a critical component to our success will be to leverage and expand our proprietary manufacturing know-how, expertise and capacity. In February 2019, we entered into a lease for approximately 118,000 square feet to develop a state-of-the-art cell therapy manufacturing facility in Newark, California. We completed the build-out of the majority of the facility at the end of 2020 and commenced manufacturing under cGMP in 2021. We believe establishing our own fully integrated manufacturing operations and infrastructure will allow us to improve the manufacturing process, limit our reliance on contract manufacturing organizations (CMOs) and more rapidly advance the commercialization of any of our product candidates that receive regulatory approval.</w:t>
      </w:r>
    </w:p>
    <w:p>
      <w:pPr>
        <w:spacing w:after="0" w:line="206" w:lineRule="exact"/>
        <w:rPr>
          <w:rFonts w:ascii="Arial" w:cs="Arial" w:eastAsia="Arial" w:hAnsi="Arial"/>
          <w:sz w:val="21"/>
          <w:szCs w:val="21"/>
          <w:color w:val="auto"/>
        </w:rPr>
      </w:pPr>
    </w:p>
    <w:p>
      <w:pPr>
        <w:ind w:left="660" w:right="60" w:hanging="328"/>
        <w:spacing w:after="0" w:line="252"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into solid tumor indications with high unmet need and leverage next generation technologies to advance our platform. </w:t>
      </w:r>
      <w:r>
        <w:rPr>
          <w:rFonts w:ascii="Arial" w:cs="Arial" w:eastAsia="Arial" w:hAnsi="Arial"/>
          <w:sz w:val="17"/>
          <w:szCs w:val="17"/>
          <w:color w:val="auto"/>
        </w:rPr>
        <w:t>We plan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advance the research and development of product candidates directed against a broad portfolio of solid tumor targets, including CD70 for the treatment of ccRCC and DLL3 for the treatment of small cell lung cancer and other aggressive neuroendocrine tumors. We also plan to leverage next generation technologies to make more potent allogeneic CAR T cells and improve the characteristics of our product candidates. For example, we are advancing a clinical trial of a TurboCAR product candidate, ALLO-605, in R/R multiple myeloma. We are also advancing modified next-generation TurboCARs to overcome some of the challenges of the solid tumor microenvironment. In addition, we are investigating next-generation technologies to overcome rejection of allogeneic CAR T cells by the patient immune system and to increase specificity of CAR T activity to avoid potential normal tissue toxicities associated with certain solid tumor targets. In collaboration with Notch Therapeutics Inc. (Notch), we are researching and developing a process for production of product candidates derived from induced pluripotent stem cells (iPSCs). We believe iPSCs may provide renewable starting material for our allogeneic CAR T cell product candidates that could allow for improved efficiency of gene editing, greater scalability of supply, product homogeneity and more streamlined manufacturing. In addition, we continually survey the scientific and industry landscape for opportunities to license, partner or acquire technologies that may help us advance current or new cell therapies for the benefit of patients.</w:t>
      </w:r>
    </w:p>
    <w:p>
      <w:pPr>
        <w:spacing w:after="0" w:line="207" w:lineRule="exact"/>
        <w:rPr>
          <w:rFonts w:ascii="Arial" w:cs="Arial" w:eastAsia="Arial" w:hAnsi="Arial"/>
          <w:sz w:val="17"/>
          <w:szCs w:val="17"/>
          <w:color w:val="auto"/>
        </w:rPr>
      </w:pPr>
    </w:p>
    <w:p>
      <w:pPr>
        <w:ind w:left="660" w:right="40" w:hanging="328"/>
        <w:spacing w:after="0"/>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 the development of our product candidates across geographies</w:t>
      </w:r>
      <w:r>
        <w:rPr>
          <w:rFonts w:ascii="Arial" w:cs="Arial" w:eastAsia="Arial" w:hAnsi="Arial"/>
          <w:sz w:val="18"/>
          <w:szCs w:val="18"/>
          <w:color w:val="auto"/>
        </w:rPr>
        <w:t>. We are positioning ourselves to pursue clinical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candidates in additional markets around the world. Subject to our clinical progress in the United States, we plan to initiate clinical trials in Europe. In addition, in December 2020, we jointly formed Allogene Overland Biopharm (CY) Limited for the development, manufacturing and commercialization of certain of our product candidates targeting BCMA, CD70, FLT3, and DLL3 in China, Taiwan, South Korea and Singapore. We plan to support the operations of this joint venture as it advances and we may selectively partner with other third parties to develop and commercialize our product candidates in additional countries.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Allogeneic T Cell Therapy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Immune System and Cancer</w:t>
      </w:r>
    </w:p>
    <w:p>
      <w:pPr>
        <w:spacing w:after="0" w:line="252" w:lineRule="exact"/>
        <w:rPr>
          <w:sz w:val="20"/>
          <w:szCs w:val="20"/>
          <w:color w:val="auto"/>
        </w:rPr>
      </w:pPr>
    </w:p>
    <w:p>
      <w:pPr>
        <w:jc w:val="both"/>
        <w:ind w:right="320" w:firstLine="810"/>
        <w:spacing w:after="0" w:line="248" w:lineRule="auto"/>
        <w:rPr>
          <w:sz w:val="20"/>
          <w:szCs w:val="20"/>
          <w:color w:val="auto"/>
        </w:rPr>
      </w:pPr>
      <w:r>
        <w:rPr>
          <w:rFonts w:ascii="Arial" w:cs="Arial" w:eastAsia="Arial" w:hAnsi="Arial"/>
          <w:sz w:val="18"/>
          <w:szCs w:val="18"/>
          <w:color w:val="auto"/>
        </w:rPr>
        <w:t>White blood cells are a component of the immune system and are responsible for defending the body against infectious pathogens and other foreign material. T cells are a type of white blood cell and are involved in both sensing and killing infected or abnormal cells, including cancer cells, as well as coordinating the activation of other cells in an immune response.</w:t>
      </w:r>
    </w:p>
    <w:p>
      <w:pPr>
        <w:spacing w:after="0" w:line="209" w:lineRule="exact"/>
        <w:rPr>
          <w:sz w:val="20"/>
          <w:szCs w:val="20"/>
          <w:color w:val="auto"/>
        </w:rPr>
      </w:pPr>
    </w:p>
    <w:p>
      <w:pPr>
        <w:ind w:right="240" w:firstLine="810"/>
        <w:spacing w:after="0" w:line="261" w:lineRule="auto"/>
        <w:rPr>
          <w:sz w:val="20"/>
          <w:szCs w:val="20"/>
          <w:color w:val="auto"/>
        </w:rPr>
      </w:pPr>
      <w:r>
        <w:rPr>
          <w:rFonts w:ascii="Arial" w:cs="Arial" w:eastAsia="Arial" w:hAnsi="Arial"/>
          <w:sz w:val="18"/>
          <w:szCs w:val="18"/>
          <w:color w:val="auto"/>
        </w:rPr>
        <w:t>T cells can be distinguished from other white blood cells by T cell receptors present on their cell surface. These receptors contribute to tumor surveillance by directing T cells to recognize and destroy cancerous cells. When T cells with</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cancer-specific receptors are absent, present in low numbers, of poor quality or rendered inactive by suppressive mechanisms, cancer may grow and spread. In addition, standard of care treatments, such as chemotherapy regimens, as well as disease specific factors can damage the patient’s immune system, thereby inhibiting the ability of T cells to kill cancer.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T Cell Therapies</w:t>
      </w:r>
    </w:p>
    <w:p>
      <w:pPr>
        <w:spacing w:after="0" w:line="252" w:lineRule="exact"/>
        <w:rPr>
          <w:sz w:val="20"/>
          <w:szCs w:val="20"/>
          <w:color w:val="auto"/>
        </w:rPr>
      </w:pPr>
    </w:p>
    <w:p>
      <w:pPr>
        <w:ind w:right="140" w:firstLine="810"/>
        <w:spacing w:after="0" w:line="291" w:lineRule="auto"/>
        <w:rPr>
          <w:sz w:val="20"/>
          <w:szCs w:val="20"/>
          <w:color w:val="auto"/>
        </w:rPr>
      </w:pPr>
      <w:r>
        <w:rPr>
          <w:rFonts w:ascii="Arial" w:cs="Arial" w:eastAsia="Arial" w:hAnsi="Arial"/>
          <w:sz w:val="17"/>
          <w:szCs w:val="17"/>
          <w:color w:val="auto"/>
        </w:rPr>
        <w:t>Engineered T cell therapy is a type of immunotherapy treatment whereby human T cells are removed from the body and engineered to express CARs which, when infused into a patient, may allow the recognition and destruction of cancer cells in a targeted manner.</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Chimeric Antigen Receptors (CARs)</w:t>
      </w:r>
    </w:p>
    <w:p>
      <w:pPr>
        <w:spacing w:after="0" w:line="239" w:lineRule="exact"/>
        <w:rPr>
          <w:sz w:val="20"/>
          <w:szCs w:val="20"/>
          <w:color w:val="auto"/>
        </w:rPr>
      </w:pPr>
    </w:p>
    <w:p>
      <w:pPr>
        <w:ind w:right="40" w:firstLine="810"/>
        <w:spacing w:after="0" w:line="324" w:lineRule="auto"/>
        <w:rPr>
          <w:sz w:val="20"/>
          <w:szCs w:val="20"/>
          <w:color w:val="auto"/>
        </w:rPr>
      </w:pPr>
      <w:r>
        <w:rPr>
          <w:rFonts w:ascii="Arial" w:cs="Arial" w:eastAsia="Arial" w:hAnsi="Arial"/>
          <w:sz w:val="16"/>
          <w:szCs w:val="16"/>
          <w:color w:val="auto"/>
        </w:rPr>
        <w:t>CARs are engineered molecules that, when present on the surface of a T cell, enable the T cell to recognize specific proteins or antigens that are present on the surface of other cells. The CAR in our product candidates is comprised of a single chain protein that contains the following elements:</w:t>
      </w:r>
    </w:p>
    <w:p>
      <w:pPr>
        <w:spacing w:after="0" w:line="165" w:lineRule="exact"/>
        <w:rPr>
          <w:sz w:val="20"/>
          <w:szCs w:val="20"/>
          <w:color w:val="auto"/>
        </w:rPr>
      </w:pPr>
    </w:p>
    <w:p>
      <w:pPr>
        <w:ind w:left="660" w:right="40" w:hanging="328"/>
        <w:spacing w:after="0" w:line="214"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 xml:space="preserve">Target Binding Domain: </w:t>
      </w:r>
      <w:r>
        <w:rPr>
          <w:rFonts w:ascii="Arial" w:cs="Arial" w:eastAsia="Arial" w:hAnsi="Arial"/>
          <w:sz w:val="18"/>
          <w:szCs w:val="18"/>
          <w:color w:val="auto"/>
        </w:rPr>
        <w:t>At one end of the CAR is a target binding domain that is specific to a target antigen. This domain extends out onto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of the engineered T cell, where it can recognize the target antigens. The target binding domain consists of a single-chain variable fragment (scFv) of an antibody comprising variable domains of heavy and light chains joined by a short linker.</w:t>
      </w:r>
    </w:p>
    <w:p>
      <w:pPr>
        <w:spacing w:after="0" w:line="215" w:lineRule="exact"/>
        <w:rPr>
          <w:rFonts w:ascii="Arial" w:cs="Arial" w:eastAsia="Arial" w:hAnsi="Arial"/>
          <w:sz w:val="22"/>
          <w:szCs w:val="22"/>
          <w:color w:val="auto"/>
        </w:rPr>
      </w:pPr>
    </w:p>
    <w:p>
      <w:pPr>
        <w:ind w:left="660" w:right="60" w:hanging="328"/>
        <w:spacing w:after="0" w:line="239" w:lineRule="auto"/>
        <w:tabs>
          <w:tab w:leader="none" w:pos="655" w:val="left"/>
        </w:tabs>
        <w:numPr>
          <w:ilvl w:val="0"/>
          <w:numId w:val="13"/>
        </w:numPr>
        <w:rPr>
          <w:rFonts w:ascii="Arial" w:cs="Arial" w:eastAsia="Arial" w:hAnsi="Arial"/>
          <w:sz w:val="19"/>
          <w:szCs w:val="19"/>
          <w:color w:val="auto"/>
        </w:rPr>
      </w:pPr>
      <w:r>
        <w:rPr>
          <w:rFonts w:ascii="Arial" w:cs="Arial" w:eastAsia="Arial" w:hAnsi="Arial"/>
          <w:sz w:val="16"/>
          <w:szCs w:val="16"/>
          <w:i w:val="1"/>
          <w:iCs w:val="1"/>
          <w:color w:val="auto"/>
        </w:rPr>
        <w:t xml:space="preserve">Transmembrane Domain and Hinge: </w:t>
      </w:r>
      <w:r>
        <w:rPr>
          <w:rFonts w:ascii="Arial" w:cs="Arial" w:eastAsia="Arial" w:hAnsi="Arial"/>
          <w:sz w:val="16"/>
          <w:szCs w:val="16"/>
          <w:color w:val="auto"/>
        </w:rPr>
        <w:t>This middle portion of the CAR links the scFv target binding domain to the activating elements inside the</w:t>
      </w:r>
      <w:r>
        <w:rPr>
          <w:rFonts w:ascii="Arial" w:cs="Arial" w:eastAsia="Arial" w:hAnsi="Arial"/>
          <w:sz w:val="16"/>
          <w:szCs w:val="16"/>
          <w:i w:val="1"/>
          <w:iCs w:val="1"/>
          <w:color w:val="auto"/>
        </w:rPr>
        <w:t xml:space="preserve"> </w:t>
      </w:r>
      <w:r>
        <w:rPr>
          <w:rFonts w:ascii="Arial" w:cs="Arial" w:eastAsia="Arial" w:hAnsi="Arial"/>
          <w:sz w:val="16"/>
          <w:szCs w:val="16"/>
          <w:color w:val="auto"/>
        </w:rPr>
        <w:t>cell. This transmembrane domain “anchors” the CAR in the cell’s membrane. In addition, the transmembrane domain may also interact with other transmembrane proteins that enhance CAR function. The hinge domain, which extends to the exterior of the cell, connects the transmembrane domain to scFv and provides structural flexibility to facilitate optimal binding of scFv to the target antigen on the cancer cell’s surface.</w:t>
      </w:r>
    </w:p>
    <w:p>
      <w:pPr>
        <w:spacing w:after="0" w:line="218" w:lineRule="exact"/>
        <w:rPr>
          <w:rFonts w:ascii="Arial" w:cs="Arial" w:eastAsia="Arial" w:hAnsi="Arial"/>
          <w:sz w:val="19"/>
          <w:szCs w:val="19"/>
          <w:color w:val="auto"/>
        </w:rPr>
      </w:pPr>
    </w:p>
    <w:p>
      <w:pPr>
        <w:ind w:left="660" w:hanging="328"/>
        <w:spacing w:after="0" w:line="210"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 xml:space="preserve">Activating Domains: </w:t>
      </w:r>
      <w:r>
        <w:rPr>
          <w:rFonts w:ascii="Arial" w:cs="Arial" w:eastAsia="Arial" w:hAnsi="Arial"/>
          <w:sz w:val="18"/>
          <w:szCs w:val="18"/>
          <w:color w:val="auto"/>
        </w:rPr>
        <w:t>The other end of transmembrane domain, inside the T cell, is connected to two contiguous domains responsible for activating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 cell when the CAR binds to the target cell. The CD3 zeta domain delivers an essential primary signal within the T cell, and the 41BB domain delivers an additional, co-stimulatory signal. Together, these signals trigger T cell activation, resulting in proliferation of the CAR T cells and killing of the cancer cell. In addition, activated CAR T cells stimulate the local secretion of cytokines and other molecules that can recruit and activate additional immune cells to potentiate killing of the cancer cells.</w:t>
      </w:r>
    </w:p>
    <w:p>
      <w:pPr>
        <w:spacing w:after="0" w:line="202" w:lineRule="exact"/>
        <w:rPr>
          <w:sz w:val="20"/>
          <w:szCs w:val="20"/>
          <w:color w:val="auto"/>
        </w:rPr>
      </w:pPr>
    </w:p>
    <w:p>
      <w:pPr>
        <w:ind w:right="80" w:firstLine="810"/>
        <w:spacing w:after="0" w:line="241" w:lineRule="auto"/>
        <w:rPr>
          <w:sz w:val="20"/>
          <w:szCs w:val="20"/>
          <w:color w:val="auto"/>
        </w:rPr>
      </w:pPr>
      <w:r>
        <w:rPr>
          <w:rFonts w:ascii="Arial" w:cs="Arial" w:eastAsia="Arial" w:hAnsi="Arial"/>
          <w:sz w:val="18"/>
          <w:szCs w:val="18"/>
          <w:color w:val="auto"/>
        </w:rPr>
        <w:t>In addition to the domains described above, ALLO-715 possesses two rituximab-recognition domains between the scFv and the hinge which allow it to be recognized and eliminated by rituximab. ALLO-501 possesses rituximab recognition domains in a separate polypeptide termed RQR8 that is co-expressed with the CAR. We have removed rituximab recognition domains in ALLO-501A, which we believe will potentially facilitate treatment of more patients, as rituximab is a typical part of a treatment regimen for a patient with NHL. The figure below shows the constructs that support our lead product candidates in clinical development: ALLO-501, ALLO-501A and ALLO-715.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146685</wp:posOffset>
            </wp:positionV>
            <wp:extent cx="5863590" cy="2271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Allogeneic T Cell Therapies: The Next Revolution</w:t>
      </w:r>
    </w:p>
    <w:p>
      <w:pPr>
        <w:spacing w:after="0" w:line="243" w:lineRule="exact"/>
        <w:rPr>
          <w:sz w:val="20"/>
          <w:szCs w:val="20"/>
          <w:color w:val="auto"/>
        </w:rPr>
      </w:pPr>
    </w:p>
    <w:p>
      <w:pPr>
        <w:ind w:right="60" w:firstLine="810"/>
        <w:spacing w:after="0" w:line="261" w:lineRule="auto"/>
        <w:rPr>
          <w:sz w:val="20"/>
          <w:szCs w:val="20"/>
          <w:color w:val="auto"/>
        </w:rPr>
      </w:pPr>
      <w:r>
        <w:rPr>
          <w:rFonts w:ascii="Arial" w:cs="Arial" w:eastAsia="Arial" w:hAnsi="Arial"/>
          <w:sz w:val="18"/>
          <w:szCs w:val="18"/>
          <w:color w:val="auto"/>
        </w:rPr>
        <w:t>There are two primary approaches to engineered T cell therapy: autologous and allogeneic. Autologous therapies use engineered T cells derived from the individual patient, while allogeneic therapies use engineered T cells derived from unrelated healthy donors.</w:t>
      </w:r>
    </w:p>
    <w:p>
      <w:pPr>
        <w:spacing w:after="0" w:line="184" w:lineRule="exact"/>
        <w:rPr>
          <w:sz w:val="20"/>
          <w:szCs w:val="20"/>
          <w:color w:val="auto"/>
        </w:rPr>
      </w:pPr>
    </w:p>
    <w:p>
      <w:pPr>
        <w:ind w:firstLine="810"/>
        <w:spacing w:after="0" w:line="239" w:lineRule="auto"/>
        <w:rPr>
          <w:sz w:val="20"/>
          <w:szCs w:val="20"/>
          <w:color w:val="auto"/>
        </w:rPr>
      </w:pPr>
      <w:r>
        <w:rPr>
          <w:rFonts w:ascii="Arial" w:cs="Arial" w:eastAsia="Arial" w:hAnsi="Arial"/>
          <w:sz w:val="17"/>
          <w:szCs w:val="17"/>
          <w:color w:val="auto"/>
        </w:rPr>
        <w:t>The autologous approach, pioneered by Novartis and Kite, has been highly successful in engineering patients’ immune systems to fight cancer, in particular CD19 positive cancers, resulting in significant remission rates. Autologous products are manufactured by first collecting a patient’s white blood cells, through a process known as leukapheresis, separating the T cells from the patient’s blood sample and proliferating the isolated T cells. After the cells have multiplied, the CAR construct is virally transduced into the T cells and the engineered T cells are then propagated until a sufficient number of cells are available for infusion into the patient. Finally, the engineered T cells are frozen, and then shipped back to the clinical center for administration to the patient. The process from leukapheresis to delivery to the clinical center takes approximately two to four weeks. Obtaining a manufacturing slot, collecting patient cells, and scheduling can extend the time to treatment by additional weeks.</w:t>
      </w:r>
    </w:p>
    <w:p>
      <w:pPr>
        <w:spacing w:after="0" w:line="217" w:lineRule="exact"/>
        <w:rPr>
          <w:sz w:val="20"/>
          <w:szCs w:val="20"/>
          <w:color w:val="auto"/>
        </w:rPr>
      </w:pPr>
    </w:p>
    <w:p>
      <w:pPr>
        <w:ind w:right="60" w:firstLine="810"/>
        <w:spacing w:after="0" w:line="261" w:lineRule="auto"/>
        <w:rPr>
          <w:sz w:val="20"/>
          <w:szCs w:val="20"/>
          <w:color w:val="auto"/>
        </w:rPr>
      </w:pPr>
      <w:r>
        <w:rPr>
          <w:rFonts w:ascii="Arial" w:cs="Arial" w:eastAsia="Arial" w:hAnsi="Arial"/>
          <w:sz w:val="18"/>
          <w:szCs w:val="18"/>
          <w:color w:val="auto"/>
        </w:rPr>
        <w:t>While the autologous approach has been revolutionary, demonstrating compelling efficacy in many patients, it is burdened by the following key limitations:</w:t>
      </w:r>
    </w:p>
    <w:p>
      <w:pPr>
        <w:spacing w:after="0" w:line="225" w:lineRule="exact"/>
        <w:rPr>
          <w:sz w:val="20"/>
          <w:szCs w:val="20"/>
          <w:color w:val="auto"/>
        </w:rPr>
      </w:pPr>
    </w:p>
    <w:p>
      <w:pPr>
        <w:ind w:left="660" w:right="60" w:hanging="328"/>
        <w:spacing w:after="0" w:line="231" w:lineRule="auto"/>
        <w:tabs>
          <w:tab w:leader="none" w:pos="655" w:val="left"/>
        </w:tabs>
        <w:numPr>
          <w:ilvl w:val="0"/>
          <w:numId w:val="14"/>
        </w:numPr>
        <w:rPr>
          <w:rFonts w:ascii="Arial" w:cs="Arial" w:eastAsia="Arial" w:hAnsi="Arial"/>
          <w:sz w:val="21"/>
          <w:szCs w:val="21"/>
          <w:color w:val="auto"/>
        </w:rPr>
      </w:pPr>
      <w:r>
        <w:rPr>
          <w:rFonts w:ascii="Arial" w:cs="Arial" w:eastAsia="Arial" w:hAnsi="Arial"/>
          <w:sz w:val="17"/>
          <w:szCs w:val="17"/>
          <w:b w:val="1"/>
          <w:bCs w:val="1"/>
          <w:i w:val="1"/>
          <w:iCs w:val="1"/>
          <w:color w:val="auto"/>
        </w:rPr>
        <w:t>Lengthy Delivery Time</w:t>
      </w:r>
      <w:r>
        <w:rPr>
          <w:rFonts w:ascii="Arial" w:cs="Arial" w:eastAsia="Arial" w:hAnsi="Arial"/>
          <w:sz w:val="17"/>
          <w:szCs w:val="17"/>
          <w:color w:val="auto"/>
        </w:rPr>
        <w:t>. Due to the individualized manufacturing process, patients may wait multiple weeks to be treated with their engineered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cells. As a result, in the registrational trials for Yescarta and Kymriah, up to 31% of intended patients ultimately did not receive treatment primarily due to interval complications from the underlying disease prior to delivery of therapy or manufacturing failures. In addition, certain patients being treated with autologous product candidates have required bridging therapy as they wait for the manufacture of their T cells. Bridging therapy to control disease may increase some cumulative or synergistic toxicities for the patients. Other rapidly progressing patients may not be considered candidates for autologous CAR T given lengthy waiting times.</w:t>
      </w:r>
    </w:p>
    <w:p>
      <w:pPr>
        <w:spacing w:after="0" w:line="230" w:lineRule="exact"/>
        <w:rPr>
          <w:rFonts w:ascii="Arial" w:cs="Arial" w:eastAsia="Arial" w:hAnsi="Arial"/>
          <w:sz w:val="21"/>
          <w:szCs w:val="21"/>
          <w:color w:val="auto"/>
        </w:rPr>
      </w:pPr>
    </w:p>
    <w:p>
      <w:pPr>
        <w:ind w:left="660" w:right="60" w:hanging="328"/>
        <w:spacing w:after="0" w:line="210"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b w:val="1"/>
          <w:bCs w:val="1"/>
          <w:i w:val="1"/>
          <w:iCs w:val="1"/>
          <w:color w:val="auto"/>
        </w:rPr>
        <w:t>Variable Potency</w:t>
      </w:r>
      <w:r>
        <w:rPr>
          <w:rFonts w:ascii="Arial" w:cs="Arial" w:eastAsia="Arial" w:hAnsi="Arial"/>
          <w:sz w:val="18"/>
          <w:szCs w:val="18"/>
          <w:color w:val="auto"/>
        </w:rPr>
        <w:t>. In some cases, patients may have T cells that have been damaged or weakened due to prior chemotherapy or hematopoietic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stem-cell transplant. Compromised T cells may not proliferate well during manufacturing or may produce cells with insufficient potency that cannot be used for patient treatment, resulting in manufacturing failures, or that can show poor expansion and activity in patients. In addition, the individualized nature of autologous manufacturing, together with the variability in patients’ T cells, may lead to variable potency of manufactured T cells, and this variability may cause unpredictable treatment outcomes.</w:t>
      </w:r>
    </w:p>
    <w:p>
      <w:pPr>
        <w:spacing w:after="0" w:line="215" w:lineRule="exact"/>
        <w:rPr>
          <w:rFonts w:ascii="Arial" w:cs="Arial" w:eastAsia="Arial" w:hAnsi="Arial"/>
          <w:sz w:val="22"/>
          <w:szCs w:val="22"/>
          <w:color w:val="auto"/>
        </w:rPr>
      </w:pPr>
    </w:p>
    <w:p>
      <w:pPr>
        <w:ind w:left="660" w:right="200" w:hanging="328"/>
        <w:spacing w:after="0" w:line="214"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b w:val="1"/>
          <w:bCs w:val="1"/>
          <w:i w:val="1"/>
          <w:iCs w:val="1"/>
          <w:color w:val="auto"/>
        </w:rPr>
        <w:t>Manufacturing Failures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Autologous cell manufacturing sometimes encounters production failures. This can mean that a patient never receives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as additional patient starting material may not be available or the patient may no longer be eligible due to advanced disease. Furthermore, retreatment can be difficult due to a limited supply of usable patient starting material.</w:t>
      </w:r>
    </w:p>
    <w:p>
      <w:pPr>
        <w:spacing w:after="0" w:line="215" w:lineRule="exact"/>
        <w:rPr>
          <w:rFonts w:ascii="Arial" w:cs="Arial" w:eastAsia="Arial" w:hAnsi="Arial"/>
          <w:sz w:val="22"/>
          <w:szCs w:val="22"/>
          <w:color w:val="auto"/>
        </w:rPr>
      </w:pPr>
    </w:p>
    <w:p>
      <w:pPr>
        <w:ind w:left="660" w:right="100" w:hanging="328"/>
        <w:spacing w:after="0" w:line="237" w:lineRule="auto"/>
        <w:tabs>
          <w:tab w:leader="none" w:pos="655" w:val="left"/>
        </w:tabs>
        <w:numPr>
          <w:ilvl w:val="0"/>
          <w:numId w:val="14"/>
        </w:numPr>
        <w:rPr>
          <w:rFonts w:ascii="Arial" w:cs="Arial" w:eastAsia="Arial" w:hAnsi="Arial"/>
          <w:sz w:val="19"/>
          <w:szCs w:val="19"/>
          <w:color w:val="auto"/>
        </w:rPr>
      </w:pPr>
      <w:r>
        <w:rPr>
          <w:rFonts w:ascii="Arial" w:cs="Arial" w:eastAsia="Arial" w:hAnsi="Arial"/>
          <w:sz w:val="16"/>
          <w:szCs w:val="16"/>
          <w:b w:val="1"/>
          <w:bCs w:val="1"/>
          <w:i w:val="1"/>
          <w:iCs w:val="1"/>
          <w:color w:val="auto"/>
        </w:rPr>
        <w:t>High Production Cost</w:t>
      </w:r>
      <w:r>
        <w:rPr>
          <w:rFonts w:ascii="Arial" w:cs="Arial" w:eastAsia="Arial" w:hAnsi="Arial"/>
          <w:sz w:val="16"/>
          <w:szCs w:val="16"/>
          <w:color w:val="auto"/>
        </w:rPr>
        <w:t>. The delivery of autologous T cell therapy is complicated due to the individualized nature of manufacturing, which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one patient to be treated from each manufacturing run and requires dedicated infrastructure to maintain a strict chain of custody and chain of identity of patient-by-patient material collection, manufacturing and delivery. The complex logistics add significant cost to the process and limit the ability to scale. Additionally, the collection of T cells through leukapheresis from each individual patient results in a time consuming and costly step in the autologous process. In part due to these logistics, autologous treatment is currently only available at select centers.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280670</wp:posOffset>
            </wp:positionV>
            <wp:extent cx="4200525" cy="2100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0052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00" w:firstLine="810"/>
        <w:spacing w:after="0" w:line="248" w:lineRule="auto"/>
        <w:rPr>
          <w:sz w:val="20"/>
          <w:szCs w:val="20"/>
          <w:color w:val="auto"/>
        </w:rPr>
      </w:pPr>
      <w:r>
        <w:rPr>
          <w:rFonts w:ascii="Arial" w:cs="Arial" w:eastAsia="Arial" w:hAnsi="Arial"/>
          <w:sz w:val="18"/>
          <w:szCs w:val="18"/>
          <w:color w:val="auto"/>
        </w:rPr>
        <w:t>Allogeneic engineered T cells are manufactured in a similar manner as autologous, but our manufacturing has two key differences: (1) our allogeneic T cells are derived from healthy donors, not cancer patients, and (2) our allogeneic T cells are genetically engineered to minimize the risk of GvHD and enable a window of persistence in the patient.</w:t>
      </w:r>
    </w:p>
    <w:p>
      <w:pPr>
        <w:spacing w:after="0" w:line="209" w:lineRule="exact"/>
        <w:rPr>
          <w:sz w:val="20"/>
          <w:szCs w:val="20"/>
          <w:color w:val="auto"/>
        </w:rPr>
      </w:pPr>
    </w:p>
    <w:p>
      <w:pPr>
        <w:ind w:right="420" w:firstLine="810"/>
        <w:spacing w:after="0" w:line="261" w:lineRule="auto"/>
        <w:rPr>
          <w:sz w:val="20"/>
          <w:szCs w:val="20"/>
          <w:color w:val="auto"/>
        </w:rPr>
      </w:pPr>
      <w:r>
        <w:rPr>
          <w:rFonts w:ascii="Arial" w:cs="Arial" w:eastAsia="Arial" w:hAnsi="Arial"/>
          <w:sz w:val="18"/>
          <w:szCs w:val="18"/>
          <w:color w:val="auto"/>
        </w:rPr>
        <w:t>Our approach is designed to provide the same intended curative outcome as autologous therapy, while offering the following potential key advantages:</w:t>
      </w:r>
    </w:p>
    <w:p>
      <w:pPr>
        <w:spacing w:after="0" w:line="211" w:lineRule="exact"/>
        <w:rPr>
          <w:sz w:val="20"/>
          <w:szCs w:val="20"/>
          <w:color w:val="auto"/>
        </w:rPr>
      </w:pPr>
    </w:p>
    <w:p>
      <w:pPr>
        <w:ind w:left="660" w:right="80" w:hanging="328"/>
        <w:spacing w:after="0" w:line="211"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b w:val="1"/>
          <w:bCs w:val="1"/>
          <w:i w:val="1"/>
          <w:iCs w:val="1"/>
          <w:color w:val="auto"/>
        </w:rPr>
        <w:t>Availability and Access</w:t>
      </w:r>
      <w:r>
        <w:rPr>
          <w:rFonts w:ascii="Arial" w:cs="Arial" w:eastAsia="Arial" w:hAnsi="Arial"/>
          <w:sz w:val="18"/>
          <w:szCs w:val="18"/>
          <w:color w:val="auto"/>
        </w:rPr>
        <w:t>. Starting with T cells from a healthy donor, we believe that at scale we can manufacture approximately 100 doses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allogeneic product that could be used in any eligible patient. Because our allogeneic product candidates are designed to be frozen and available off-the-shelf, they could potentially be readily shipped and administered to patients. We believe having an inventory of off-the-shelf allogeneic T cell products can also facilitate delivering multiple product doses to a patient over time.</w:t>
      </w:r>
    </w:p>
    <w:p>
      <w:pPr>
        <w:spacing w:after="0" w:line="217" w:lineRule="exact"/>
        <w:rPr>
          <w:rFonts w:ascii="Arial" w:cs="Arial" w:eastAsia="Arial" w:hAnsi="Arial"/>
          <w:sz w:val="22"/>
          <w:szCs w:val="22"/>
          <w:color w:val="auto"/>
        </w:rPr>
      </w:pPr>
    </w:p>
    <w:p>
      <w:pPr>
        <w:ind w:left="660" w:hanging="328"/>
        <w:spacing w:after="0" w:line="210"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b w:val="1"/>
          <w:bCs w:val="1"/>
          <w:i w:val="1"/>
          <w:iCs w:val="1"/>
          <w:color w:val="auto"/>
        </w:rPr>
        <w:t>Speed to Patient</w:t>
      </w:r>
      <w:r>
        <w:rPr>
          <w:rFonts w:ascii="Arial" w:cs="Arial" w:eastAsia="Arial" w:hAnsi="Arial"/>
          <w:sz w:val="18"/>
          <w:szCs w:val="18"/>
          <w:color w:val="auto"/>
        </w:rPr>
        <w:t>. Many patients with aggressive cancer or rapidly progressing cancer that is refractory to existing therapies may not have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to wait for autologous T cell treatment. Our allogeneic approach has the potential to create off-the-shelf product inventory, which could enable dosing of patients within days of a decision to treat. This would represent a significant reduction in patient wait time, potentially obviating the need for any bridging therapy and allowing the treatment of patients who are too sick to wait for the autologous therapy, and could improve patient outcomes.</w:t>
      </w:r>
    </w:p>
    <w:p>
      <w:pPr>
        <w:spacing w:after="0" w:line="215" w:lineRule="exact"/>
        <w:rPr>
          <w:rFonts w:ascii="Arial" w:cs="Arial" w:eastAsia="Arial" w:hAnsi="Arial"/>
          <w:sz w:val="22"/>
          <w:szCs w:val="22"/>
          <w:color w:val="auto"/>
        </w:rPr>
      </w:pPr>
    </w:p>
    <w:p>
      <w:pPr>
        <w:ind w:left="660" w:right="280" w:hanging="328"/>
        <w:spacing w:after="0" w:line="211"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b w:val="1"/>
          <w:bCs w:val="1"/>
          <w:i w:val="1"/>
          <w:iCs w:val="1"/>
          <w:color w:val="auto"/>
        </w:rPr>
        <w:t>Enhanced Cell Consistency and Potency</w:t>
      </w:r>
      <w:r>
        <w:rPr>
          <w:rFonts w:ascii="Arial" w:cs="Arial" w:eastAsia="Arial" w:hAnsi="Arial"/>
          <w:sz w:val="18"/>
          <w:szCs w:val="18"/>
          <w:color w:val="auto"/>
        </w:rPr>
        <w:t>. Our manufacturing process produces therapies from selected, screened and tested healthy donors.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Healthy donor T cells are potentially superior for engineered cellular therapy as compared to T cells from patients who have undergone prior chemotherapy or hematopoietic stem-cell transplant, which can damage or weaken T cells. In addition, greater consistency of the product may yield more predictable treatment outcomes.</w:t>
      </w:r>
    </w:p>
    <w:p>
      <w:pPr>
        <w:spacing w:after="0" w:line="217" w:lineRule="exact"/>
        <w:rPr>
          <w:rFonts w:ascii="Arial" w:cs="Arial" w:eastAsia="Arial" w:hAnsi="Arial"/>
          <w:sz w:val="22"/>
          <w:szCs w:val="22"/>
          <w:color w:val="auto"/>
        </w:rPr>
      </w:pPr>
    </w:p>
    <w:p>
      <w:pPr>
        <w:ind w:left="660" w:right="60" w:hanging="328"/>
        <w:spacing w:after="0" w:line="244" w:lineRule="auto"/>
        <w:tabs>
          <w:tab w:leader="none" w:pos="655" w:val="left"/>
        </w:tabs>
        <w:numPr>
          <w:ilvl w:val="0"/>
          <w:numId w:val="15"/>
        </w:numPr>
        <w:rPr>
          <w:rFonts w:ascii="Arial" w:cs="Arial" w:eastAsia="Arial" w:hAnsi="Arial"/>
          <w:sz w:val="19"/>
          <w:szCs w:val="19"/>
          <w:color w:val="auto"/>
        </w:rPr>
      </w:pPr>
      <w:r>
        <w:rPr>
          <w:rFonts w:ascii="Arial" w:cs="Arial" w:eastAsia="Arial" w:hAnsi="Arial"/>
          <w:sz w:val="16"/>
          <w:szCs w:val="16"/>
          <w:b w:val="1"/>
          <w:bCs w:val="1"/>
          <w:i w:val="1"/>
          <w:iCs w:val="1"/>
          <w:color w:val="auto"/>
        </w:rPr>
        <w:t>Streamlined Manufacturing and Cost Efficiencies</w:t>
      </w:r>
      <w:r>
        <w:rPr>
          <w:rFonts w:ascii="Arial" w:cs="Arial" w:eastAsia="Arial" w:hAnsi="Arial"/>
          <w:sz w:val="16"/>
          <w:szCs w:val="16"/>
          <w:color w:val="auto"/>
        </w:rPr>
        <w:t>. We are building an efficient and scalable manufacturing process and organization.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allogeneic approach utilizes healthy donor T cells which we believe provides enhanced scalability, reduces costs of engineered T cell therapy and reduces costs to the healthcare system as our allogeneic approach does not require us to collect and track T cells from each individual patient.</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280670</wp:posOffset>
            </wp:positionV>
            <wp:extent cx="4465955" cy="2228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6595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Allogeneic T Cells</w:t>
      </w:r>
    </w:p>
    <w:p>
      <w:pPr>
        <w:spacing w:after="0" w:line="121"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There are similarities as well as key differences between the processes for allogeneic and autologous T cell manufacturing,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48895</wp:posOffset>
            </wp:positionV>
            <wp:extent cx="4465955" cy="1825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6595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firstLine="810"/>
        <w:spacing w:after="0" w:line="261" w:lineRule="auto"/>
        <w:rPr>
          <w:sz w:val="20"/>
          <w:szCs w:val="20"/>
          <w:color w:val="auto"/>
        </w:rPr>
      </w:pPr>
      <w:r>
        <w:rPr>
          <w:rFonts w:ascii="Arial" w:cs="Arial" w:eastAsia="Arial" w:hAnsi="Arial"/>
          <w:sz w:val="18"/>
          <w:szCs w:val="18"/>
          <w:color w:val="auto"/>
        </w:rPr>
        <w:t>The three primary steps to creating our engineered allogeneic CAR T cells are: (1) collection and transduction, (2) gene editing, and (3) purification, formulation, and storage.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Collection and Transduction</w:t>
      </w:r>
    </w:p>
    <w:p>
      <w:pPr>
        <w:spacing w:after="0" w:line="239" w:lineRule="exact"/>
        <w:rPr>
          <w:sz w:val="20"/>
          <w:szCs w:val="20"/>
          <w:color w:val="auto"/>
        </w:rPr>
      </w:pPr>
    </w:p>
    <w:p>
      <w:pPr>
        <w:jc w:val="both"/>
        <w:ind w:right="220" w:firstLine="810"/>
        <w:spacing w:after="0" w:line="270" w:lineRule="auto"/>
        <w:rPr>
          <w:sz w:val="20"/>
          <w:szCs w:val="20"/>
          <w:color w:val="auto"/>
        </w:rPr>
      </w:pPr>
      <w:r>
        <w:rPr>
          <w:rFonts w:ascii="Arial" w:cs="Arial" w:eastAsia="Arial" w:hAnsi="Arial"/>
          <w:sz w:val="17"/>
          <w:szCs w:val="17"/>
          <w:color w:val="auto"/>
        </w:rPr>
        <w:t>The starting material for our allogeneic T cell products is white blood cells from a healthy donor, which are collected using a standard blood bank procedure known as leukapheresis. The collected cells are then screened, tested, and shipped to a central processing facility, where the T cells are isolated and stored frozen, creating an inventory of starting healthy donor cells for manufacturing.</w:t>
      </w:r>
    </w:p>
    <w:p>
      <w:pPr>
        <w:spacing w:after="0" w:line="191" w:lineRule="exact"/>
        <w:rPr>
          <w:sz w:val="20"/>
          <w:szCs w:val="20"/>
          <w:color w:val="auto"/>
        </w:rPr>
      </w:pPr>
    </w:p>
    <w:p>
      <w:pPr>
        <w:ind w:firstLine="810"/>
        <w:spacing w:after="0" w:line="248" w:lineRule="auto"/>
        <w:rPr>
          <w:sz w:val="20"/>
          <w:szCs w:val="20"/>
          <w:color w:val="auto"/>
        </w:rPr>
      </w:pPr>
      <w:r>
        <w:rPr>
          <w:rFonts w:ascii="Arial" w:cs="Arial" w:eastAsia="Arial" w:hAnsi="Arial"/>
          <w:sz w:val="18"/>
          <w:szCs w:val="18"/>
          <w:color w:val="auto"/>
        </w:rPr>
        <w:t>The manufacturing process starts by thawing frozen healthy donor T cells, which are then stimulated to proliferate and transduced with a viral vector to integrate the CAR sequence into the T cell genome. The CAR sequence directs the expression of CAR proteins on the cell surface that allows the transduced T cells to recognize and bind to a target molecule that is present on cancer cells.</w:t>
      </w:r>
    </w:p>
    <w:p>
      <w:pPr>
        <w:spacing w:after="0" w:line="209" w:lineRule="exact"/>
        <w:rPr>
          <w:sz w:val="20"/>
          <w:szCs w:val="20"/>
          <w:color w:val="auto"/>
        </w:rPr>
      </w:pPr>
    </w:p>
    <w:p>
      <w:pPr>
        <w:ind w:firstLine="810"/>
        <w:spacing w:after="0" w:line="241" w:lineRule="auto"/>
        <w:rPr>
          <w:sz w:val="20"/>
          <w:szCs w:val="20"/>
          <w:color w:val="auto"/>
        </w:rPr>
      </w:pPr>
      <w:r>
        <w:rPr>
          <w:rFonts w:ascii="Arial" w:cs="Arial" w:eastAsia="Arial" w:hAnsi="Arial"/>
          <w:sz w:val="18"/>
          <w:szCs w:val="18"/>
          <w:color w:val="auto"/>
        </w:rPr>
        <w:t>We can concurrently add additional genes to these cells that confer specific properties. For example, we can add an off-switch by expressing proteins that can make T cells susceptible to certain drugs, such as anti-CD20 monoclonal antibodies, and enable us to deplete our engineered T cells if needed by administering such drugs to the patient. We can also introduce cytokine activation signaling within a CAR T cell that is designed to enhance the proliferative potential, migratory behavior, and killing activity of cells. We are investigating multiple constructs designed to mimic cytokine signaling selectively within CAR T cells, a technology platform that we call “TurboCARs”.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Gene Editing</w:t>
      </w:r>
    </w:p>
    <w:p>
      <w:pPr>
        <w:sectPr>
          <w:pgSz w:w="11900" w:h="16838" w:orient="portrait"/>
          <w:cols w:equalWidth="0" w:num="1">
            <w:col w:w="11140"/>
          </w:cols>
          <w:pgMar w:left="320" w:top="368" w:right="4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8" w:right="4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810"/>
        <w:spacing w:after="0" w:line="243" w:lineRule="auto"/>
        <w:rPr>
          <w:sz w:val="20"/>
          <w:szCs w:val="20"/>
          <w:color w:val="auto"/>
        </w:rPr>
      </w:pPr>
      <w:r>
        <w:rPr>
          <w:rFonts w:ascii="Arial" w:cs="Arial" w:eastAsia="Arial" w:hAnsi="Arial"/>
          <w:sz w:val="18"/>
          <w:szCs w:val="18"/>
          <w:color w:val="auto"/>
        </w:rPr>
        <w:t>Next, we use Cellectis’s electroporation and TALEN technologies for gene editing of T cells. TALENs are a class of DNA cutting enzymes derived by fusing the DNA-cutting domain of a nuclease to the DNA-binding domains from transcription activator-like effectors (TALE). The TALE DNA-binding domain can be tailored to specifically recognize a unique DNA sequence. These fusion proteins serve as readily targetable “DNA scissors” for genome engineering applications that can enable targeted genome modifications.</w:t>
      </w:r>
    </w:p>
    <w:p>
      <w:pPr>
        <w:spacing w:after="0" w:line="215" w:lineRule="exact"/>
        <w:rPr>
          <w:sz w:val="20"/>
          <w:szCs w:val="20"/>
          <w:color w:val="auto"/>
        </w:rPr>
      </w:pPr>
    </w:p>
    <w:p>
      <w:pPr>
        <w:ind w:firstLine="810"/>
        <w:spacing w:after="0" w:line="243" w:lineRule="auto"/>
        <w:rPr>
          <w:sz w:val="20"/>
          <w:szCs w:val="20"/>
          <w:color w:val="auto"/>
        </w:rPr>
      </w:pPr>
      <w:r>
        <w:rPr>
          <w:rFonts w:ascii="Arial" w:cs="Arial" w:eastAsia="Arial" w:hAnsi="Arial"/>
          <w:sz w:val="18"/>
          <w:szCs w:val="18"/>
          <w:color w:val="auto"/>
        </w:rPr>
        <w:t>Electroporation allows TALEN mRNA to enter into the cell, where it is translated into a nuclease that can cut DNA and inactivate specific target genes. Inactivation of genes, such as TCRα and CD52, is intended to reduce the risk of GvHD and allow the allogeneic T cells to expand and persist in patients. We believe the inactivation of other target genes can be incorporated into future product candidates, with the goal of enhancing T cell function, including increasing potency against solid tumors.</w:t>
      </w:r>
    </w:p>
    <w:p>
      <w:pPr>
        <w:spacing w:after="0" w:line="215" w:lineRule="exact"/>
        <w:rPr>
          <w:sz w:val="20"/>
          <w:szCs w:val="20"/>
          <w:color w:val="auto"/>
        </w:rPr>
      </w:pPr>
    </w:p>
    <w:p>
      <w:pPr>
        <w:ind w:right="400" w:firstLine="810"/>
        <w:spacing w:after="0" w:line="261" w:lineRule="auto"/>
        <w:rPr>
          <w:sz w:val="20"/>
          <w:szCs w:val="20"/>
          <w:color w:val="auto"/>
        </w:rPr>
      </w:pPr>
      <w:r>
        <w:rPr>
          <w:rFonts w:ascii="Arial" w:cs="Arial" w:eastAsia="Arial" w:hAnsi="Arial"/>
          <w:sz w:val="18"/>
          <w:szCs w:val="18"/>
          <w:color w:val="auto"/>
        </w:rPr>
        <w:t>The figure below illustrates how we utilize Cellectis’s TALEN and electroporation technology to inactivate the genes coding for TCRα and CD52 in our allogeneic T cells for UCART19.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48895</wp:posOffset>
            </wp:positionV>
            <wp:extent cx="4354830" cy="3634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5483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believe the key benefits of TALEN technology are:</w:t>
      </w:r>
    </w:p>
    <w:p>
      <w:pPr>
        <w:spacing w:after="0" w:line="252" w:lineRule="exact"/>
        <w:rPr>
          <w:sz w:val="20"/>
          <w:szCs w:val="20"/>
          <w:color w:val="auto"/>
        </w:rPr>
      </w:pPr>
    </w:p>
    <w:p>
      <w:pPr>
        <w:ind w:left="660" w:right="140" w:hanging="328"/>
        <w:spacing w:after="0" w:line="218"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i w:val="1"/>
          <w:iCs w:val="1"/>
          <w:color w:val="auto"/>
        </w:rPr>
        <w:t>Precision</w:t>
      </w:r>
      <w:r>
        <w:rPr>
          <w:rFonts w:ascii="Arial" w:cs="Arial" w:eastAsia="Arial" w:hAnsi="Arial"/>
          <w:sz w:val="18"/>
          <w:szCs w:val="18"/>
          <w:color w:val="auto"/>
        </w:rPr>
        <w:t>. It is possible to design a TALEN that will cleave at any selected region in any gene, giving us the ability to achieve the desired genetic</w:t>
      </w:r>
      <w:r>
        <w:rPr>
          <w:rFonts w:ascii="Arial" w:cs="Arial" w:eastAsia="Arial" w:hAnsi="Arial"/>
          <w:sz w:val="18"/>
          <w:szCs w:val="18"/>
          <w:i w:val="1"/>
          <w:iCs w:val="1"/>
          <w:color w:val="auto"/>
        </w:rPr>
        <w:t xml:space="preserve"> </w:t>
      </w:r>
      <w:r>
        <w:rPr>
          <w:rFonts w:ascii="Arial" w:cs="Arial" w:eastAsia="Arial" w:hAnsi="Arial"/>
          <w:sz w:val="18"/>
          <w:szCs w:val="18"/>
          <w:color w:val="auto"/>
        </w:rPr>
        <w:t>outcome with any gene.</w:t>
      </w:r>
    </w:p>
    <w:p>
      <w:pPr>
        <w:spacing w:after="0" w:line="216" w:lineRule="exact"/>
        <w:rPr>
          <w:rFonts w:ascii="Arial" w:cs="Arial" w:eastAsia="Arial" w:hAnsi="Arial"/>
          <w:sz w:val="22"/>
          <w:szCs w:val="22"/>
          <w:color w:val="auto"/>
        </w:rPr>
      </w:pPr>
    </w:p>
    <w:p>
      <w:pPr>
        <w:ind w:left="660" w:right="40" w:hanging="328"/>
        <w:spacing w:after="0" w:line="211"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i w:val="1"/>
          <w:iCs w:val="1"/>
          <w:color w:val="auto"/>
        </w:rPr>
        <w:t>Specificity and Selectivity</w:t>
      </w:r>
      <w:r>
        <w:rPr>
          <w:rFonts w:ascii="Arial" w:cs="Arial" w:eastAsia="Arial" w:hAnsi="Arial"/>
          <w:sz w:val="18"/>
          <w:szCs w:val="18"/>
          <w:color w:val="auto"/>
        </w:rPr>
        <w:t>. TALEN may be designed to limit its DNA cleavage to the desired sequence and to reduce the risk of cutting elsewhere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genome. This parameter is essential, especially for therapeutic applications, because unwanted genomic modifications potentially could lead to harmful effects for the patient. In addition, gene editing requires only a transient presence of TALEN, thus preserving the integrity and functionality of the T cell’s genome.</w:t>
      </w:r>
    </w:p>
    <w:p>
      <w:pPr>
        <w:spacing w:after="0" w:line="217" w:lineRule="exact"/>
        <w:rPr>
          <w:rFonts w:ascii="Arial" w:cs="Arial" w:eastAsia="Arial" w:hAnsi="Arial"/>
          <w:sz w:val="22"/>
          <w:szCs w:val="22"/>
          <w:color w:val="auto"/>
        </w:rPr>
      </w:pPr>
    </w:p>
    <w:p>
      <w:pPr>
        <w:ind w:left="660" w:right="140" w:hanging="328"/>
        <w:spacing w:after="0" w:line="218"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i w:val="1"/>
          <w:iCs w:val="1"/>
          <w:color w:val="auto"/>
        </w:rPr>
        <w:t>Efficiency</w:t>
      </w:r>
      <w:r>
        <w:rPr>
          <w:rFonts w:ascii="Arial" w:cs="Arial" w:eastAsia="Arial" w:hAnsi="Arial"/>
          <w:sz w:val="18"/>
          <w:szCs w:val="18"/>
          <w:color w:val="auto"/>
        </w:rPr>
        <w:t>. A large percentage of cells treated by the nuclease bear the desired genomic modification after treatment is completed. We believe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efficiency of TALEN editing helps to improve our manufacturing yields.</w:t>
      </w:r>
    </w:p>
    <w:p>
      <w:pPr>
        <w:spacing w:after="0" w:line="230" w:lineRule="exact"/>
        <w:rPr>
          <w:sz w:val="20"/>
          <w:szCs w:val="20"/>
          <w:color w:val="auto"/>
        </w:rPr>
      </w:pPr>
    </w:p>
    <w:p>
      <w:pPr>
        <w:ind w:right="80" w:firstLine="810"/>
        <w:spacing w:after="0" w:line="249" w:lineRule="auto"/>
        <w:rPr>
          <w:sz w:val="20"/>
          <w:szCs w:val="20"/>
          <w:color w:val="auto"/>
        </w:rPr>
      </w:pPr>
      <w:r>
        <w:rPr>
          <w:rFonts w:ascii="Arial" w:cs="Arial" w:eastAsia="Arial" w:hAnsi="Arial"/>
          <w:sz w:val="18"/>
          <w:szCs w:val="18"/>
          <w:i w:val="1"/>
          <w:iCs w:val="1"/>
          <w:color w:val="auto"/>
        </w:rPr>
        <w:t>TCR</w:t>
      </w:r>
      <w:r>
        <w:rPr>
          <w:rFonts w:ascii="Arial" w:cs="Arial" w:eastAsia="Arial" w:hAnsi="Arial"/>
          <w:sz w:val="18"/>
          <w:szCs w:val="18"/>
          <w:color w:val="auto"/>
        </w:rPr>
        <w:t>α</w:t>
      </w:r>
      <w:r>
        <w:rPr>
          <w:rFonts w:ascii="Arial" w:cs="Arial" w:eastAsia="Arial" w:hAnsi="Arial"/>
          <w:sz w:val="18"/>
          <w:szCs w:val="18"/>
          <w:i w:val="1"/>
          <w:iCs w:val="1"/>
          <w:color w:val="auto"/>
        </w:rPr>
        <w:t xml:space="preserve"> knockout: </w:t>
      </w:r>
      <w:r>
        <w:rPr>
          <w:rFonts w:ascii="Arial" w:cs="Arial" w:eastAsia="Arial" w:hAnsi="Arial"/>
          <w:sz w:val="18"/>
          <w:szCs w:val="18"/>
          <w:color w:val="auto"/>
        </w:rPr>
        <w:t>Non-modified allogeneic T cells bear functional TCRs and, if injected into a patient, can potentially recognize the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tissue as foreign and damage it. This reaction, known as GvHD, is mediated by intact TCRs on allogeneic T cells. To reduce the risk of GvHD, all of our product candidates undergo the inactivation of a gene coding for TCRα, a key component of TCRs. The engineered T cells lacking functional TCRs are no longer capable of recognizing peptide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jc w:val="both"/>
        <w:ind w:right="80"/>
        <w:spacing w:after="0" w:line="324" w:lineRule="auto"/>
        <w:rPr>
          <w:sz w:val="20"/>
          <w:szCs w:val="20"/>
          <w:color w:val="auto"/>
        </w:rPr>
      </w:pPr>
      <w:r>
        <w:rPr>
          <w:rFonts w:ascii="Arial" w:cs="Arial" w:eastAsia="Arial" w:hAnsi="Arial"/>
          <w:sz w:val="16"/>
          <w:szCs w:val="16"/>
          <w:color w:val="auto"/>
        </w:rPr>
        <w:t>antigens presented on major histocompatibility complex proteins and thus incapable of attacking the patient’s normal tissue. This could mitigate the risk of GvHD that can occur when allogeneic TCR-positive T cells are infused into patients who are unrelated to the healthy donor,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19685</wp:posOffset>
            </wp:positionV>
            <wp:extent cx="5057775" cy="2272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57775"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810"/>
        <w:spacing w:after="0" w:line="241" w:lineRule="auto"/>
        <w:rPr>
          <w:sz w:val="20"/>
          <w:szCs w:val="20"/>
          <w:color w:val="auto"/>
        </w:rPr>
      </w:pPr>
      <w:r>
        <w:rPr>
          <w:rFonts w:ascii="Arial" w:cs="Arial" w:eastAsia="Arial" w:hAnsi="Arial"/>
          <w:sz w:val="18"/>
          <w:szCs w:val="18"/>
          <w:i w:val="1"/>
          <w:iCs w:val="1"/>
          <w:color w:val="auto"/>
        </w:rPr>
        <w:t xml:space="preserve">CD52 knockout: </w:t>
      </w:r>
      <w:r>
        <w:rPr>
          <w:rFonts w:ascii="Arial" w:cs="Arial" w:eastAsia="Arial" w:hAnsi="Arial"/>
          <w:sz w:val="18"/>
          <w:szCs w:val="18"/>
          <w:color w:val="auto"/>
        </w:rPr>
        <w:t>The patient’s immune system is expected to recognize allogeneic T cells as foreign and destroy or reject them. To delay this</w:t>
      </w:r>
      <w:r>
        <w:rPr>
          <w:rFonts w:ascii="Arial" w:cs="Arial" w:eastAsia="Arial" w:hAnsi="Arial"/>
          <w:sz w:val="18"/>
          <w:szCs w:val="18"/>
          <w:i w:val="1"/>
          <w:iCs w:val="1"/>
          <w:color w:val="auto"/>
        </w:rPr>
        <w:t xml:space="preserve"> </w:t>
      </w:r>
      <w:r>
        <w:rPr>
          <w:rFonts w:ascii="Arial" w:cs="Arial" w:eastAsia="Arial" w:hAnsi="Arial"/>
          <w:sz w:val="18"/>
          <w:szCs w:val="18"/>
          <w:color w:val="auto"/>
        </w:rPr>
        <w:t>rejection, we use anti-CD52 antibody to deplete lymphocytes, including T cells, in patients. Anti-CD52 antibody recognizes CD52 protein expressed on many immune cells, including T cells. CD52 protein is expressed in both donor and patient immune cells. To selectively deplete a patient’s immune cells while sparing the therapeutic allogeneic T cells, we use TALEN gene editing to inactivate the CD52 gene in allogeneic T cells, thus protecting allogeneic T cells from the anti-CD52 antibody mediated depletion.</w:t>
      </w:r>
    </w:p>
    <w:p>
      <w:pPr>
        <w:spacing w:after="0" w:line="216" w:lineRule="exact"/>
        <w:rPr>
          <w:sz w:val="20"/>
          <w:szCs w:val="20"/>
          <w:color w:val="auto"/>
        </w:rPr>
      </w:pPr>
    </w:p>
    <w:p>
      <w:pPr>
        <w:ind w:firstLine="810"/>
        <w:spacing w:after="0" w:line="241" w:lineRule="auto"/>
        <w:rPr>
          <w:sz w:val="20"/>
          <w:szCs w:val="20"/>
          <w:color w:val="auto"/>
        </w:rPr>
      </w:pPr>
      <w:r>
        <w:rPr>
          <w:rFonts w:ascii="Arial" w:cs="Arial" w:eastAsia="Arial" w:hAnsi="Arial"/>
          <w:sz w:val="18"/>
          <w:szCs w:val="18"/>
          <w:color w:val="auto"/>
        </w:rPr>
        <w:t>As illustrated below, by administering anti-CD52 antibody prior to infusing our product candidates, we believe we can reduce the likelihood of a patient’s immune system rejecting the engineered allogeneic T cells for a sufficient period of time to enable a window of persistence during which our engineered allogeneic T cells can expand and actively target and destroy cancer cells. We also believe our approach is unique and differentiated. To capitalize on this differentiation and to secure our own source of anti-CD52 monoclonal antibody, we are developing ALLO-647. We are currently utilizing ALLO-647 in all of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146685</wp:posOffset>
            </wp:positionV>
            <wp:extent cx="2503170" cy="237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317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Purification, Formulation, and Storage</w:t>
      </w:r>
    </w:p>
    <w:p>
      <w:pPr>
        <w:spacing w:after="0" w:line="252" w:lineRule="exact"/>
        <w:rPr>
          <w:sz w:val="20"/>
          <w:szCs w:val="20"/>
          <w:color w:val="auto"/>
        </w:rPr>
      </w:pPr>
    </w:p>
    <w:p>
      <w:pPr>
        <w:ind w:right="80" w:firstLine="810"/>
        <w:spacing w:after="0" w:line="261" w:lineRule="auto"/>
        <w:rPr>
          <w:sz w:val="20"/>
          <w:szCs w:val="20"/>
          <w:color w:val="auto"/>
        </w:rPr>
      </w:pPr>
      <w:r>
        <w:rPr>
          <w:rFonts w:ascii="Arial" w:cs="Arial" w:eastAsia="Arial" w:hAnsi="Arial"/>
          <w:sz w:val="18"/>
          <w:szCs w:val="18"/>
          <w:color w:val="auto"/>
        </w:rPr>
        <w:t>Once the allogeneic T cells have been engineered with CARs and gene edited to remove the genes encoding TCRα and CD52, they are cultured for several days to increase the cell number and then harvested. The allogeneic cells then undergo a</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purification step to remove residual TCR positive cells that have not undergone TCRα gene editing. We believe this purification step is essential as none of the currently available gene-editing nucleases is 100% efficient at inactivating the target genes. After overnight recovery, the cells are formulated in a cryopreservation media and filled into closed, stoppered vials prior to controlled-rate freezing and long-term storage in the vapor phase of liquid nitrogen. This inventory is securely stored and then shipped to oncology centers as needed.</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figure below illustrates the steps in a manufacturing run for our engineered allogeneic CAR T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74930</wp:posOffset>
            </wp:positionV>
            <wp:extent cx="4577715" cy="2143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7771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 and Development Strategy</w:t>
      </w:r>
    </w:p>
    <w:p>
      <w:pPr>
        <w:spacing w:after="0" w:line="256" w:lineRule="exact"/>
        <w:rPr>
          <w:sz w:val="20"/>
          <w:szCs w:val="20"/>
          <w:color w:val="auto"/>
        </w:rPr>
      </w:pPr>
    </w:p>
    <w:p>
      <w:pPr>
        <w:ind w:right="180" w:firstLine="810"/>
        <w:spacing w:after="0" w:line="294" w:lineRule="auto"/>
        <w:rPr>
          <w:sz w:val="20"/>
          <w:szCs w:val="20"/>
          <w:color w:val="auto"/>
        </w:rPr>
      </w:pPr>
      <w:r>
        <w:rPr>
          <w:rFonts w:ascii="Arial" w:cs="Arial" w:eastAsia="Arial" w:hAnsi="Arial"/>
          <w:sz w:val="16"/>
          <w:szCs w:val="16"/>
          <w:color w:val="auto"/>
        </w:rPr>
        <w:t>Using our proprietary allogeneic T cell platform, we are researching and developing multiple product candidates for the treatment of blood cancers and solid tumors. Our product candidates are allogeneic T cells engineered to be used as off-the-shelf treatments for any patient with a particular cancer type. Each product candidate targets a selected antigen expressed on tumor cells and bears specific engineered attributes.</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product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63590" cy="2305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359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hanging="72"/>
        <w:spacing w:after="0"/>
        <w:tabs>
          <w:tab w:leader="none" w:pos="80" w:val="left"/>
        </w:tabs>
        <w:numPr>
          <w:ilvl w:val="0"/>
          <w:numId w:val="17"/>
        </w:numPr>
        <w:rPr>
          <w:rFonts w:ascii="Arial" w:cs="Arial" w:eastAsia="Arial" w:hAnsi="Arial"/>
          <w:sz w:val="9"/>
          <w:szCs w:val="9"/>
          <w:i w:val="1"/>
          <w:iCs w:val="1"/>
          <w:color w:val="auto"/>
        </w:rPr>
      </w:pPr>
      <w:r>
        <w:rPr>
          <w:rFonts w:ascii="Arial" w:cs="Arial" w:eastAsia="Arial" w:hAnsi="Arial"/>
          <w:sz w:val="14"/>
          <w:szCs w:val="14"/>
          <w:i w:val="1"/>
          <w:iCs w:val="1"/>
          <w:color w:val="auto"/>
        </w:rPr>
        <w:t>Servier holds ex-US commercial rights.</w:t>
      </w:r>
    </w:p>
    <w:p>
      <w:pPr>
        <w:spacing w:after="0" w:line="13" w:lineRule="exact"/>
        <w:rPr>
          <w:sz w:val="20"/>
          <w:szCs w:val="20"/>
          <w:color w:val="auto"/>
        </w:rPr>
      </w:pPr>
    </w:p>
    <w:p>
      <w:pPr>
        <w:ind w:left="80" w:hanging="72"/>
        <w:spacing w:after="0"/>
        <w:tabs>
          <w:tab w:leader="none" w:pos="80"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Phase 3 may not be required if Phase 2 is registrational.</w:t>
      </w:r>
    </w:p>
    <w:p>
      <w:pPr>
        <w:spacing w:after="0" w:line="1" w:lineRule="exact"/>
        <w:rPr>
          <w:sz w:val="20"/>
          <w:szCs w:val="20"/>
          <w:color w:val="auto"/>
        </w:rPr>
      </w:pPr>
    </w:p>
    <w:p>
      <w:pPr>
        <w:ind w:left="100" w:hanging="92"/>
        <w:spacing w:after="0"/>
        <w:tabs>
          <w:tab w:leader="none" w:pos="100" w:val="left"/>
        </w:tabs>
        <w:numPr>
          <w:ilvl w:val="0"/>
          <w:numId w:val="19"/>
        </w:numPr>
        <w:rPr>
          <w:rFonts w:ascii="Arial" w:cs="Arial" w:eastAsia="Arial" w:hAnsi="Arial"/>
          <w:sz w:val="9"/>
          <w:szCs w:val="9"/>
          <w:i w:val="1"/>
          <w:iCs w:val="1"/>
          <w:color w:val="auto"/>
        </w:rPr>
      </w:pPr>
      <w:r>
        <w:rPr>
          <w:rFonts w:ascii="Arial" w:cs="Arial" w:eastAsia="Arial" w:hAnsi="Arial"/>
          <w:sz w:val="14"/>
          <w:szCs w:val="14"/>
          <w:i w:val="1"/>
          <w:iCs w:val="1"/>
          <w:color w:val="auto"/>
        </w:rPr>
        <w:t>Allogene sponsored trial in combination with SpringWorks Therapeutics, Inc.</w:t>
      </w:r>
    </w:p>
    <w:p>
      <w:pPr>
        <w:spacing w:after="0" w:line="1" w:lineRule="exact"/>
        <w:rPr>
          <w:sz w:val="20"/>
          <w:szCs w:val="20"/>
          <w:color w:val="auto"/>
        </w:rPr>
      </w:pPr>
    </w:p>
    <w:p>
      <w:pPr>
        <w:ind w:left="100" w:hanging="92"/>
        <w:spacing w:after="0"/>
        <w:tabs>
          <w:tab w:leader="none" w:pos="100" w:val="left"/>
        </w:tabs>
        <w:numPr>
          <w:ilvl w:val="0"/>
          <w:numId w:val="20"/>
        </w:numPr>
        <w:rPr>
          <w:rFonts w:ascii="Arial" w:cs="Arial" w:eastAsia="Arial" w:hAnsi="Arial"/>
          <w:sz w:val="9"/>
          <w:szCs w:val="9"/>
          <w:i w:val="1"/>
          <w:iCs w:val="1"/>
          <w:color w:val="auto"/>
        </w:rPr>
      </w:pPr>
      <w:r>
        <w:rPr>
          <w:rFonts w:ascii="Arial" w:cs="Arial" w:eastAsia="Arial" w:hAnsi="Arial"/>
          <w:sz w:val="14"/>
          <w:szCs w:val="14"/>
          <w:i w:val="1"/>
          <w:iCs w:val="1"/>
          <w:color w:val="auto"/>
        </w:rPr>
        <w:t>ALLO-647 intended to enable expansion and persistence of allogeneic CAR T product candidates.</w:t>
      </w:r>
    </w:p>
    <w:p>
      <w:pPr>
        <w:spacing w:after="0" w:line="344"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In October 2021, the FDA placed a hold on our clinical trials. The clinical hold followed our notification to the FDA of a chromosomal abnormality in an ALPHA2 study patient which was detected in a bone marrow biopsy undertaken to assess pancytopenia. Investigations concluded that the chromosomal abnormality was unrelated to TALEN gene editing or our</w:t>
      </w:r>
    </w:p>
    <w:p>
      <w:pPr>
        <w:sectPr>
          <w:pgSz w:w="11900" w:h="16838" w:orient="portrait"/>
          <w:cols w:equalWidth="0" w:num="1">
            <w:col w:w="11180"/>
          </w:cols>
          <w:pgMar w:left="320" w:top="368" w:right="39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manufacturing process and had no clinical significance. The investigation also determined that the abnormality was not detected in any of our manufactured product candidates or in any other patient treated with the same ALLO-501A lot. The abnormality occurred in the patient after the cell product was administered and involved regions of the T cell receptor and immunoglobulin genes known to undergo rearrangement as part of the T cell or B cell maturation process. The FDA found that we satisfactorily addressed all clinical hold issues and removed the hold in January 2022. We have resumed our studies as discussed in further detail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Anti-CD19 Development Program</w:t>
      </w:r>
    </w:p>
    <w:p>
      <w:pPr>
        <w:spacing w:after="0" w:line="225" w:lineRule="exact"/>
        <w:rPr>
          <w:sz w:val="20"/>
          <w:szCs w:val="20"/>
          <w:color w:val="auto"/>
        </w:rPr>
      </w:pPr>
    </w:p>
    <w:p>
      <w:pPr>
        <w:ind w:right="100" w:firstLine="810"/>
        <w:spacing w:after="0" w:line="246" w:lineRule="auto"/>
        <w:rPr>
          <w:sz w:val="20"/>
          <w:szCs w:val="20"/>
          <w:color w:val="auto"/>
        </w:rPr>
      </w:pPr>
      <w:r>
        <w:rPr>
          <w:rFonts w:ascii="Arial" w:cs="Arial" w:eastAsia="Arial" w:hAnsi="Arial"/>
          <w:sz w:val="17"/>
          <w:szCs w:val="17"/>
          <w:color w:val="auto"/>
        </w:rPr>
        <w:t>CD19 is an antigen expressed on the surface of B cells, including on B cells that are malignant. B cells are considered non-essential tissue, as they are not required for patient survival. We believe CD19 is a validated target for the treatment of B cell leukemias and lymphomas. Multiple autologous anti-CD19 targeted CAR T therapies have shown promising results and have been approved by the FDA as therapies for adults with R/R large B-cell lymphoma, adults with R/R mantle cell lymphoma, adults with R/R FL, and children and adults with R/R ALL.</w:t>
      </w:r>
    </w:p>
    <w:p>
      <w:pPr>
        <w:spacing w:after="0" w:line="198" w:lineRule="exact"/>
        <w:rPr>
          <w:sz w:val="20"/>
          <w:szCs w:val="20"/>
          <w:color w:val="auto"/>
        </w:rPr>
      </w:pPr>
    </w:p>
    <w:p>
      <w:pPr>
        <w:ind w:right="20" w:firstLine="810"/>
        <w:spacing w:after="0" w:line="228" w:lineRule="auto"/>
        <w:rPr>
          <w:sz w:val="20"/>
          <w:szCs w:val="20"/>
          <w:color w:val="auto"/>
        </w:rPr>
      </w:pPr>
      <w:r>
        <w:rPr>
          <w:rFonts w:ascii="Arial" w:cs="Arial" w:eastAsia="Arial" w:hAnsi="Arial"/>
          <w:sz w:val="18"/>
          <w:szCs w:val="18"/>
          <w:color w:val="auto"/>
        </w:rPr>
        <w:t>Our first anti-CD19 product candidate, UCART19, was advanced with our partner, Servier, who led manufacturing and clinical development. UCART19 was manufactured to express a CAR that is designed to target CD19 and gene edited to lack TCRα and CD52 to minimize the risk of GvHD and enable a window of persistence in the patient. In addition, UCART19 cells were engineered to express a small protein on the cell surface called RQR8, which consists of two rituximab recognition domains. This allowed for recognition and elimination of cells in the event that silencing of CAR T cell activity is desired.</w:t>
      </w:r>
    </w:p>
    <w:p>
      <w:pPr>
        <w:spacing w:after="0" w:line="218" w:lineRule="exact"/>
        <w:rPr>
          <w:sz w:val="20"/>
          <w:szCs w:val="20"/>
          <w:color w:val="auto"/>
        </w:rPr>
      </w:pPr>
    </w:p>
    <w:p>
      <w:pPr>
        <w:ind w:right="80" w:firstLine="810"/>
        <w:spacing w:after="0" w:line="262" w:lineRule="auto"/>
        <w:rPr>
          <w:sz w:val="20"/>
          <w:szCs w:val="20"/>
          <w:color w:val="auto"/>
        </w:rPr>
      </w:pPr>
      <w:r>
        <w:rPr>
          <w:rFonts w:ascii="Arial" w:cs="Arial" w:eastAsia="Arial" w:hAnsi="Arial"/>
          <w:sz w:val="17"/>
          <w:szCs w:val="17"/>
          <w:color w:val="auto"/>
        </w:rPr>
        <w:t>Servier sponsored two Phase 1 clinical trials of UCART19 in patients with R/R CD19 positive B-cell ALL, one for adult patients (the CALM trial) and one for pediatric patients (the PALL trial). The Servier-sponsored trials completed in 2020 and Servier determined that no new patients will be enrolled. Patients from both studies are continuing the long-term follow-up as planned. We and Servier are reviewing our development strategy for ALL as our data matures and as we assess potential next generation technology that may be used to enhance results in ALL.</w:t>
      </w:r>
    </w:p>
    <w:p>
      <w:pPr>
        <w:spacing w:after="0" w:line="199" w:lineRule="exact"/>
        <w:rPr>
          <w:sz w:val="20"/>
          <w:szCs w:val="20"/>
          <w:color w:val="auto"/>
        </w:rPr>
      </w:pPr>
    </w:p>
    <w:p>
      <w:pPr>
        <w:jc w:val="both"/>
        <w:ind w:right="320" w:firstLine="810"/>
        <w:spacing w:after="0" w:line="248" w:lineRule="auto"/>
        <w:rPr>
          <w:sz w:val="20"/>
          <w:szCs w:val="20"/>
          <w:color w:val="auto"/>
        </w:rPr>
      </w:pPr>
      <w:r>
        <w:rPr>
          <w:rFonts w:ascii="Arial" w:cs="Arial" w:eastAsia="Arial" w:hAnsi="Arial"/>
          <w:sz w:val="18"/>
          <w:szCs w:val="18"/>
          <w:color w:val="auto"/>
        </w:rPr>
        <w:t>ALLO-501 and ALLO-501A are our other allogeneic CAR T cell product candidates targeting CD19, which are jointly developed by us and Servier. We are responsible for the manufacture of ALLO-501 and ALLO-501A. We also lead the clinical development program and are sponsoring the ALPHA trial of ALLO-501 and ALPHA2 trial of ALLO-501A, each for patients with R/R NHL.</w:t>
      </w:r>
    </w:p>
    <w:p>
      <w:pPr>
        <w:spacing w:after="0" w:line="209" w:lineRule="exact"/>
        <w:rPr>
          <w:sz w:val="20"/>
          <w:szCs w:val="20"/>
          <w:color w:val="auto"/>
        </w:rPr>
      </w:pPr>
    </w:p>
    <w:p>
      <w:pPr>
        <w:ind w:right="260" w:firstLine="810"/>
        <w:spacing w:after="0" w:line="243" w:lineRule="auto"/>
        <w:rPr>
          <w:sz w:val="20"/>
          <w:szCs w:val="20"/>
          <w:color w:val="auto"/>
        </w:rPr>
      </w:pPr>
      <w:r>
        <w:rPr>
          <w:rFonts w:ascii="Arial" w:cs="Arial" w:eastAsia="Arial" w:hAnsi="Arial"/>
          <w:sz w:val="18"/>
          <w:szCs w:val="18"/>
          <w:color w:val="auto"/>
        </w:rPr>
        <w:t>ALLO-501 is identical to UCART19 in molecular design, however several modifications have been introduced by us to the manufacturing process for ALLO-501. These modifications are designed to facilitate more efficient manufacturing scale-up for the larger patient population targeted by ALLO-501. Like UCART19, ALLO-501 also co-expresses a small protein on the cell surface called RQR8, which consists of two rituximab recognition domains. This allows for destruction of the CAR T by rituximab.</w:t>
      </w:r>
    </w:p>
    <w:p>
      <w:pPr>
        <w:spacing w:after="0" w:line="215" w:lineRule="exact"/>
        <w:rPr>
          <w:sz w:val="20"/>
          <w:szCs w:val="20"/>
          <w:color w:val="auto"/>
        </w:rPr>
      </w:pPr>
    </w:p>
    <w:p>
      <w:pPr>
        <w:ind w:right="140" w:firstLine="810"/>
        <w:spacing w:after="0" w:line="243" w:lineRule="auto"/>
        <w:rPr>
          <w:sz w:val="20"/>
          <w:szCs w:val="20"/>
          <w:color w:val="auto"/>
        </w:rPr>
      </w:pPr>
      <w:r>
        <w:rPr>
          <w:rFonts w:ascii="Arial" w:cs="Arial" w:eastAsia="Arial" w:hAnsi="Arial"/>
          <w:sz w:val="18"/>
          <w:szCs w:val="18"/>
          <w:color w:val="auto"/>
        </w:rPr>
        <w:t>Prior treatment with rituximab is typical for patients with NHL and, depending on the lag time between the rituximab administration and planned ALLO-501 infusion, prior administration of rituximab may interfere with ALLO-501. As a result, we have removed RQR8 in the next generation of ALLO-501, known as ALLO-501A. We believe ALLO-501A will have the potential to facilitate treatment of patients who were recently treated with rituximab.</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Lead Target Indication: Non-Hodgkin Lymphoma (NHL)</w:t>
      </w:r>
    </w:p>
    <w:p>
      <w:pPr>
        <w:spacing w:after="0" w:line="239" w:lineRule="exact"/>
        <w:rPr>
          <w:sz w:val="20"/>
          <w:szCs w:val="20"/>
          <w:color w:val="auto"/>
        </w:rPr>
      </w:pPr>
    </w:p>
    <w:p>
      <w:pPr>
        <w:ind w:right="120" w:firstLine="810"/>
        <w:spacing w:after="0" w:line="262" w:lineRule="auto"/>
        <w:rPr>
          <w:sz w:val="20"/>
          <w:szCs w:val="20"/>
          <w:color w:val="auto"/>
        </w:rPr>
      </w:pPr>
      <w:r>
        <w:rPr>
          <w:rFonts w:ascii="Arial" w:cs="Arial" w:eastAsia="Arial" w:hAnsi="Arial"/>
          <w:sz w:val="17"/>
          <w:szCs w:val="17"/>
          <w:color w:val="auto"/>
        </w:rPr>
        <w:t>NHL is a hematologic cancer originating from malignant lymphocytes. It is the most common hematological malignancy in the United States, with 80,470 new cases estimated to be diagnosed and 20,250 deaths estimated in 2022, according to the American Cancer Society. Over 60 NHL subtypes have been identified, and each subtype represents different neoplastic lymphoid cells (T, B or NK cells) that have arrested at different stages of differentiation. The most common subtype is B-cell, which represented over 90% of all new NHL cases in 2016.</w:t>
      </w:r>
    </w:p>
    <w:p>
      <w:pPr>
        <w:spacing w:after="0" w:line="199" w:lineRule="exact"/>
        <w:rPr>
          <w:sz w:val="20"/>
          <w:szCs w:val="20"/>
          <w:color w:val="auto"/>
        </w:rPr>
      </w:pPr>
    </w:p>
    <w:p>
      <w:pPr>
        <w:ind w:right="100" w:firstLine="810"/>
        <w:spacing w:after="0" w:line="248" w:lineRule="auto"/>
        <w:rPr>
          <w:sz w:val="20"/>
          <w:szCs w:val="20"/>
          <w:color w:val="auto"/>
        </w:rPr>
      </w:pPr>
      <w:r>
        <w:rPr>
          <w:rFonts w:ascii="Arial" w:cs="Arial" w:eastAsia="Arial" w:hAnsi="Arial"/>
          <w:sz w:val="18"/>
          <w:szCs w:val="18"/>
          <w:color w:val="auto"/>
        </w:rPr>
        <w:t>B-cell NHL itself represents a group of different neoplasms that not only differ in pathology, but also response to therapy and prognosis. NHL can be rapidly growing (aggressive) with short survival, such as large B-cell lymphomas, which include diffuse large B cell lymphoma (DLBCL), or it can be slow growing, or indolent, such as FL.</w:t>
      </w:r>
    </w:p>
    <w:p>
      <w:pPr>
        <w:spacing w:after="0" w:line="209" w:lineRule="exact"/>
        <w:rPr>
          <w:sz w:val="20"/>
          <w:szCs w:val="20"/>
          <w:color w:val="auto"/>
        </w:rPr>
      </w:pPr>
    </w:p>
    <w:p>
      <w:pPr>
        <w:ind w:right="340" w:firstLine="810"/>
        <w:spacing w:after="0" w:line="241" w:lineRule="auto"/>
        <w:rPr>
          <w:sz w:val="20"/>
          <w:szCs w:val="20"/>
          <w:color w:val="auto"/>
        </w:rPr>
      </w:pPr>
      <w:r>
        <w:rPr>
          <w:rFonts w:ascii="Arial" w:cs="Arial" w:eastAsia="Arial" w:hAnsi="Arial"/>
          <w:sz w:val="18"/>
          <w:szCs w:val="18"/>
          <w:color w:val="auto"/>
        </w:rPr>
        <w:t>The R-CHOP chemotherapy combination (rituximab, cyclophosphamide, doxorubicin, vincristine, and prednisone) introduced in the early 2000s remains the standard of care for newly diagnosed DLBCL, and five-year survival can be achieved for 55-60% of patients. Unfortunately, approximately 30% of DLBCL require second-line therapy, and subsequent therapy is dependent on whether the patients are candidates for high-dose therapy followed by autologous stem-cell therapy. A retrospective analysis of patients with R/R DLBCL, who were not treated with autologous CAR T therapy, found that outcomes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this population are poor, with an objective response rate of 26% (complete response (CR): 7%, partial response: 18%) and median overall survival of 6.3 months.</w:t>
      </w:r>
    </w:p>
    <w:p>
      <w:pPr>
        <w:spacing w:after="0" w:line="198" w:lineRule="exact"/>
        <w:rPr>
          <w:sz w:val="20"/>
          <w:szCs w:val="20"/>
          <w:color w:val="auto"/>
        </w:rPr>
      </w:pPr>
    </w:p>
    <w:p>
      <w:pPr>
        <w:ind w:right="220" w:firstLine="810"/>
        <w:spacing w:after="0" w:line="243" w:lineRule="auto"/>
        <w:rPr>
          <w:sz w:val="20"/>
          <w:szCs w:val="20"/>
          <w:color w:val="auto"/>
        </w:rPr>
      </w:pPr>
      <w:r>
        <w:rPr>
          <w:rFonts w:ascii="Arial" w:cs="Arial" w:eastAsia="Arial" w:hAnsi="Arial"/>
          <w:sz w:val="18"/>
          <w:szCs w:val="18"/>
          <w:color w:val="auto"/>
        </w:rPr>
        <w:t>Despite availability of multiple active agents, high response rates, and long progression-free survival with first-line therapy, FL remains an incurable disease. Most patients treated today eventually relapse, and subsequent responses and durations of responses become increasingly shorter. Ultimately, patients become resistant to chemo-immunotherapy, clinically defined as relapsed within 12 months. In these patients, the toxicity commonly outweighs the benefit of treatment with chemotherapy.</w:t>
      </w:r>
    </w:p>
    <w:p>
      <w:pPr>
        <w:spacing w:after="0" w:line="215" w:lineRule="exact"/>
        <w:rPr>
          <w:sz w:val="20"/>
          <w:szCs w:val="20"/>
          <w:color w:val="auto"/>
        </w:rPr>
      </w:pPr>
    </w:p>
    <w:p>
      <w:pPr>
        <w:ind w:right="680" w:firstLine="810"/>
        <w:spacing w:after="0" w:line="261" w:lineRule="auto"/>
        <w:rPr>
          <w:sz w:val="20"/>
          <w:szCs w:val="20"/>
          <w:color w:val="auto"/>
        </w:rPr>
      </w:pPr>
      <w:r>
        <w:rPr>
          <w:rFonts w:ascii="Arial" w:cs="Arial" w:eastAsia="Arial" w:hAnsi="Arial"/>
          <w:sz w:val="18"/>
          <w:szCs w:val="18"/>
          <w:color w:val="auto"/>
        </w:rPr>
        <w:t>Autologous CAR T therapy has made significant advances in addressing R/R NHL, and may move to earlier lines of therapy, as further described below under "—Competition".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from the Phase 1 ALLO-501 ALPHA Trial and the Phase 1 ALLO-501A ALPHA2 Trial</w:t>
      </w:r>
    </w:p>
    <w:p>
      <w:pPr>
        <w:spacing w:after="0" w:line="225"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In December 2021 at the ASH annual meeting, we, in collaboration with Servier, announced interim results from the Phase 1 ALPHA trial of ALLO-501 and from the Phase 1 ALPHA2 trial of ALLO-501A.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ALPHA and ALPHA2 trial enrollment information is set forth in the table below.</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56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92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ALPHA</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ALPHA2</w:t>
            </w:r>
          </w:p>
        </w:tc>
      </w:tr>
      <w:tr>
        <w:trPr>
          <w:trHeight w:val="237"/>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Data Cutoff</w:t>
            </w:r>
          </w:p>
        </w:tc>
        <w:tc>
          <w:tcPr>
            <w:tcW w:w="1920" w:type="dxa"/>
            <w:vAlign w:val="bottom"/>
            <w:tcBorders>
              <w:bottom w:val="single" w:sz="8" w:color="auto"/>
            </w:tcBorders>
          </w:tcPr>
          <w:p>
            <w:pPr>
              <w:spacing w:after="0"/>
              <w:rPr>
                <w:sz w:val="20"/>
                <w:szCs w:val="20"/>
                <w:color w:val="auto"/>
              </w:rPr>
            </w:pPr>
          </w:p>
        </w:tc>
        <w:tc>
          <w:tcPr>
            <w:tcW w:w="35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October 18, 2021</w:t>
            </w:r>
          </w:p>
        </w:tc>
      </w:tr>
      <w:tr>
        <w:trPr>
          <w:trHeight w:val="236"/>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Enrolled</w:t>
            </w:r>
          </w:p>
        </w:tc>
        <w:tc>
          <w:tcPr>
            <w:tcW w:w="19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89"/>
              </w:rPr>
              <w:t>50</w:t>
            </w:r>
          </w:p>
        </w:tc>
        <w:tc>
          <w:tcPr>
            <w:tcW w:w="10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29</w:t>
            </w:r>
          </w:p>
        </w:tc>
      </w:tr>
      <w:tr>
        <w:trPr>
          <w:trHeight w:val="236"/>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Evaluable for Safety</w:t>
            </w:r>
          </w:p>
        </w:tc>
        <w:tc>
          <w:tcPr>
            <w:tcW w:w="192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rPr>
              <w:t>49*</w:t>
            </w:r>
          </w:p>
        </w:tc>
        <w:tc>
          <w:tcPr>
            <w:tcW w:w="10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28**</w:t>
            </w:r>
          </w:p>
        </w:tc>
      </w:tr>
      <w:tr>
        <w:trPr>
          <w:trHeight w:val="243"/>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Evaluable for Efficacy</w:t>
            </w:r>
          </w:p>
        </w:tc>
        <w:tc>
          <w:tcPr>
            <w:tcW w:w="1920" w:type="dxa"/>
            <w:vAlign w:val="bottom"/>
            <w:tcBorders>
              <w:bottom w:val="single" w:sz="8" w:color="auto"/>
            </w:tcBorders>
          </w:tcPr>
          <w:p>
            <w:pPr>
              <w:jc w:val="center"/>
              <w:ind w:left="910"/>
              <w:spacing w:after="0" w:line="243" w:lineRule="exact"/>
              <w:rPr>
                <w:sz w:val="20"/>
                <w:szCs w:val="20"/>
                <w:color w:val="auto"/>
              </w:rPr>
            </w:pPr>
            <w:r>
              <w:rPr>
                <w:rFonts w:ascii="Arial" w:cs="Arial" w:eastAsia="Arial" w:hAnsi="Arial"/>
                <w:sz w:val="18"/>
                <w:szCs w:val="18"/>
                <w:color w:val="auto"/>
                <w:w w:val="83"/>
              </w:rPr>
              <w:t>40</w:t>
            </w:r>
            <w:r>
              <w:rPr>
                <w:rFonts w:ascii="Arial" w:cs="Arial" w:eastAsia="Arial" w:hAnsi="Arial"/>
                <w:sz w:val="23"/>
                <w:szCs w:val="23"/>
                <w:color w:val="auto"/>
                <w:w w:val="83"/>
                <w:vertAlign w:val="superscript"/>
              </w:rPr>
              <w:t>#</w:t>
            </w:r>
          </w:p>
        </w:tc>
        <w:tc>
          <w:tcPr>
            <w:tcW w:w="1040" w:type="dxa"/>
            <w:vAlign w:val="bottom"/>
            <w:tcBorders>
              <w:bottom w:val="single" w:sz="8" w:color="auto"/>
              <w:right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3"/>
              </w:rPr>
              <w:t>25</w:t>
            </w:r>
            <w:r>
              <w:rPr>
                <w:rFonts w:ascii="Arial" w:cs="Arial" w:eastAsia="Arial" w:hAnsi="Arial"/>
                <w:sz w:val="23"/>
                <w:szCs w:val="23"/>
                <w:color w:val="auto"/>
                <w:w w:val="83"/>
                <w:vertAlign w:val="superscript"/>
              </w:rPr>
              <w:t>†</w:t>
            </w:r>
          </w:p>
        </w:tc>
      </w:tr>
      <w:tr>
        <w:trPr>
          <w:trHeight w:val="230"/>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Initiated Treatment</w:t>
            </w:r>
          </w:p>
        </w:tc>
        <w:tc>
          <w:tcPr>
            <w:tcW w:w="192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88"/>
              </w:rPr>
              <w:t>98%</w:t>
            </w:r>
          </w:p>
        </w:tc>
        <w:tc>
          <w:tcPr>
            <w:tcW w:w="10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97%</w:t>
            </w:r>
          </w:p>
        </w:tc>
      </w:tr>
      <w:tr>
        <w:trPr>
          <w:trHeight w:val="237"/>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Median Days Enrollment to Treatment Initiation</w:t>
            </w:r>
          </w:p>
        </w:tc>
        <w:tc>
          <w:tcPr>
            <w:tcW w:w="192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79"/>
              </w:rPr>
              <w:t>5</w:t>
            </w:r>
          </w:p>
        </w:tc>
        <w:tc>
          <w:tcPr>
            <w:tcW w:w="10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r>
    </w:tbl>
    <w:p>
      <w:pPr>
        <w:spacing w:after="0" w:line="76" w:lineRule="exact"/>
        <w:rPr>
          <w:sz w:val="20"/>
          <w:szCs w:val="20"/>
          <w:color w:val="auto"/>
        </w:rPr>
      </w:pPr>
    </w:p>
    <w:p>
      <w:pPr>
        <w:ind w:right="7340" w:firstLine="8"/>
        <w:spacing w:after="0" w:line="184" w:lineRule="auto"/>
        <w:tabs>
          <w:tab w:leader="none" w:pos="7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 xml:space="preserve">One patient unable to be treated due to rapidly progressing disease </w:t>
      </w:r>
      <w:r>
        <w:rPr>
          <w:rFonts w:ascii="Arial" w:cs="Arial" w:eastAsia="Arial" w:hAnsi="Arial"/>
          <w:sz w:val="17"/>
          <w:szCs w:val="17"/>
          <w:color w:val="auto"/>
          <w:vertAlign w:val="superscript"/>
        </w:rPr>
        <w:t>**</w:t>
      </w:r>
      <w:r>
        <w:rPr>
          <w:rFonts w:ascii="Arial" w:cs="Arial" w:eastAsia="Arial" w:hAnsi="Arial"/>
          <w:sz w:val="14"/>
          <w:szCs w:val="14"/>
          <w:color w:val="auto"/>
        </w:rPr>
        <w:t xml:space="preserve"> One patient developed COVID-19 before treatment</w:t>
      </w:r>
    </w:p>
    <w:p>
      <w:pPr>
        <w:spacing w:after="0" w:line="182"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w:t>
      </w:r>
      <w:r>
        <w:rPr>
          <w:rFonts w:ascii="Arial" w:cs="Arial" w:eastAsia="Arial" w:hAnsi="Arial"/>
          <w:sz w:val="14"/>
          <w:szCs w:val="14"/>
          <w:color w:val="auto"/>
        </w:rPr>
        <w:t xml:space="preserve"> Only CAR T Naïve subjects presented from ALPHA at ASH 2021</w:t>
      </w:r>
    </w:p>
    <w:p>
      <w:pPr>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w:t>
      </w:r>
      <w:r>
        <w:rPr>
          <w:rFonts w:ascii="Arial" w:cs="Arial" w:eastAsia="Arial" w:hAnsi="Arial"/>
          <w:sz w:val="14"/>
          <w:szCs w:val="14"/>
          <w:color w:val="auto"/>
        </w:rPr>
        <w:t>One patient started lymphodepletion but became ineligible due to central nervous system disease progression; two treated patients yet to reach tumor assessment at data cutoff</w:t>
      </w:r>
    </w:p>
    <w:p>
      <w:pPr>
        <w:spacing w:after="0" w:line="158"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Patients received lymphodepletion (LD) containing fludarabine (30mg/m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x 3 days), cyclophosphamide (Cy) (300mg/m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x 3 days) and ALLO-647 (30, 60 or 90mg) followed by escalating dose levels (DL) of ALLO-501 or ALLO-501A. In consolidation, patients with stable disease or better at day 28 received a chemotherapy-free lymphodepletion (ALLO-647 only) and allogeneic CAR T cell infusion (120 x 10</w:t>
      </w:r>
      <w:r>
        <w:rPr>
          <w:rFonts w:ascii="Arial" w:cs="Arial" w:eastAsia="Arial" w:hAnsi="Arial"/>
          <w:sz w:val="20"/>
          <w:szCs w:val="20"/>
          <w:color w:val="auto"/>
          <w:vertAlign w:val="superscript"/>
        </w:rPr>
        <w:t>6</w:t>
      </w:r>
      <w:r>
        <w:rPr>
          <w:rFonts w:ascii="Arial" w:cs="Arial" w:eastAsia="Arial" w:hAnsi="Arial"/>
          <w:sz w:val="16"/>
          <w:szCs w:val="16"/>
          <w:color w:val="auto"/>
        </w:rPr>
        <w:t xml:space="preserve"> CAR+ T cells). The trials explored two consolidation cohorts. Consolidation 1 used the standard Cy dosing (300mg/m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x 3 days). Consolidation 2 explored a higher Cy dose (500mg/m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x 3 days).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Response Rates Across the ALPHA and ALPHA2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 ALLO-501 Response Rates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6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5"/>
              </w:rPr>
              <w:t>Follicular Lymphoma (FL)</w:t>
            </w:r>
          </w:p>
        </w:tc>
        <w:tc>
          <w:tcPr>
            <w:tcW w:w="1080" w:type="dxa"/>
            <w:vAlign w:val="bottom"/>
            <w:tcBorders>
              <w:top w:val="single" w:sz="8" w:color="auto"/>
              <w:bottom w:val="single" w:sz="8" w:color="auto"/>
              <w:right w:val="single" w:sz="8" w:color="auto"/>
            </w:tcBorders>
          </w:tcPr>
          <w:p>
            <w:pPr>
              <w:spacing w:after="0"/>
              <w:rPr>
                <w:sz w:val="21"/>
                <w:szCs w:val="21"/>
                <w:color w:val="auto"/>
              </w:rPr>
            </w:pPr>
          </w:p>
        </w:tc>
        <w:tc>
          <w:tcPr>
            <w:tcW w:w="394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Large B Cell Lymphoma (LBCL)</w:t>
            </w:r>
          </w:p>
        </w:tc>
        <w:tc>
          <w:tcPr>
            <w:tcW w:w="1460" w:type="dxa"/>
            <w:vAlign w:val="bottom"/>
            <w:tcBorders>
              <w:top w:val="single" w:sz="8" w:color="auto"/>
              <w:bottom w:val="single" w:sz="8" w:color="auto"/>
              <w:right w:val="single" w:sz="8" w:color="auto"/>
            </w:tcBorders>
          </w:tcPr>
          <w:p>
            <w:pPr>
              <w:spacing w:after="0"/>
              <w:rPr>
                <w:sz w:val="21"/>
                <w:szCs w:val="21"/>
                <w:color w:val="auto"/>
              </w:rPr>
            </w:pPr>
          </w:p>
        </w:tc>
      </w:tr>
      <w:tr>
        <w:trPr>
          <w:trHeight w:val="188"/>
        </w:trPr>
        <w:tc>
          <w:tcPr>
            <w:tcW w:w="166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ind w:left="260"/>
              <w:spacing w:after="0" w:line="188" w:lineRule="exact"/>
              <w:rPr>
                <w:sz w:val="20"/>
                <w:szCs w:val="20"/>
                <w:color w:val="auto"/>
              </w:rPr>
            </w:pPr>
            <w:r>
              <w:rPr>
                <w:rFonts w:ascii="Arial" w:cs="Arial" w:eastAsia="Arial" w:hAnsi="Arial"/>
                <w:sz w:val="18"/>
                <w:szCs w:val="18"/>
                <w:color w:val="auto"/>
              </w:rPr>
              <w:t>Single dose</w:t>
            </w:r>
          </w:p>
        </w:tc>
        <w:tc>
          <w:tcPr>
            <w:tcW w:w="13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1"/>
              </w:rPr>
              <w:t>Consolidation</w:t>
            </w:r>
          </w:p>
        </w:tc>
        <w:tc>
          <w:tcPr>
            <w:tcW w:w="300" w:type="dxa"/>
            <w:vAlign w:val="bottom"/>
          </w:tcPr>
          <w:p>
            <w:pPr>
              <w:spacing w:after="0"/>
              <w:rPr>
                <w:sz w:val="16"/>
                <w:szCs w:val="16"/>
                <w:color w:val="auto"/>
              </w:rPr>
            </w:pPr>
          </w:p>
        </w:tc>
        <w:tc>
          <w:tcPr>
            <w:tcW w:w="1080" w:type="dxa"/>
            <w:vAlign w:val="bottom"/>
            <w:tcBorders>
              <w:right w:val="single" w:sz="8" w:color="auto"/>
            </w:tcBorders>
          </w:tcPr>
          <w:p>
            <w:pPr>
              <w:ind w:left="140"/>
              <w:spacing w:after="0" w:line="188" w:lineRule="exact"/>
              <w:rPr>
                <w:sz w:val="20"/>
                <w:szCs w:val="20"/>
                <w:color w:val="auto"/>
              </w:rPr>
            </w:pPr>
            <w:r>
              <w:rPr>
                <w:rFonts w:ascii="Arial" w:cs="Arial" w:eastAsia="Arial" w:hAnsi="Arial"/>
                <w:sz w:val="18"/>
                <w:szCs w:val="18"/>
                <w:color w:val="auto"/>
              </w:rPr>
              <w:t>All FL</w:t>
            </w:r>
          </w:p>
        </w:tc>
        <w:tc>
          <w:tcPr>
            <w:tcW w:w="1280" w:type="dxa"/>
            <w:vAlign w:val="bottom"/>
            <w:tcBorders>
              <w:right w:val="single" w:sz="8" w:color="auto"/>
            </w:tcBorders>
          </w:tcPr>
          <w:p>
            <w:pPr>
              <w:ind w:left="220"/>
              <w:spacing w:after="0" w:line="188" w:lineRule="exact"/>
              <w:rPr>
                <w:sz w:val="20"/>
                <w:szCs w:val="20"/>
                <w:color w:val="auto"/>
              </w:rPr>
            </w:pPr>
            <w:r>
              <w:rPr>
                <w:rFonts w:ascii="Arial" w:cs="Arial" w:eastAsia="Arial" w:hAnsi="Arial"/>
                <w:sz w:val="18"/>
                <w:szCs w:val="18"/>
                <w:color w:val="auto"/>
              </w:rPr>
              <w:t>Single dose</w:t>
            </w:r>
          </w:p>
        </w:tc>
        <w:tc>
          <w:tcPr>
            <w:tcW w:w="13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1"/>
              </w:rPr>
              <w:t>Consolidation</w:t>
            </w:r>
          </w:p>
        </w:tc>
        <w:tc>
          <w:tcPr>
            <w:tcW w:w="1280" w:type="dxa"/>
            <w:vAlign w:val="bottom"/>
            <w:tcBorders>
              <w:right w:val="single" w:sz="8" w:color="auto"/>
            </w:tcBorders>
          </w:tcPr>
          <w:p>
            <w:pPr>
              <w:ind w:left="260"/>
              <w:spacing w:after="0" w:line="188" w:lineRule="exact"/>
              <w:rPr>
                <w:sz w:val="20"/>
                <w:szCs w:val="20"/>
                <w:color w:val="auto"/>
              </w:rPr>
            </w:pPr>
            <w:r>
              <w:rPr>
                <w:rFonts w:ascii="Arial" w:cs="Arial" w:eastAsia="Arial" w:hAnsi="Arial"/>
                <w:sz w:val="18"/>
                <w:szCs w:val="18"/>
                <w:color w:val="auto"/>
              </w:rPr>
              <w:t>All LBCL</w:t>
            </w:r>
          </w:p>
        </w:tc>
        <w:tc>
          <w:tcPr>
            <w:tcW w:w="1460" w:type="dxa"/>
            <w:vAlign w:val="bottom"/>
            <w:tcBorders>
              <w:right w:val="single" w:sz="8" w:color="auto"/>
            </w:tcBorders>
          </w:tcPr>
          <w:p>
            <w:pPr>
              <w:ind w:left="300"/>
              <w:spacing w:after="0" w:line="188" w:lineRule="exact"/>
              <w:rPr>
                <w:sz w:val="20"/>
                <w:szCs w:val="20"/>
                <w:color w:val="auto"/>
              </w:rPr>
            </w:pPr>
            <w:r>
              <w:rPr>
                <w:rFonts w:ascii="Arial" w:cs="Arial" w:eastAsia="Arial" w:hAnsi="Arial"/>
                <w:sz w:val="18"/>
                <w:szCs w:val="18"/>
                <w:color w:val="auto"/>
              </w:rPr>
              <w:t>All Patients</w:t>
            </w:r>
          </w:p>
        </w:tc>
      </w:tr>
      <w:tr>
        <w:trPr>
          <w:trHeight w:val="237"/>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(N=18)</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(N=8)</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3"/>
              </w:rPr>
              <w:t>(N=26)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(N=11)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(N=14)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(N=40)</w:t>
            </w:r>
          </w:p>
        </w:tc>
      </w:tr>
      <w:tr>
        <w:trPr>
          <w:trHeight w:val="188"/>
        </w:trPr>
        <w:tc>
          <w:tcPr>
            <w:tcW w:w="16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Overall Response</w:t>
            </w:r>
          </w:p>
        </w:tc>
        <w:tc>
          <w:tcPr>
            <w:tcW w:w="13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14 (78%)</w:t>
            </w:r>
          </w:p>
        </w:tc>
        <w:tc>
          <w:tcPr>
            <w:tcW w:w="13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7 (88%)</w:t>
            </w:r>
          </w:p>
        </w:tc>
        <w:tc>
          <w:tcPr>
            <w:tcW w:w="300" w:type="dxa"/>
            <w:vAlign w:val="bottom"/>
          </w:tcPr>
          <w:p>
            <w:pPr>
              <w:spacing w:after="0"/>
              <w:rPr>
                <w:sz w:val="16"/>
                <w:szCs w:val="16"/>
                <w:color w:val="auto"/>
              </w:rPr>
            </w:pPr>
          </w:p>
        </w:tc>
        <w:tc>
          <w:tcPr>
            <w:tcW w:w="1080" w:type="dxa"/>
            <w:vAlign w:val="bottom"/>
            <w:tcBorders>
              <w:right w:val="single" w:sz="8" w:color="auto"/>
            </w:tcBorders>
          </w:tcPr>
          <w:p>
            <w:pPr>
              <w:jc w:val="center"/>
              <w:ind w:right="230"/>
              <w:spacing w:after="0" w:line="189" w:lineRule="exact"/>
              <w:rPr>
                <w:sz w:val="20"/>
                <w:szCs w:val="20"/>
                <w:color w:val="auto"/>
              </w:rPr>
            </w:pPr>
            <w:r>
              <w:rPr>
                <w:rFonts w:ascii="Arial" w:cs="Arial" w:eastAsia="Arial" w:hAnsi="Arial"/>
                <w:sz w:val="18"/>
                <w:szCs w:val="18"/>
                <w:color w:val="auto"/>
                <w:w w:val="93"/>
              </w:rPr>
              <w:t>21 (81%)</w:t>
            </w:r>
          </w:p>
        </w:tc>
        <w:tc>
          <w:tcPr>
            <w:tcW w:w="12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7 (64%)</w:t>
            </w:r>
          </w:p>
        </w:tc>
        <w:tc>
          <w:tcPr>
            <w:tcW w:w="13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2 (67%)</w:t>
            </w:r>
          </w:p>
        </w:tc>
        <w:tc>
          <w:tcPr>
            <w:tcW w:w="12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9 (64%)</w:t>
            </w:r>
          </w:p>
        </w:tc>
        <w:tc>
          <w:tcPr>
            <w:tcW w:w="14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30 (75%)</w:t>
            </w:r>
          </w:p>
        </w:tc>
      </w:tr>
      <w:tr>
        <w:trPr>
          <w:trHeight w:val="237"/>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Rate (ORR), n (%)</w:t>
            </w:r>
          </w:p>
        </w:tc>
        <w:tc>
          <w:tcPr>
            <w:tcW w:w="13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7"/>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CR, n (%)</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 (50%)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6 (75%)</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3"/>
              </w:rPr>
              <w:t>15 (58%)</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 (45%)</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 (33%)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6 (43%)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21 (53%)</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Consolidation 1 and 2 combined due to limited sample size at the time of the data cutoff</w:t>
      </w:r>
    </w:p>
    <w:p>
      <w:pPr>
        <w:spacing w:after="0" w:line="221"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Among the 21 FL patients and 11 LBCL patients who were autologous CAR T naïve, 33% and 36% achieved a CR at six months. With the exception of one previously disclosed patient who died from unrelated arrhythmia, all LBCL patients who achieved a CR at month six remained in CR with the longest ongoing CR at 18+ months as of the data cutoff.</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ALPHA2 ALLO-501A Response Rates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260" w:type="dxa"/>
            <w:vAlign w:val="bottom"/>
            <w:tcBorders>
              <w:top w:val="single" w:sz="8" w:color="auto"/>
              <w:left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DL1/DL2</w:t>
            </w:r>
          </w:p>
        </w:tc>
        <w:tc>
          <w:tcPr>
            <w:tcW w:w="2660" w:type="dxa"/>
            <w:vAlign w:val="bottom"/>
            <w:tcBorders>
              <w:top w:val="single" w:sz="8" w:color="auto"/>
              <w:right w:val="single" w:sz="8" w:color="auto"/>
            </w:tcBorders>
          </w:tcPr>
          <w:p>
            <w:pPr>
              <w:ind w:left="760"/>
              <w:spacing w:after="0" w:line="195" w:lineRule="exact"/>
              <w:rPr>
                <w:sz w:val="20"/>
                <w:szCs w:val="20"/>
                <w:color w:val="auto"/>
              </w:rPr>
            </w:pPr>
            <w:r>
              <w:rPr>
                <w:rFonts w:ascii="Arial" w:cs="Arial" w:eastAsia="Arial" w:hAnsi="Arial"/>
                <w:sz w:val="18"/>
                <w:szCs w:val="18"/>
                <w:color w:val="auto"/>
              </w:rPr>
              <w:t>Consolidation 1</w:t>
            </w:r>
          </w:p>
        </w:tc>
        <w:tc>
          <w:tcPr>
            <w:tcW w:w="2180" w:type="dxa"/>
            <w:vAlign w:val="bottom"/>
            <w:tcBorders>
              <w:top w:val="single" w:sz="8" w:color="auto"/>
              <w:right w:val="single" w:sz="8" w:color="auto"/>
            </w:tcBorders>
          </w:tcPr>
          <w:p>
            <w:pPr>
              <w:ind w:left="500"/>
              <w:spacing w:after="0" w:line="195" w:lineRule="exact"/>
              <w:rPr>
                <w:sz w:val="20"/>
                <w:szCs w:val="20"/>
                <w:color w:val="auto"/>
              </w:rPr>
            </w:pPr>
            <w:r>
              <w:rPr>
                <w:rFonts w:ascii="Arial" w:cs="Arial" w:eastAsia="Arial" w:hAnsi="Arial"/>
                <w:sz w:val="18"/>
                <w:szCs w:val="18"/>
                <w:color w:val="auto"/>
              </w:rPr>
              <w:t>Consolidation 2</w:t>
            </w:r>
          </w:p>
        </w:tc>
        <w:tc>
          <w:tcPr>
            <w:tcW w:w="1620" w:type="dxa"/>
            <w:vAlign w:val="bottom"/>
            <w:tcBorders>
              <w:top w:val="single" w:sz="8" w:color="auto"/>
              <w:right w:val="single" w:sz="8" w:color="auto"/>
            </w:tcBorders>
          </w:tcPr>
          <w:p>
            <w:pPr>
              <w:ind w:left="380"/>
              <w:spacing w:after="0" w:line="195" w:lineRule="exact"/>
              <w:rPr>
                <w:sz w:val="20"/>
                <w:szCs w:val="20"/>
                <w:color w:val="auto"/>
              </w:rPr>
            </w:pPr>
            <w:r>
              <w:rPr>
                <w:rFonts w:ascii="Arial" w:cs="Arial" w:eastAsia="Arial" w:hAnsi="Arial"/>
                <w:sz w:val="18"/>
                <w:szCs w:val="18"/>
                <w:color w:val="auto"/>
              </w:rPr>
              <w:t>All Patients</w:t>
            </w:r>
          </w:p>
        </w:tc>
        <w:tc>
          <w:tcPr>
            <w:tcW w:w="20" w:type="dxa"/>
            <w:vAlign w:val="bottom"/>
          </w:tcPr>
          <w:p>
            <w:pPr>
              <w:spacing w:after="0"/>
              <w:rPr>
                <w:sz w:val="16"/>
                <w:szCs w:val="16"/>
                <w:color w:val="auto"/>
              </w:rPr>
            </w:pPr>
          </w:p>
        </w:tc>
      </w:tr>
      <w:tr>
        <w:trPr>
          <w:trHeight w:val="237"/>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(N=6)</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(N=9)</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(N=10)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(N=25)</w:t>
            </w:r>
          </w:p>
        </w:tc>
        <w:tc>
          <w:tcPr>
            <w:tcW w:w="20" w:type="dxa"/>
            <w:vAlign w:val="bottom"/>
          </w:tcPr>
          <w:p>
            <w:pPr>
              <w:spacing w:after="0"/>
              <w:rPr>
                <w:sz w:val="20"/>
                <w:szCs w:val="20"/>
                <w:color w:val="auto"/>
              </w:rPr>
            </w:pPr>
          </w:p>
        </w:tc>
      </w:tr>
      <w:tr>
        <w:trPr>
          <w:trHeight w:val="237"/>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ORR, n (%)</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2 (33%)</w:t>
            </w:r>
          </w:p>
        </w:tc>
        <w:tc>
          <w:tcPr>
            <w:tcW w:w="2660" w:type="dxa"/>
            <w:vAlign w:val="bottom"/>
            <w:tcBorders>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color w:val="auto"/>
              </w:rPr>
              <w:t>4 (44%)</w:t>
            </w:r>
          </w:p>
        </w:tc>
        <w:tc>
          <w:tcPr>
            <w:tcW w:w="21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6 (60%)</w:t>
            </w:r>
          </w:p>
        </w:tc>
        <w:tc>
          <w:tcPr>
            <w:tcW w:w="162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12 (48%)</w:t>
            </w:r>
          </w:p>
        </w:tc>
        <w:tc>
          <w:tcPr>
            <w:tcW w:w="20" w:type="dxa"/>
            <w:vAlign w:val="bottom"/>
          </w:tcPr>
          <w:p>
            <w:pPr>
              <w:spacing w:after="0"/>
              <w:rPr>
                <w:sz w:val="20"/>
                <w:szCs w:val="20"/>
                <w:color w:val="auto"/>
              </w:rPr>
            </w:pPr>
          </w:p>
        </w:tc>
      </w:tr>
      <w:tr>
        <w:trPr>
          <w:trHeight w:val="864"/>
        </w:trPr>
        <w:tc>
          <w:tcPr>
            <w:tcW w:w="2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60" w:type="dxa"/>
            <w:vAlign w:val="bottom"/>
          </w:tcPr>
          <w:p>
            <w:pPr>
              <w:ind w:left="780"/>
              <w:spacing w:after="0"/>
              <w:rPr>
                <w:sz w:val="20"/>
                <w:szCs w:val="20"/>
                <w:color w:val="auto"/>
              </w:rPr>
            </w:pPr>
            <w:r>
              <w:rPr>
                <w:rFonts w:ascii="Arial" w:cs="Arial" w:eastAsia="Arial" w:hAnsi="Arial"/>
                <w:sz w:val="18"/>
                <w:szCs w:val="18"/>
                <w:color w:val="auto"/>
              </w:rPr>
              <w:t>16</w:t>
            </w:r>
          </w:p>
        </w:tc>
        <w:tc>
          <w:tcPr>
            <w:tcW w:w="2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 n (%)</w:t>
            </w:r>
          </w:p>
        </w:tc>
        <w:tc>
          <w:tcPr>
            <w:tcW w:w="2500" w:type="dxa"/>
            <w:vAlign w:val="bottom"/>
            <w:tcBorders>
              <w:top w:val="single" w:sz="8" w:color="auto"/>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2 (33%)</w:t>
            </w:r>
          </w:p>
        </w:tc>
        <w:tc>
          <w:tcPr>
            <w:tcW w:w="2660" w:type="dxa"/>
            <w:vAlign w:val="bottom"/>
            <w:tcBorders>
              <w:top w:val="single" w:sz="8" w:color="auto"/>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color w:val="auto"/>
              </w:rPr>
              <w:t>4 (44%)</w:t>
            </w:r>
          </w:p>
        </w:tc>
        <w:tc>
          <w:tcPr>
            <w:tcW w:w="2180" w:type="dxa"/>
            <w:vAlign w:val="bottom"/>
            <w:tcBorders>
              <w:top w:val="single" w:sz="8" w:color="auto"/>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1 (10%)</w:t>
            </w:r>
          </w:p>
        </w:tc>
        <w:tc>
          <w:tcPr>
            <w:tcW w:w="162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7 (28%)</w:t>
            </w:r>
          </w:p>
        </w:tc>
      </w:tr>
      <w:tr>
        <w:trPr>
          <w:trHeight w:val="237"/>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Longest CR (months)</w:t>
            </w:r>
          </w:p>
        </w:tc>
        <w:tc>
          <w:tcPr>
            <w:tcW w:w="2500" w:type="dxa"/>
            <w:vAlign w:val="bottom"/>
            <w:tcBorders>
              <w:bottom w:val="single" w:sz="8" w:color="auto"/>
              <w:right w:val="single" w:sz="8" w:color="auto"/>
            </w:tcBorders>
          </w:tcPr>
          <w:p>
            <w:pPr>
              <w:jc w:val="right"/>
              <w:ind w:right="1030"/>
              <w:spacing w:after="0"/>
              <w:rPr>
                <w:sz w:val="20"/>
                <w:szCs w:val="20"/>
                <w:color w:val="auto"/>
              </w:rPr>
            </w:pPr>
            <w:r>
              <w:rPr>
                <w:rFonts w:ascii="Arial" w:cs="Arial" w:eastAsia="Arial" w:hAnsi="Arial"/>
                <w:sz w:val="18"/>
                <w:szCs w:val="18"/>
                <w:color w:val="auto"/>
              </w:rPr>
              <w:t>15+</w:t>
            </w:r>
          </w:p>
        </w:tc>
        <w:tc>
          <w:tcPr>
            <w:tcW w:w="2660" w:type="dxa"/>
            <w:vAlign w:val="bottom"/>
            <w:tcBorders>
              <w:bottom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9+</w:t>
            </w:r>
          </w:p>
        </w:tc>
        <w:tc>
          <w:tcPr>
            <w:tcW w:w="218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15+</w:t>
            </w:r>
          </w:p>
        </w:tc>
      </w:tr>
    </w:tbl>
    <w:p>
      <w:pPr>
        <w:spacing w:after="0" w:line="310"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As of the data cutoff, all ALPHA2 patients who achieved a CR at month six remained in CR with the longest ongoing CR at 15+ months and longest ongoing CRs in the consolidation cohort at 9+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Combined ALPHA + ALPHA2 Consolidation Response Rates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5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Consolidation 1</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Consolidation 2</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All Patients</w:t>
            </w:r>
          </w:p>
        </w:tc>
      </w:tr>
      <w:tr>
        <w:trPr>
          <w:trHeight w:val="236"/>
        </w:trPr>
        <w:tc>
          <w:tcPr>
            <w:tcW w:w="154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 = 16</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 = 14</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 = 30</w:t>
            </w:r>
          </w:p>
        </w:tc>
      </w:tr>
      <w:tr>
        <w:trPr>
          <w:trHeight w:val="237"/>
        </w:trPr>
        <w:tc>
          <w:tcPr>
            <w:tcW w:w="1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ORR, n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 (56%)</w:t>
            </w:r>
          </w:p>
        </w:tc>
        <w:tc>
          <w:tcPr>
            <w:tcW w:w="250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10 (71%)</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 (63%)</w:t>
            </w:r>
          </w:p>
        </w:tc>
      </w:tr>
      <w:tr>
        <w:trPr>
          <w:trHeight w:val="236"/>
        </w:trPr>
        <w:tc>
          <w:tcPr>
            <w:tcW w:w="1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 n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 (44%)</w:t>
            </w:r>
          </w:p>
        </w:tc>
        <w:tc>
          <w:tcPr>
            <w:tcW w:w="250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5 (36%)</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 (40%)</w:t>
            </w: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dose schedules suggest clinically encouraging activity with respect to ORR and CR.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 Across the ALPHA and ALPHA2 Trials</w:t>
      </w:r>
    </w:p>
    <w:p>
      <w:pPr>
        <w:spacing w:after="0" w:line="225" w:lineRule="exact"/>
        <w:rPr>
          <w:sz w:val="20"/>
          <w:szCs w:val="20"/>
          <w:color w:val="auto"/>
        </w:rPr>
      </w:pPr>
    </w:p>
    <w:p>
      <w:pPr>
        <w:ind w:right="560" w:firstLine="648"/>
        <w:spacing w:after="0" w:line="274" w:lineRule="auto"/>
        <w:rPr>
          <w:sz w:val="20"/>
          <w:szCs w:val="20"/>
          <w:color w:val="auto"/>
        </w:rPr>
      </w:pPr>
      <w:r>
        <w:rPr>
          <w:rFonts w:ascii="Arial" w:cs="Arial" w:eastAsia="Arial" w:hAnsi="Arial"/>
          <w:sz w:val="17"/>
          <w:szCs w:val="17"/>
          <w:color w:val="auto"/>
        </w:rPr>
        <w:t>ALLO-501 and ALLO-501A were associated with consistent and manageable safety with no dose limiting toxicities (DLTs) or GvHD, and minimal Grade 3 Immune Effector Cell-Associated Neurotoxicity Syndrome (ICANS), or Grade 3 cytokine release syndrome (CRS).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 ALLO-501 Safety</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620" w:type="dxa"/>
            <w:vAlign w:val="bottom"/>
            <w:tcBorders>
              <w:top w:val="single" w:sz="8" w:color="auto"/>
              <w:left w:val="single" w:sz="8" w:color="auto"/>
              <w:right w:val="single" w:sz="8" w:color="auto"/>
            </w:tcBorders>
          </w:tcPr>
          <w:p>
            <w:pPr>
              <w:spacing w:after="0"/>
              <w:rPr>
                <w:sz w:val="16"/>
                <w:szCs w:val="16"/>
                <w:color w:val="auto"/>
              </w:rPr>
            </w:pPr>
          </w:p>
        </w:tc>
        <w:tc>
          <w:tcPr>
            <w:tcW w:w="1900" w:type="dxa"/>
            <w:vAlign w:val="bottom"/>
            <w:tcBorders>
              <w:top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8"/>
              </w:rPr>
              <w:t>DL1 40M</w:t>
            </w:r>
          </w:p>
        </w:tc>
        <w:tc>
          <w:tcPr>
            <w:tcW w:w="1860" w:type="dxa"/>
            <w:vAlign w:val="bottom"/>
            <w:tcBorders>
              <w:top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DL2 120M (N=16)</w:t>
            </w:r>
          </w:p>
        </w:tc>
        <w:tc>
          <w:tcPr>
            <w:tcW w:w="1820" w:type="dxa"/>
            <w:vAlign w:val="bottom"/>
            <w:tcBorders>
              <w:top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DL3 360M (N=18)</w:t>
            </w:r>
          </w:p>
        </w:tc>
        <w:tc>
          <w:tcPr>
            <w:tcW w:w="1880" w:type="dxa"/>
            <w:vAlign w:val="bottom"/>
            <w:tcBorders>
              <w:top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Consolidation (N=11)</w:t>
            </w:r>
          </w:p>
        </w:tc>
        <w:tc>
          <w:tcPr>
            <w:tcW w:w="1860" w:type="dxa"/>
            <w:vAlign w:val="bottom"/>
            <w:tcBorders>
              <w:top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4"/>
              </w:rPr>
              <w:t>All Patients (N=49)</w:t>
            </w:r>
          </w:p>
        </w:tc>
      </w:tr>
      <w:tr>
        <w:trPr>
          <w:trHeight w:val="237"/>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96"/>
              </w:rPr>
              <w:t>(N=4)</w:t>
            </w: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r>
      <w:tr>
        <w:trPr>
          <w:trHeight w:val="237"/>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All</w:t>
            </w:r>
          </w:p>
        </w:tc>
        <w:tc>
          <w:tcPr>
            <w:tcW w:w="2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Gr3+</w:t>
            </w:r>
          </w:p>
        </w:tc>
        <w:tc>
          <w:tcPr>
            <w:tcW w:w="6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All</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Gr3+</w:t>
            </w: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All</w:t>
            </w:r>
          </w:p>
        </w:tc>
        <w:tc>
          <w:tcPr>
            <w:tcW w:w="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Gr3+</w:t>
            </w:r>
          </w:p>
        </w:tc>
        <w:tc>
          <w:tcPr>
            <w:tcW w:w="7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All</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Gr3+</w:t>
            </w:r>
          </w:p>
        </w:tc>
        <w:tc>
          <w:tcPr>
            <w:tcW w:w="6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All</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Gr3+</w:t>
            </w:r>
          </w:p>
        </w:tc>
      </w:tr>
      <w:tr>
        <w:trPr>
          <w:trHeight w:val="236"/>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IRR*</w:t>
            </w:r>
          </w:p>
        </w:tc>
        <w:tc>
          <w:tcPr>
            <w:tcW w:w="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50%</w:t>
            </w:r>
          </w:p>
        </w:tc>
        <w:tc>
          <w:tcPr>
            <w:tcW w:w="2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6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8"/>
              </w:rPr>
              <w:t>69%</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61%</w:t>
            </w:r>
          </w:p>
        </w:tc>
        <w:tc>
          <w:tcPr>
            <w:tcW w:w="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64%</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18%</w:t>
            </w:r>
          </w:p>
        </w:tc>
        <w:tc>
          <w:tcPr>
            <w:tcW w:w="6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4"/>
              </w:rPr>
              <w:t>63%</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37"/>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CRS</w:t>
            </w:r>
          </w:p>
        </w:tc>
        <w:tc>
          <w:tcPr>
            <w:tcW w:w="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79"/>
              </w:rPr>
              <w:t>0</w:t>
            </w:r>
          </w:p>
        </w:tc>
        <w:tc>
          <w:tcPr>
            <w:tcW w:w="2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6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8"/>
              </w:rPr>
              <w:t>31%</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33%</w:t>
            </w:r>
          </w:p>
        </w:tc>
        <w:tc>
          <w:tcPr>
            <w:tcW w:w="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27%</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6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4"/>
              </w:rPr>
              <w:t>29%</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r>
      <w:tr>
        <w:trPr>
          <w:trHeight w:val="236"/>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Neurotoxicity</w:t>
            </w:r>
          </w:p>
        </w:tc>
        <w:tc>
          <w:tcPr>
            <w:tcW w:w="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25%</w:t>
            </w:r>
          </w:p>
        </w:tc>
        <w:tc>
          <w:tcPr>
            <w:tcW w:w="2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6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8"/>
              </w:rPr>
              <w:t>25%</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22%</w:t>
            </w:r>
          </w:p>
        </w:tc>
        <w:tc>
          <w:tcPr>
            <w:tcW w:w="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36%</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6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4"/>
              </w:rPr>
              <w:t>27%</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r>
      <w:tr>
        <w:trPr>
          <w:trHeight w:val="237"/>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GvHD</w:t>
            </w:r>
          </w:p>
        </w:tc>
        <w:tc>
          <w:tcPr>
            <w:tcW w:w="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79"/>
              </w:rPr>
              <w:t>0</w:t>
            </w:r>
          </w:p>
        </w:tc>
        <w:tc>
          <w:tcPr>
            <w:tcW w:w="2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6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79"/>
              </w:rPr>
              <w:t>0</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79"/>
              </w:rPr>
              <w:t>0</w:t>
            </w:r>
          </w:p>
        </w:tc>
        <w:tc>
          <w:tcPr>
            <w:tcW w:w="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79"/>
              </w:rPr>
              <w:t>0</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6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0</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36"/>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Infection</w:t>
            </w:r>
          </w:p>
        </w:tc>
        <w:tc>
          <w:tcPr>
            <w:tcW w:w="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75%</w:t>
            </w:r>
          </w:p>
        </w:tc>
        <w:tc>
          <w:tcPr>
            <w:tcW w:w="2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6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8"/>
              </w:rPr>
              <w:t>63%</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38%</w:t>
            </w:r>
          </w:p>
        </w:tc>
        <w:tc>
          <w:tcPr>
            <w:tcW w:w="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61%</w:t>
            </w:r>
          </w:p>
        </w:tc>
        <w:tc>
          <w:tcPr>
            <w:tcW w:w="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17%</w:t>
            </w:r>
          </w:p>
        </w:tc>
        <w:tc>
          <w:tcPr>
            <w:tcW w:w="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64%</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36%</w:t>
            </w:r>
          </w:p>
        </w:tc>
        <w:tc>
          <w:tcPr>
            <w:tcW w:w="6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4"/>
              </w:rPr>
              <w:t>63%</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w:t>
            </w:r>
          </w:p>
        </w:tc>
      </w:tr>
      <w:tr>
        <w:trPr>
          <w:trHeight w:val="237"/>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Neutropenia</w:t>
            </w:r>
          </w:p>
        </w:tc>
        <w:tc>
          <w:tcPr>
            <w:tcW w:w="7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1"/>
              </w:rPr>
              <w:t>100%</w:t>
            </w:r>
          </w:p>
        </w:tc>
        <w:tc>
          <w:tcPr>
            <w:tcW w:w="2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75%</w:t>
            </w:r>
          </w:p>
        </w:tc>
        <w:tc>
          <w:tcPr>
            <w:tcW w:w="6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8"/>
              </w:rPr>
              <w:t>75%</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c>
          <w:tcPr>
            <w:tcW w:w="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83%</w:t>
            </w:r>
          </w:p>
        </w:tc>
        <w:tc>
          <w:tcPr>
            <w:tcW w:w="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72%</w:t>
            </w:r>
          </w:p>
        </w:tc>
        <w:tc>
          <w:tcPr>
            <w:tcW w:w="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82%</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64%</w:t>
            </w:r>
          </w:p>
        </w:tc>
        <w:tc>
          <w:tcPr>
            <w:tcW w:w="6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4"/>
              </w:rPr>
              <w:t>82%</w:t>
            </w:r>
          </w:p>
        </w:tc>
        <w:tc>
          <w:tcPr>
            <w:tcW w:w="2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71%</w:t>
            </w:r>
          </w:p>
        </w:tc>
      </w:tr>
      <w:tr>
        <w:trPr>
          <w:trHeight w:val="188"/>
        </w:trPr>
        <w:tc>
          <w:tcPr>
            <w:tcW w:w="162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Serious Adverse</w:t>
            </w:r>
          </w:p>
        </w:tc>
        <w:tc>
          <w:tcPr>
            <w:tcW w:w="700" w:type="dxa"/>
            <w:vAlign w:val="bottom"/>
          </w:tcPr>
          <w:p>
            <w:pPr>
              <w:spacing w:after="0"/>
              <w:rPr>
                <w:sz w:val="16"/>
                <w:szCs w:val="16"/>
                <w:color w:val="auto"/>
              </w:rPr>
            </w:pPr>
          </w:p>
        </w:tc>
        <w:tc>
          <w:tcPr>
            <w:tcW w:w="1200" w:type="dxa"/>
            <w:vAlign w:val="bottom"/>
            <w:tcBorders>
              <w:right w:val="single" w:sz="8" w:color="auto"/>
            </w:tcBorders>
            <w:gridSpan w:val="2"/>
          </w:tcPr>
          <w:p>
            <w:pPr>
              <w:jc w:val="center"/>
              <w:ind w:right="650"/>
              <w:spacing w:after="0" w:line="188" w:lineRule="exact"/>
              <w:rPr>
                <w:sz w:val="20"/>
                <w:szCs w:val="20"/>
                <w:color w:val="auto"/>
              </w:rPr>
            </w:pPr>
            <w:r>
              <w:rPr>
                <w:rFonts w:ascii="Arial" w:cs="Arial" w:eastAsia="Arial" w:hAnsi="Arial"/>
                <w:sz w:val="18"/>
                <w:szCs w:val="18"/>
                <w:color w:val="auto"/>
                <w:w w:val="94"/>
              </w:rPr>
              <w:t>25%</w:t>
            </w:r>
          </w:p>
        </w:tc>
        <w:tc>
          <w:tcPr>
            <w:tcW w:w="6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690"/>
              <w:spacing w:after="0" w:line="188" w:lineRule="exact"/>
              <w:rPr>
                <w:sz w:val="20"/>
                <w:szCs w:val="20"/>
                <w:color w:val="auto"/>
              </w:rPr>
            </w:pPr>
            <w:r>
              <w:rPr>
                <w:rFonts w:ascii="Arial" w:cs="Arial" w:eastAsia="Arial" w:hAnsi="Arial"/>
                <w:sz w:val="18"/>
                <w:szCs w:val="18"/>
                <w:color w:val="auto"/>
              </w:rPr>
              <w:t>56%</w:t>
            </w:r>
          </w:p>
        </w:tc>
        <w:tc>
          <w:tcPr>
            <w:tcW w:w="66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670"/>
              <w:spacing w:after="0" w:line="188" w:lineRule="exact"/>
              <w:rPr>
                <w:sz w:val="20"/>
                <w:szCs w:val="20"/>
                <w:color w:val="auto"/>
              </w:rPr>
            </w:pPr>
            <w:r>
              <w:rPr>
                <w:rFonts w:ascii="Arial" w:cs="Arial" w:eastAsia="Arial" w:hAnsi="Arial"/>
                <w:sz w:val="18"/>
                <w:szCs w:val="18"/>
                <w:color w:val="auto"/>
              </w:rPr>
              <w:t>28%</w:t>
            </w:r>
          </w:p>
        </w:tc>
        <w:tc>
          <w:tcPr>
            <w:tcW w:w="70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690"/>
              <w:spacing w:after="0" w:line="188" w:lineRule="exact"/>
              <w:rPr>
                <w:sz w:val="20"/>
                <w:szCs w:val="20"/>
                <w:color w:val="auto"/>
              </w:rPr>
            </w:pPr>
            <w:r>
              <w:rPr>
                <w:rFonts w:ascii="Arial" w:cs="Arial" w:eastAsia="Arial" w:hAnsi="Arial"/>
                <w:sz w:val="18"/>
                <w:szCs w:val="18"/>
                <w:color w:val="auto"/>
              </w:rPr>
              <w:t>27%</w:t>
            </w:r>
          </w:p>
        </w:tc>
        <w:tc>
          <w:tcPr>
            <w:tcW w:w="6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690"/>
              <w:spacing w:after="0" w:line="188" w:lineRule="exact"/>
              <w:rPr>
                <w:sz w:val="20"/>
                <w:szCs w:val="20"/>
                <w:color w:val="auto"/>
              </w:rPr>
            </w:pPr>
            <w:r>
              <w:rPr>
                <w:rFonts w:ascii="Arial" w:cs="Arial" w:eastAsia="Arial" w:hAnsi="Arial"/>
                <w:sz w:val="18"/>
                <w:szCs w:val="18"/>
                <w:color w:val="auto"/>
              </w:rPr>
              <w:t>37%</w:t>
            </w:r>
          </w:p>
        </w:tc>
      </w:tr>
      <w:tr>
        <w:trPr>
          <w:trHeight w:val="237"/>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Event (AE)</w:t>
            </w: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*Infusion-related reactions (IRR).</w:t>
      </w:r>
    </w:p>
    <w:p>
      <w:pPr>
        <w:spacing w:after="0" w:line="221"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Grade 3+ infection rates were observed at a rate similar to that seen in autologous CAR T trials. There were five treatment-emergent deaths in the absence of disease progression, all of which were previously reported.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ALPHA2 ALLO-501A Safety</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940" w:type="dxa"/>
            <w:vAlign w:val="bottom"/>
            <w:tcBorders>
              <w:top w:val="single" w:sz="8" w:color="auto"/>
              <w:left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8"/>
              </w:rPr>
              <w:t>DL1 40M</w:t>
            </w:r>
          </w:p>
        </w:tc>
        <w:tc>
          <w:tcPr>
            <w:tcW w:w="2000" w:type="dxa"/>
            <w:vAlign w:val="bottom"/>
            <w:tcBorders>
              <w:top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8"/>
              </w:rPr>
              <w:t>DL2 120M</w:t>
            </w:r>
          </w:p>
        </w:tc>
        <w:tc>
          <w:tcPr>
            <w:tcW w:w="1760" w:type="dxa"/>
            <w:vAlign w:val="bottom"/>
            <w:tcBorders>
              <w:top w:val="single" w:sz="8" w:color="auto"/>
              <w:right w:val="single" w:sz="8" w:color="auto"/>
            </w:tcBorders>
            <w:gridSpan w:val="3"/>
          </w:tcPr>
          <w:p>
            <w:pPr>
              <w:ind w:left="300"/>
              <w:spacing w:after="0" w:line="195" w:lineRule="exact"/>
              <w:rPr>
                <w:sz w:val="20"/>
                <w:szCs w:val="20"/>
                <w:color w:val="auto"/>
              </w:rPr>
            </w:pPr>
            <w:r>
              <w:rPr>
                <w:rFonts w:ascii="Arial" w:cs="Arial" w:eastAsia="Arial" w:hAnsi="Arial"/>
                <w:sz w:val="18"/>
                <w:szCs w:val="18"/>
                <w:color w:val="auto"/>
              </w:rPr>
              <w:t>Consolidation 1</w:t>
            </w:r>
          </w:p>
        </w:tc>
        <w:tc>
          <w:tcPr>
            <w:tcW w:w="1920" w:type="dxa"/>
            <w:vAlign w:val="bottom"/>
            <w:tcBorders>
              <w:top w:val="single" w:sz="8" w:color="auto"/>
              <w:right w:val="single" w:sz="8" w:color="auto"/>
            </w:tcBorders>
            <w:gridSpan w:val="3"/>
          </w:tcPr>
          <w:p>
            <w:pPr>
              <w:ind w:left="380"/>
              <w:spacing w:after="0" w:line="195" w:lineRule="exact"/>
              <w:rPr>
                <w:sz w:val="20"/>
                <w:szCs w:val="20"/>
                <w:color w:val="auto"/>
              </w:rPr>
            </w:pPr>
            <w:r>
              <w:rPr>
                <w:rFonts w:ascii="Arial" w:cs="Arial" w:eastAsia="Arial" w:hAnsi="Arial"/>
                <w:sz w:val="18"/>
                <w:szCs w:val="18"/>
                <w:color w:val="auto"/>
              </w:rPr>
              <w:t>Consolidation 2</w:t>
            </w:r>
          </w:p>
        </w:tc>
        <w:tc>
          <w:tcPr>
            <w:tcW w:w="1720" w:type="dxa"/>
            <w:vAlign w:val="bottom"/>
            <w:tcBorders>
              <w:top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4"/>
              </w:rPr>
              <w:t>All Patients (N=28)</w:t>
            </w:r>
          </w:p>
        </w:tc>
      </w:tr>
      <w:tr>
        <w:trPr>
          <w:trHeight w:val="237"/>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(N=1)</w:t>
            </w: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gridSpan w:val="2"/>
          </w:tcPr>
          <w:p>
            <w:pPr>
              <w:jc w:val="center"/>
              <w:ind w:right="650"/>
              <w:spacing w:after="0"/>
              <w:rPr>
                <w:sz w:val="20"/>
                <w:szCs w:val="20"/>
                <w:color w:val="auto"/>
              </w:rPr>
            </w:pPr>
            <w:r>
              <w:rPr>
                <w:rFonts w:ascii="Arial" w:cs="Arial" w:eastAsia="Arial" w:hAnsi="Arial"/>
                <w:sz w:val="18"/>
                <w:szCs w:val="18"/>
                <w:color w:val="auto"/>
                <w:w w:val="96"/>
              </w:rPr>
              <w:t>(N=6)</w:t>
            </w:r>
          </w:p>
        </w:tc>
        <w:tc>
          <w:tcPr>
            <w:tcW w:w="17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(N=11)</w:t>
            </w:r>
          </w:p>
        </w:tc>
        <w:tc>
          <w:tcPr>
            <w:tcW w:w="122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color w:val="auto"/>
                <w:w w:val="93"/>
              </w:rPr>
              <w:t>(N=10)</w:t>
            </w: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37"/>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 Gr</w:t>
            </w:r>
          </w:p>
        </w:tc>
        <w:tc>
          <w:tcPr>
            <w:tcW w:w="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Gr 3+</w:t>
            </w: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All Gr</w:t>
            </w:r>
          </w:p>
        </w:tc>
        <w:tc>
          <w:tcPr>
            <w:tcW w:w="2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Gr 3+</w:t>
            </w: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All Gr</w:t>
            </w:r>
          </w:p>
        </w:tc>
        <w:tc>
          <w:tcPr>
            <w:tcW w:w="2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Gr 3+</w:t>
            </w:r>
          </w:p>
        </w:tc>
        <w:tc>
          <w:tcPr>
            <w:tcW w:w="9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All Gr</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 3+</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 Gr</w:t>
            </w:r>
          </w:p>
        </w:tc>
        <w:tc>
          <w:tcPr>
            <w:tcW w:w="2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Gr 3+</w:t>
            </w:r>
          </w:p>
        </w:tc>
      </w:tr>
      <w:tr>
        <w:trPr>
          <w:trHeight w:val="250"/>
        </w:trPr>
        <w:tc>
          <w:tcPr>
            <w:tcW w:w="19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IRR</w:t>
            </w:r>
          </w:p>
        </w:tc>
        <w:tc>
          <w:tcPr>
            <w:tcW w:w="7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100%</w:t>
            </w:r>
          </w:p>
        </w:tc>
        <w:tc>
          <w:tcPr>
            <w:tcW w:w="1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4"/>
              </w:rPr>
              <w:t>33%</w:t>
            </w:r>
          </w:p>
        </w:tc>
        <w:tc>
          <w:tcPr>
            <w:tcW w:w="26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6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4"/>
              </w:rPr>
              <w:t>27%</w:t>
            </w:r>
          </w:p>
        </w:tc>
        <w:tc>
          <w:tcPr>
            <w:tcW w:w="2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79"/>
              </w:rPr>
              <w:t>0</w:t>
            </w:r>
          </w:p>
        </w:tc>
        <w:tc>
          <w:tcPr>
            <w:tcW w:w="6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4"/>
              </w:rPr>
              <w:t>25%</w:t>
            </w:r>
          </w:p>
        </w:tc>
        <w:tc>
          <w:tcPr>
            <w:tcW w:w="2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37"/>
        </w:trPr>
        <w:tc>
          <w:tcPr>
            <w:tcW w:w="19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CRS</w:t>
            </w:r>
          </w:p>
        </w:tc>
        <w:tc>
          <w:tcPr>
            <w:tcW w:w="7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100%</w:t>
            </w:r>
          </w:p>
        </w:tc>
        <w:tc>
          <w:tcPr>
            <w:tcW w:w="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4"/>
              </w:rPr>
              <w:t>17%</w:t>
            </w:r>
          </w:p>
        </w:tc>
        <w:tc>
          <w:tcPr>
            <w:tcW w:w="2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6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9"/>
              </w:rPr>
              <w:t>0</w:t>
            </w:r>
          </w:p>
        </w:tc>
        <w:tc>
          <w:tcPr>
            <w:tcW w:w="2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79"/>
              </w:rPr>
              <w:t>0</w:t>
            </w:r>
          </w:p>
        </w:tc>
        <w:tc>
          <w:tcPr>
            <w:tcW w:w="6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11%</w:t>
            </w:r>
          </w:p>
        </w:tc>
        <w:tc>
          <w:tcPr>
            <w:tcW w:w="2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50"/>
        </w:trPr>
        <w:tc>
          <w:tcPr>
            <w:tcW w:w="19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Neurotoxicity</w:t>
            </w:r>
          </w:p>
        </w:tc>
        <w:tc>
          <w:tcPr>
            <w:tcW w:w="7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100%</w:t>
            </w:r>
          </w:p>
        </w:tc>
        <w:tc>
          <w:tcPr>
            <w:tcW w:w="1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4"/>
              </w:rPr>
              <w:t>33%</w:t>
            </w:r>
          </w:p>
        </w:tc>
        <w:tc>
          <w:tcPr>
            <w:tcW w:w="26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6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9%</w:t>
            </w:r>
          </w:p>
        </w:tc>
        <w:tc>
          <w:tcPr>
            <w:tcW w:w="2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79"/>
              </w:rPr>
              <w:t>0</w:t>
            </w:r>
          </w:p>
        </w:tc>
        <w:tc>
          <w:tcPr>
            <w:tcW w:w="6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4"/>
              </w:rPr>
              <w:t>21%</w:t>
            </w:r>
          </w:p>
        </w:tc>
        <w:tc>
          <w:tcPr>
            <w:tcW w:w="2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50"/>
        </w:trPr>
        <w:tc>
          <w:tcPr>
            <w:tcW w:w="19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GvHD</w:t>
            </w:r>
          </w:p>
        </w:tc>
        <w:tc>
          <w:tcPr>
            <w:tcW w:w="7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79"/>
              </w:rPr>
              <w:t>0</w:t>
            </w:r>
          </w:p>
        </w:tc>
        <w:tc>
          <w:tcPr>
            <w:tcW w:w="1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0</w:t>
            </w:r>
          </w:p>
        </w:tc>
        <w:tc>
          <w:tcPr>
            <w:tcW w:w="26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6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9"/>
              </w:rPr>
              <w:t>0</w:t>
            </w:r>
          </w:p>
        </w:tc>
        <w:tc>
          <w:tcPr>
            <w:tcW w:w="2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79"/>
              </w:rPr>
              <w:t>0</w:t>
            </w:r>
          </w:p>
        </w:tc>
        <w:tc>
          <w:tcPr>
            <w:tcW w:w="6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9"/>
              </w:rPr>
              <w:t>0</w:t>
            </w:r>
          </w:p>
        </w:tc>
        <w:tc>
          <w:tcPr>
            <w:tcW w:w="2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50"/>
        </w:trPr>
        <w:tc>
          <w:tcPr>
            <w:tcW w:w="19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Infection</w:t>
            </w:r>
          </w:p>
        </w:tc>
        <w:tc>
          <w:tcPr>
            <w:tcW w:w="7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100%</w:t>
            </w:r>
          </w:p>
        </w:tc>
        <w:tc>
          <w:tcPr>
            <w:tcW w:w="1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4"/>
              </w:rPr>
              <w:t>83%</w:t>
            </w:r>
          </w:p>
        </w:tc>
        <w:tc>
          <w:tcPr>
            <w:tcW w:w="26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17%</w:t>
            </w:r>
          </w:p>
        </w:tc>
        <w:tc>
          <w:tcPr>
            <w:tcW w:w="6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4"/>
              </w:rPr>
              <w:t>27%</w:t>
            </w:r>
          </w:p>
        </w:tc>
        <w:tc>
          <w:tcPr>
            <w:tcW w:w="2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88"/>
              </w:rPr>
              <w:t>10%</w:t>
            </w:r>
          </w:p>
        </w:tc>
        <w:tc>
          <w:tcPr>
            <w:tcW w:w="6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4"/>
              </w:rPr>
              <w:t>36%</w:t>
            </w:r>
          </w:p>
        </w:tc>
        <w:tc>
          <w:tcPr>
            <w:tcW w:w="2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r>
      <w:tr>
        <w:trPr>
          <w:trHeight w:val="250"/>
        </w:trPr>
        <w:tc>
          <w:tcPr>
            <w:tcW w:w="19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Neutropenia</w:t>
            </w:r>
          </w:p>
        </w:tc>
        <w:tc>
          <w:tcPr>
            <w:tcW w:w="7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79"/>
              </w:rPr>
              <w:t>0</w:t>
            </w:r>
          </w:p>
        </w:tc>
        <w:tc>
          <w:tcPr>
            <w:tcW w:w="1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1"/>
              </w:rPr>
              <w:t>100%</w:t>
            </w:r>
          </w:p>
        </w:tc>
        <w:tc>
          <w:tcPr>
            <w:tcW w:w="26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6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4"/>
              </w:rPr>
              <w:t>36%</w:t>
            </w:r>
          </w:p>
        </w:tc>
        <w:tc>
          <w:tcPr>
            <w:tcW w:w="2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88"/>
              </w:rPr>
              <w:t>60%</w:t>
            </w:r>
          </w:p>
        </w:tc>
        <w:tc>
          <w:tcPr>
            <w:tcW w:w="6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4"/>
              </w:rPr>
              <w:t>57%</w:t>
            </w:r>
          </w:p>
        </w:tc>
        <w:tc>
          <w:tcPr>
            <w:tcW w:w="2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57%</w:t>
            </w:r>
          </w:p>
        </w:tc>
      </w:tr>
      <w:tr>
        <w:trPr>
          <w:trHeight w:val="237"/>
        </w:trPr>
        <w:tc>
          <w:tcPr>
            <w:tcW w:w="19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Serious AE</w:t>
            </w:r>
          </w:p>
        </w:tc>
        <w:tc>
          <w:tcPr>
            <w:tcW w:w="7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gridSpan w:val="2"/>
          </w:tcPr>
          <w:p>
            <w:pPr>
              <w:jc w:val="center"/>
              <w:ind w:right="650"/>
              <w:spacing w:after="0"/>
              <w:rPr>
                <w:sz w:val="20"/>
                <w:szCs w:val="20"/>
                <w:color w:val="auto"/>
              </w:rPr>
            </w:pPr>
            <w:r>
              <w:rPr>
                <w:rFonts w:ascii="Arial" w:cs="Arial" w:eastAsia="Arial" w:hAnsi="Arial"/>
                <w:sz w:val="18"/>
                <w:szCs w:val="18"/>
                <w:color w:val="auto"/>
                <w:w w:val="79"/>
              </w:rPr>
              <w:t>0</w:t>
            </w: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gridSpan w:val="2"/>
          </w:tcPr>
          <w:p>
            <w:pPr>
              <w:jc w:val="center"/>
              <w:ind w:right="670"/>
              <w:spacing w:after="0"/>
              <w:rPr>
                <w:sz w:val="20"/>
                <w:szCs w:val="20"/>
                <w:color w:val="auto"/>
              </w:rPr>
            </w:pPr>
            <w:r>
              <w:rPr>
                <w:rFonts w:ascii="Arial" w:cs="Arial" w:eastAsia="Arial" w:hAnsi="Arial"/>
                <w:sz w:val="18"/>
                <w:szCs w:val="18"/>
                <w:color w:val="auto"/>
                <w:w w:val="91"/>
              </w:rPr>
              <w:t>100%</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gridSpan w:val="2"/>
          </w:tcPr>
          <w:p>
            <w:pPr>
              <w:jc w:val="right"/>
              <w:ind w:right="630"/>
              <w:spacing w:after="0"/>
              <w:rPr>
                <w:sz w:val="20"/>
                <w:szCs w:val="20"/>
                <w:color w:val="auto"/>
              </w:rPr>
            </w:pPr>
            <w:r>
              <w:rPr>
                <w:rFonts w:ascii="Arial" w:cs="Arial" w:eastAsia="Arial" w:hAnsi="Arial"/>
                <w:sz w:val="18"/>
                <w:szCs w:val="18"/>
                <w:color w:val="auto"/>
                <w:w w:val="94"/>
              </w:rPr>
              <w:t>18%</w:t>
            </w: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30%</w:t>
            </w: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gridSpan w:val="2"/>
          </w:tcPr>
          <w:p>
            <w:pPr>
              <w:jc w:val="right"/>
              <w:ind w:right="610"/>
              <w:spacing w:after="0"/>
              <w:rPr>
                <w:sz w:val="20"/>
                <w:szCs w:val="20"/>
                <w:color w:val="auto"/>
              </w:rPr>
            </w:pPr>
            <w:r>
              <w:rPr>
                <w:rFonts w:ascii="Arial" w:cs="Arial" w:eastAsia="Arial" w:hAnsi="Arial"/>
                <w:sz w:val="18"/>
                <w:szCs w:val="18"/>
                <w:color w:val="auto"/>
                <w:w w:val="94"/>
              </w:rPr>
              <w:t>39%</w:t>
            </w:r>
          </w:p>
        </w:tc>
      </w:tr>
    </w:tbl>
    <w:p>
      <w:pPr>
        <w:spacing w:after="0" w:line="310"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The safety profile of ALLO-501A was manageable in both the single-dose and both consolidation cohorts. There were no treatment-emergent deaths in the trial. A chromosomal abnormality was observed in a patient in Consolidation 2 that led to a clinical hold on our clinical trials. The abnormality was investigated, which resulted in the resolution of the clinical hold on our clinical trials.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239" w:lineRule="exact"/>
        <w:rPr>
          <w:sz w:val="20"/>
          <w:szCs w:val="20"/>
          <w:color w:val="auto"/>
        </w:rPr>
      </w:pPr>
    </w:p>
    <w:p>
      <w:pPr>
        <w:ind w:right="40" w:firstLine="810"/>
        <w:spacing w:after="0" w:line="248" w:lineRule="auto"/>
        <w:rPr>
          <w:sz w:val="20"/>
          <w:szCs w:val="20"/>
          <w:color w:val="auto"/>
        </w:rPr>
      </w:pPr>
      <w:r>
        <w:rPr>
          <w:rFonts w:ascii="Arial" w:cs="Arial" w:eastAsia="Arial" w:hAnsi="Arial"/>
          <w:sz w:val="18"/>
          <w:szCs w:val="18"/>
          <w:color w:val="auto"/>
        </w:rPr>
        <w:t>The ALPHA trial is an open-label, Phase 1, single arm, multicenter clinical trial evaluating the safety and tolerability of ALLO-501 in adult patients with R/R large B-cell lymphoma, including DLBCL, or FL. We completed accrual in the ALPHA trial in 2021 and are following patients as part of long-term follow-up.</w:t>
      </w:r>
    </w:p>
    <w:p>
      <w:pPr>
        <w:spacing w:after="0" w:line="209" w:lineRule="exact"/>
        <w:rPr>
          <w:sz w:val="20"/>
          <w:szCs w:val="20"/>
          <w:color w:val="auto"/>
        </w:rPr>
      </w:pPr>
    </w:p>
    <w:p>
      <w:pPr>
        <w:ind w:right="40" w:firstLine="810"/>
        <w:spacing w:after="0" w:line="260" w:lineRule="auto"/>
        <w:rPr>
          <w:sz w:val="20"/>
          <w:szCs w:val="20"/>
          <w:color w:val="auto"/>
        </w:rPr>
      </w:pPr>
      <w:r>
        <w:rPr>
          <w:rFonts w:ascii="Arial" w:cs="Arial" w:eastAsia="Arial" w:hAnsi="Arial"/>
          <w:sz w:val="17"/>
          <w:szCs w:val="17"/>
          <w:color w:val="auto"/>
        </w:rPr>
        <w:t>In the second quarter of 2020, we initiated ALPHA2, which is an open-label, Phase 1/2, single arm, multicenter clinical trial evaluating the safety and efficacy of ALLO-501A in adult patients with R/R large B-cell lymphoma, including DLBCL, or transformed FL. Cell kinetics and pharmacodynamics of ALLO-501A will be evaluated as secondary and exploratory objectives, respectively. The Phase 1 portion of the ALPHA2 trial is designed to assess the safety and tolerability at increasing dose levels of ALLO-501A and consolidation of ALLO-501A dosing, in order to identify the recommended doses and schedule of ALLO-501A and the lymphodepletion regimen for use in the Phase 2 portion of the trial. We plan to seek agreement with the FDA to proceed to Phase 2 on matters such as chemistry, manufacturing and controls (CMC), including for the use of ALLO-501A manufactured at our own manufacturing facility, and trial designs to evaluate both ALLO-501A and ALLO-647. Subject to FDA discussion and further patient follow-up, we plan to proceed to the Phase 2 portion of the trial in adult patients with R/R large B-cell lymphoma in mid-2022. Prior to initiating Phase 2, we plan to continue to enroll patients in the Phase 1 portion of the trial.</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Anti-BCMA Development Program</w:t>
      </w:r>
    </w:p>
    <w:p>
      <w:pPr>
        <w:spacing w:after="0" w:line="239" w:lineRule="exact"/>
        <w:rPr>
          <w:sz w:val="20"/>
          <w:szCs w:val="20"/>
          <w:color w:val="auto"/>
        </w:rPr>
      </w:pPr>
    </w:p>
    <w:p>
      <w:pPr>
        <w:ind w:right="200" w:firstLine="810"/>
        <w:spacing w:after="0" w:line="243" w:lineRule="auto"/>
        <w:rPr>
          <w:sz w:val="20"/>
          <w:szCs w:val="20"/>
          <w:color w:val="auto"/>
        </w:rPr>
      </w:pPr>
      <w:r>
        <w:rPr>
          <w:rFonts w:ascii="Arial" w:cs="Arial" w:eastAsia="Arial" w:hAnsi="Arial"/>
          <w:sz w:val="18"/>
          <w:szCs w:val="18"/>
          <w:color w:val="auto"/>
        </w:rPr>
        <w:t>BCMA is a member of the tumor necrosis factor receptor family and is selectively expressed on immunoglobulin-producing plasma cells, including malignant plasma cells (myeloma cells). We believe BCMA is an appropriate target for the treatment of multiple myeloma. Several autologous anti-BCMA targeted CAR T therapies have shown promising results in clinical trials, one of which has been approved by the FDA for adult patients with R/R multiple myeloma.</w:t>
      </w:r>
    </w:p>
    <w:p>
      <w:pPr>
        <w:spacing w:after="0" w:line="215" w:lineRule="exact"/>
        <w:rPr>
          <w:sz w:val="20"/>
          <w:szCs w:val="20"/>
          <w:color w:val="auto"/>
        </w:rPr>
      </w:pPr>
    </w:p>
    <w:p>
      <w:pPr>
        <w:ind w:firstLine="810"/>
        <w:spacing w:after="0" w:line="262" w:lineRule="auto"/>
        <w:rPr>
          <w:sz w:val="20"/>
          <w:szCs w:val="20"/>
          <w:color w:val="auto"/>
        </w:rPr>
      </w:pPr>
      <w:r>
        <w:rPr>
          <w:rFonts w:ascii="Arial" w:cs="Arial" w:eastAsia="Arial" w:hAnsi="Arial"/>
          <w:sz w:val="17"/>
          <w:szCs w:val="17"/>
          <w:color w:val="auto"/>
        </w:rPr>
        <w:t>We are currently advancing a three-part strategy for the treatment of multiple myeloma. First, we are advancing ALLO-715, an anti-BCMA allogeneic CAR T cell product candidate. ALLO-715 is manufactured to express a CAR that is designed to target BCMA and gene edited to lack TCRα and CD52 to minimize the risk of GvHD and enable a window of persistence in the patient when dosed in combination with ALLO-647. In addition, rituximab recognition domains, as an off-switch, have been incorporated in between the scFv and the linker domain.</w:t>
      </w:r>
    </w:p>
    <w:p>
      <w:pPr>
        <w:spacing w:after="0" w:line="199" w:lineRule="exact"/>
        <w:rPr>
          <w:sz w:val="20"/>
          <w:szCs w:val="20"/>
          <w:color w:val="auto"/>
        </w:rPr>
      </w:pPr>
    </w:p>
    <w:p>
      <w:pPr>
        <w:jc w:val="both"/>
        <w:ind w:right="80" w:firstLine="810"/>
        <w:spacing w:after="0" w:line="262" w:lineRule="auto"/>
        <w:rPr>
          <w:sz w:val="20"/>
          <w:szCs w:val="20"/>
          <w:color w:val="auto"/>
        </w:rPr>
      </w:pPr>
      <w:r>
        <w:rPr>
          <w:rFonts w:ascii="Arial" w:cs="Arial" w:eastAsia="Arial" w:hAnsi="Arial"/>
          <w:sz w:val="17"/>
          <w:szCs w:val="17"/>
          <w:color w:val="auto"/>
        </w:rPr>
        <w:t>Second, as part of the ongoing Phase 1 clinical trial (the UNIVERSAL trial) of ALLO-715 in adult patients with R/R multiple myeloma, we are assessing the combination of ALLO-715 with SpringWorks Therapeutics, Inc.’s investigational gamma secretase inhibitor, nirogacestat. Gamma secretase inhibition prevents the cleavage and shedding of BCMA from the surface of myeloma cells. In preclinical models, nirogacestat has been shown to increase the cell surface density of BCMA and reduce levels of soluble BCMA, thereby enhancing the activity of BCMA-targeted therapies.</w:t>
      </w:r>
    </w:p>
    <w:p>
      <w:pPr>
        <w:spacing w:after="0" w:line="199" w:lineRule="exact"/>
        <w:rPr>
          <w:sz w:val="20"/>
          <w:szCs w:val="20"/>
          <w:color w:val="auto"/>
        </w:rPr>
      </w:pPr>
    </w:p>
    <w:p>
      <w:pPr>
        <w:ind w:right="180" w:firstLine="810"/>
        <w:spacing w:after="0" w:line="262" w:lineRule="auto"/>
        <w:rPr>
          <w:sz w:val="20"/>
          <w:szCs w:val="20"/>
          <w:color w:val="auto"/>
        </w:rPr>
      </w:pPr>
      <w:r>
        <w:rPr>
          <w:rFonts w:ascii="Arial" w:cs="Arial" w:eastAsia="Arial" w:hAnsi="Arial"/>
          <w:sz w:val="17"/>
          <w:szCs w:val="17"/>
          <w:color w:val="auto"/>
        </w:rPr>
        <w:t>Third, we are progressing our next-generation version of ALLO-715, known as ALLO-605, that incorporates our TurboCAR technology to allow cytokine signaling to be engineered selectively into CAR T cells. TurboCARs have shown the ability to improve the potency and persistence of the CAR T cells and to delay exhaustion of the CAR T cells in preclinical models. ALLO-605 uses a constitutive cytokine signaling domain and a rituximab-mediated off-switch, as illustrated below. We initiated the Phase 1 clinical trial (the IGNITE trial) of ALLO-605 in mid-2021.</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212090</wp:posOffset>
            </wp:positionV>
            <wp:extent cx="2571750" cy="2451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7175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Target Indication: Multiple Myeloma</w:t>
      </w:r>
    </w:p>
    <w:p>
      <w:pPr>
        <w:spacing w:after="0" w:line="25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Multiple myeloma is a hematological malignancy that is characterized by uncontrolled expansion of bone marrow plasma cells. There will be an estimated 34,470 new cases of multiple myeloma and 12,640 deaths from multiple myeloma in 2022 in the United States according to the American Cancer Society. Multiple myeloma predominantly affects the elderly, with 14 times more patients diagnosed at age 65 and over than those diagnosed under the age of 65.</w:t>
      </w:r>
    </w:p>
    <w:p>
      <w:pPr>
        <w:spacing w:after="0" w:line="215" w:lineRule="exact"/>
        <w:rPr>
          <w:sz w:val="20"/>
          <w:szCs w:val="20"/>
          <w:color w:val="auto"/>
        </w:rPr>
      </w:pPr>
    </w:p>
    <w:p>
      <w:pPr>
        <w:ind w:right="200" w:firstLine="648"/>
        <w:spacing w:after="0" w:line="241" w:lineRule="auto"/>
        <w:rPr>
          <w:sz w:val="20"/>
          <w:szCs w:val="20"/>
          <w:color w:val="auto"/>
        </w:rPr>
      </w:pPr>
      <w:r>
        <w:rPr>
          <w:rFonts w:ascii="Arial" w:cs="Arial" w:eastAsia="Arial" w:hAnsi="Arial"/>
          <w:sz w:val="18"/>
          <w:szCs w:val="18"/>
          <w:color w:val="auto"/>
        </w:rPr>
        <w:t>For patients less than age of 70 with no comorbidities, autologous stem cell therapy is the preferred option to provide a durable response. For transplant ineligible patients, immunomodulatory drugs (Revlimid, Pomalyst, Thalomid) and proteasome inhibitors (Velcade, Kyrprolis, Ninlaro), often used in combination with one another, have displaced older cytotoxic agents as the mainstay of treatment. More recently, several new drugs with novel mechanisms (Darzalex, Empliciti, Farydak, Xpovio) have been approved for multiple myeloma, however none of these novel treatments is considered as curative.</w:t>
      </w:r>
    </w:p>
    <w:p>
      <w:pPr>
        <w:spacing w:after="0" w:line="216" w:lineRule="exact"/>
        <w:rPr>
          <w:sz w:val="20"/>
          <w:szCs w:val="20"/>
          <w:color w:val="auto"/>
        </w:rPr>
      </w:pPr>
    </w:p>
    <w:p>
      <w:pPr>
        <w:ind w:right="280" w:firstLine="648"/>
        <w:spacing w:after="0" w:line="279" w:lineRule="auto"/>
        <w:rPr>
          <w:sz w:val="20"/>
          <w:szCs w:val="20"/>
          <w:color w:val="auto"/>
        </w:rPr>
      </w:pPr>
      <w:r>
        <w:rPr>
          <w:rFonts w:ascii="Arial" w:cs="Arial" w:eastAsia="Arial" w:hAnsi="Arial"/>
          <w:sz w:val="16"/>
          <w:szCs w:val="16"/>
          <w:color w:val="auto"/>
        </w:rPr>
        <w:t>Despite the introduction of newer therapies, a majority of patients are expected to relapse and the unmet need in patients with R/R myeloma remains high. In clinical trials, only 3% of patients who were previously treated with at least three lines of therapy (including proteasome inhibitors and immunomodulatory drugs), or who were refractory to both proteasome inhibitors and immunomodulatory drugs, achieved a CR to Darzalex, a CD38-directed monoclonal antibody. Median survival in such patients was just 17.5 months. Trials of autologous CAR T cell therapies have shown significant promise in multiple myeloma with reported CR rates that are substantially higher, and the first autologous CAR T cell therapy was approved in 2021.</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from the Phase 1 ALLO-715 UNIVERSAL Trial</w:t>
      </w:r>
    </w:p>
    <w:p>
      <w:pPr>
        <w:spacing w:after="0" w:line="225"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In December 2021 at the ASH annual meeting, we announced interim results from the Phase 1 UNIVERSAL study of single dose ALLO-715 in R/R multiple myeloma. As of the October 14, 2021 data cutoff, 48 patients were enrolled with 43 patients evaluable for safety and efficacy. Patients were refractory to their last line of myeloma therapy, had a median of five prior lines of therapy, and 42% were penta-refractory meaning the disease has ultimately become nonresponsive to other approved therapies. Five patients became ineligible for treatment due to rapidly progressing disease. The median time from enrollment to the start of therapy was five days.</w:t>
      </w:r>
    </w:p>
    <w:p>
      <w:pPr>
        <w:spacing w:after="0" w:line="205"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 Phase 1 UNIVERSAL trial evaluated lymphodepletion followed by ALLO-715 at one of four dose levels (DL1=40M cells, DL2=160M cells, DL3=320M cells, DL4 = 480M cells) and two LD regimens (FCA: fludarabine, Cy and ALLO-647 or CA: Cy and ALLO-647 only). The updated presentation primarily focused on the optimized DL3 cell dose and FCA lymphodepletion.</w:t>
      </w:r>
    </w:p>
    <w:p>
      <w:pPr>
        <w:spacing w:after="0" w:line="202" w:lineRule="exact"/>
        <w:rPr>
          <w:sz w:val="20"/>
          <w:szCs w:val="20"/>
          <w:color w:val="auto"/>
        </w:rPr>
      </w:pPr>
    </w:p>
    <w:p>
      <w:pPr>
        <w:ind w:right="320" w:firstLine="648"/>
        <w:spacing w:after="0" w:line="231" w:lineRule="auto"/>
        <w:rPr>
          <w:sz w:val="20"/>
          <w:szCs w:val="20"/>
          <w:color w:val="auto"/>
        </w:rPr>
      </w:pPr>
      <w:r>
        <w:rPr>
          <w:rFonts w:ascii="Arial" w:cs="Arial" w:eastAsia="Arial" w:hAnsi="Arial"/>
          <w:sz w:val="18"/>
          <w:szCs w:val="18"/>
          <w:color w:val="auto"/>
        </w:rPr>
        <w:t>The higher CAR T cell doses were associated with an increased response rate and greater allogeneic CAR T cell expansion. In the DL3 cohort which was selected for cohort expansion, the ORR was 71% with 46% of patients achieving a very good partial response (VGPR) or better (VGPR+). VGPR+ is defined as a stringent complete response (sCR), CR or VGPR. Of the patients who achieved VGPR+, 92% were Minimal Residual Disease negative.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gridSpan w:val="2"/>
          </w:tcPr>
          <w:p>
            <w:pPr>
              <w:jc w:val="center"/>
              <w:ind w:right="1430"/>
              <w:spacing w:after="0"/>
              <w:rPr>
                <w:sz w:val="20"/>
                <w:szCs w:val="20"/>
                <w:color w:val="auto"/>
              </w:rPr>
            </w:pPr>
            <w:r>
              <w:rPr>
                <w:rFonts w:ascii="Arial" w:cs="Arial" w:eastAsia="Arial" w:hAnsi="Arial"/>
                <w:sz w:val="18"/>
                <w:szCs w:val="18"/>
                <w:color w:val="auto"/>
                <w:w w:val="94"/>
              </w:rPr>
              <w:t>FCA</w:t>
            </w:r>
          </w:p>
        </w:tc>
        <w:tc>
          <w:tcPr>
            <w:tcW w:w="1740" w:type="dxa"/>
            <w:vAlign w:val="bottom"/>
            <w:tcBorders>
              <w:top w:val="single" w:sz="8" w:color="auto"/>
              <w:bottom w:val="single" w:sz="8" w:color="auto"/>
              <w:right w:val="single" w:sz="8" w:color="auto"/>
            </w:tcBorders>
          </w:tcPr>
          <w:p>
            <w:pPr>
              <w:spacing w:after="0"/>
              <w:rPr>
                <w:sz w:val="21"/>
                <w:szCs w:val="21"/>
                <w:color w:val="auto"/>
              </w:rPr>
            </w:pPr>
          </w:p>
        </w:tc>
      </w:tr>
      <w:tr>
        <w:trPr>
          <w:trHeight w:val="256"/>
        </w:trPr>
        <w:tc>
          <w:tcPr>
            <w:tcW w:w="3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Cell dose and LD regimen</w:t>
            </w:r>
          </w:p>
        </w:tc>
        <w:tc>
          <w:tcPr>
            <w:tcW w:w="174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3"/>
          </w:tcPr>
          <w:p>
            <w:pPr>
              <w:jc w:val="center"/>
              <w:spacing w:after="0" w:line="256" w:lineRule="exact"/>
              <w:rPr>
                <w:sz w:val="20"/>
                <w:szCs w:val="20"/>
                <w:color w:val="auto"/>
              </w:rPr>
            </w:pPr>
            <w:r>
              <w:rPr>
                <w:rFonts w:ascii="Arial" w:cs="Arial" w:eastAsia="Arial" w:hAnsi="Arial"/>
                <w:sz w:val="18"/>
                <w:szCs w:val="18"/>
                <w:color w:val="auto"/>
                <w:w w:val="92"/>
              </w:rPr>
              <w:t>DL3 320 x 10</w:t>
            </w:r>
            <w:r>
              <w:rPr>
                <w:rFonts w:ascii="Arial" w:cs="Arial" w:eastAsia="Arial" w:hAnsi="Arial"/>
                <w:sz w:val="23"/>
                <w:szCs w:val="23"/>
                <w:color w:val="auto"/>
                <w:w w:val="92"/>
                <w:vertAlign w:val="superscript"/>
              </w:rPr>
              <w:t>6</w:t>
            </w:r>
            <w:r>
              <w:rPr>
                <w:rFonts w:ascii="Arial" w:cs="Arial" w:eastAsia="Arial" w:hAnsi="Arial"/>
                <w:sz w:val="18"/>
                <w:szCs w:val="18"/>
                <w:color w:val="auto"/>
                <w:w w:val="92"/>
              </w:rPr>
              <w:t xml:space="preserve"> CAR+ cells</w:t>
            </w:r>
          </w:p>
        </w:tc>
        <w:tc>
          <w:tcPr>
            <w:tcW w:w="1740" w:type="dxa"/>
            <w:vAlign w:val="bottom"/>
            <w:tcBorders>
              <w:bottom w:val="single" w:sz="8" w:color="auto"/>
              <w:right w:val="single" w:sz="8" w:color="auto"/>
            </w:tcBorders>
          </w:tcPr>
          <w:p>
            <w:pPr>
              <w:spacing w:after="0"/>
              <w:rPr>
                <w:sz w:val="22"/>
                <w:szCs w:val="22"/>
                <w:color w:val="auto"/>
              </w:rPr>
            </w:pPr>
          </w:p>
        </w:tc>
      </w:tr>
      <w:tr>
        <w:trPr>
          <w:trHeight w:val="178"/>
        </w:trPr>
        <w:tc>
          <w:tcPr>
            <w:tcW w:w="374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ind w:left="260"/>
              <w:spacing w:after="0" w:line="177" w:lineRule="exact"/>
              <w:rPr>
                <w:sz w:val="20"/>
                <w:szCs w:val="20"/>
                <w:color w:val="auto"/>
              </w:rPr>
            </w:pPr>
            <w:r>
              <w:rPr>
                <w:rFonts w:ascii="Arial" w:cs="Arial" w:eastAsia="Arial" w:hAnsi="Arial"/>
                <w:sz w:val="18"/>
                <w:szCs w:val="18"/>
                <w:color w:val="auto"/>
              </w:rPr>
              <w:t>Low ALLO-647</w:t>
            </w:r>
          </w:p>
        </w:tc>
        <w:tc>
          <w:tcPr>
            <w:tcW w:w="1500" w:type="dxa"/>
            <w:vAlign w:val="bottom"/>
          </w:tcPr>
          <w:p>
            <w:pPr>
              <w:ind w:left="280"/>
              <w:spacing w:after="0" w:line="177" w:lineRule="exact"/>
              <w:rPr>
                <w:sz w:val="20"/>
                <w:szCs w:val="20"/>
                <w:color w:val="auto"/>
              </w:rPr>
            </w:pPr>
            <w:r>
              <w:rPr>
                <w:rFonts w:ascii="Arial" w:cs="Arial" w:eastAsia="Arial" w:hAnsi="Arial"/>
                <w:sz w:val="18"/>
                <w:szCs w:val="18"/>
                <w:color w:val="auto"/>
              </w:rPr>
              <w:t>Mid ALLO-647</w:t>
            </w:r>
          </w:p>
        </w:tc>
        <w:tc>
          <w:tcPr>
            <w:tcW w:w="24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ind w:left="260"/>
              <w:spacing w:after="0" w:line="177" w:lineRule="exact"/>
              <w:rPr>
                <w:sz w:val="20"/>
                <w:szCs w:val="20"/>
                <w:color w:val="auto"/>
              </w:rPr>
            </w:pPr>
            <w:r>
              <w:rPr>
                <w:rFonts w:ascii="Arial" w:cs="Arial" w:eastAsia="Arial" w:hAnsi="Arial"/>
                <w:sz w:val="18"/>
                <w:szCs w:val="18"/>
                <w:color w:val="auto"/>
              </w:rPr>
              <w:t>High ALLO-647</w:t>
            </w:r>
          </w:p>
        </w:tc>
        <w:tc>
          <w:tcPr>
            <w:tcW w:w="1740" w:type="dxa"/>
            <w:vAlign w:val="bottom"/>
            <w:tcBorders>
              <w:right w:val="single" w:sz="8" w:color="auto"/>
            </w:tcBorders>
          </w:tcPr>
          <w:p>
            <w:pPr>
              <w:ind w:left="240"/>
              <w:spacing w:after="0" w:line="177" w:lineRule="exact"/>
              <w:rPr>
                <w:sz w:val="20"/>
                <w:szCs w:val="20"/>
                <w:color w:val="auto"/>
              </w:rPr>
            </w:pPr>
            <w:r>
              <w:rPr>
                <w:rFonts w:ascii="Arial" w:cs="Arial" w:eastAsia="Arial" w:hAnsi="Arial"/>
                <w:sz w:val="18"/>
                <w:szCs w:val="18"/>
                <w:b w:val="1"/>
                <w:bCs w:val="1"/>
                <w:color w:val="auto"/>
              </w:rPr>
              <w:t>ALL ALLO-647</w:t>
            </w:r>
          </w:p>
        </w:tc>
      </w:tr>
      <w:tr>
        <w:trPr>
          <w:trHeight w:val="234"/>
        </w:trPr>
        <w:tc>
          <w:tcPr>
            <w:tcW w:w="374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(N=11)</w:t>
            </w:r>
          </w:p>
        </w:tc>
        <w:tc>
          <w:tcPr>
            <w:tcW w:w="1500" w:type="dxa"/>
            <w:vAlign w:val="bottom"/>
          </w:tcPr>
          <w:p>
            <w:pPr>
              <w:jc w:val="center"/>
              <w:ind w:left="130"/>
              <w:spacing w:after="0"/>
              <w:rPr>
                <w:sz w:val="20"/>
                <w:szCs w:val="20"/>
                <w:color w:val="auto"/>
              </w:rPr>
            </w:pPr>
            <w:r>
              <w:rPr>
                <w:rFonts w:ascii="Arial" w:cs="Arial" w:eastAsia="Arial" w:hAnsi="Arial"/>
                <w:sz w:val="18"/>
                <w:szCs w:val="18"/>
                <w:color w:val="auto"/>
                <w:w w:val="93"/>
              </w:rPr>
              <w:t>(N=10)</w:t>
            </w:r>
          </w:p>
        </w:tc>
        <w:tc>
          <w:tcPr>
            <w:tcW w:w="24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(N=3)</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(N=24)</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r>
      <w:tr>
        <w:trPr>
          <w:trHeight w:val="232"/>
        </w:trPr>
        <w:tc>
          <w:tcPr>
            <w:tcW w:w="3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ORR, n (%)</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7 (64%)</w:t>
            </w:r>
          </w:p>
        </w:tc>
        <w:tc>
          <w:tcPr>
            <w:tcW w:w="15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5"/>
              </w:rPr>
              <w:t>8 (80%)</w:t>
            </w:r>
          </w:p>
        </w:tc>
        <w:tc>
          <w:tcPr>
            <w:tcW w:w="24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2 (67%)</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17 (71%)</w:t>
            </w:r>
          </w:p>
        </w:tc>
      </w:tr>
      <w:tr>
        <w:trPr>
          <w:trHeight w:val="237"/>
        </w:trPr>
        <w:tc>
          <w:tcPr>
            <w:tcW w:w="3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VGPR+ Rate, n (%)</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5 (46%)</w:t>
            </w:r>
          </w:p>
        </w:tc>
        <w:tc>
          <w:tcPr>
            <w:tcW w:w="15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5"/>
              </w:rPr>
              <w:t>5 (50%)</w:t>
            </w:r>
          </w:p>
        </w:tc>
        <w:tc>
          <w:tcPr>
            <w:tcW w:w="24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 (33%)</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11 (46%)</w:t>
            </w:r>
          </w:p>
        </w:tc>
      </w:tr>
      <w:tr>
        <w:trPr>
          <w:trHeight w:val="236"/>
        </w:trPr>
        <w:tc>
          <w:tcPr>
            <w:tcW w:w="3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CR/sCR Rate, n (%)</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3 (27%)</w:t>
            </w:r>
          </w:p>
        </w:tc>
        <w:tc>
          <w:tcPr>
            <w:tcW w:w="15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5"/>
              </w:rPr>
              <w:t>3 (30%)</w:t>
            </w:r>
          </w:p>
        </w:tc>
        <w:tc>
          <w:tcPr>
            <w:tcW w:w="24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6 (25%)</w:t>
            </w:r>
          </w:p>
        </w:tc>
      </w:tr>
    </w:tbl>
    <w:p>
      <w:pPr>
        <w:spacing w:after="0" w:line="310" w:lineRule="exact"/>
        <w:rPr>
          <w:sz w:val="20"/>
          <w:szCs w:val="20"/>
          <w:color w:val="auto"/>
        </w:rPr>
      </w:pPr>
    </w:p>
    <w:p>
      <w:pPr>
        <w:ind w:right="420" w:firstLine="648"/>
        <w:spacing w:after="0" w:line="274" w:lineRule="auto"/>
        <w:rPr>
          <w:sz w:val="20"/>
          <w:szCs w:val="20"/>
          <w:color w:val="auto"/>
        </w:rPr>
      </w:pPr>
      <w:r>
        <w:rPr>
          <w:rFonts w:ascii="Arial" w:cs="Arial" w:eastAsia="Arial" w:hAnsi="Arial"/>
          <w:sz w:val="17"/>
          <w:szCs w:val="17"/>
          <w:color w:val="auto"/>
        </w:rPr>
        <w:t>As of the data cutoff, the overall median follow-up for efficacy was 3.8 months. The median duration of response was 8.3 months, with nine patients remaining in ongoing response at the time of the data cut-off. The longest ongoing response after cell infusion was 12 months.</w:t>
      </w:r>
    </w:p>
    <w:p>
      <w:pPr>
        <w:spacing w:after="0" w:line="175" w:lineRule="exact"/>
        <w:rPr>
          <w:sz w:val="20"/>
          <w:szCs w:val="20"/>
          <w:color w:val="auto"/>
        </w:rPr>
      </w:pPr>
    </w:p>
    <w:p>
      <w:pPr>
        <w:ind w:right="140" w:firstLine="648"/>
        <w:spacing w:after="0" w:line="246" w:lineRule="auto"/>
        <w:rPr>
          <w:sz w:val="20"/>
          <w:szCs w:val="20"/>
          <w:color w:val="auto"/>
        </w:rPr>
      </w:pPr>
      <w:r>
        <w:rPr>
          <w:rFonts w:ascii="Arial" w:cs="Arial" w:eastAsia="Arial" w:hAnsi="Arial"/>
          <w:sz w:val="17"/>
          <w:szCs w:val="17"/>
          <w:color w:val="auto"/>
        </w:rPr>
        <w:t>Of the 43 patients evaluable for safety, there was no GvHD. Grade 1 and 2 CRS was reported in 23 patients (53%) and was manageable with standard therapies. In this heavily pre-treated patient population, infection occurred in 54% of patients, which included three Grade 5 infections, as previously reported. Grade 3+ neutropenia occurred in 70% of patients. Six patients (14%) experienced adverse events of low-grade neurotoxicity, which was reversible. Use of tocilizumab and steroids was infrequent (23% and 14%, respectively).</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600" w:type="dxa"/>
            <w:vAlign w:val="bottom"/>
            <w:tcBorders>
              <w:top w:val="single" w:sz="8" w:color="auto"/>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Adverse Events of Interest</w:t>
            </w:r>
          </w:p>
        </w:tc>
        <w:tc>
          <w:tcPr>
            <w:tcW w:w="1400" w:type="dxa"/>
            <w:vAlign w:val="bottom"/>
            <w:tcBorders>
              <w:top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9"/>
              </w:rPr>
              <w:t>Grade 1</w:t>
            </w:r>
          </w:p>
        </w:tc>
        <w:tc>
          <w:tcPr>
            <w:tcW w:w="1080" w:type="dxa"/>
            <w:vAlign w:val="bottom"/>
            <w:tcBorders>
              <w:top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9"/>
              </w:rPr>
              <w:t>Grade 2</w:t>
            </w:r>
          </w:p>
        </w:tc>
        <w:tc>
          <w:tcPr>
            <w:tcW w:w="110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Grade 3</w:t>
            </w:r>
          </w:p>
        </w:tc>
        <w:tc>
          <w:tcPr>
            <w:tcW w:w="128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Grade 4</w:t>
            </w:r>
          </w:p>
        </w:tc>
        <w:tc>
          <w:tcPr>
            <w:tcW w:w="110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Grade 5</w:t>
            </w:r>
          </w:p>
        </w:tc>
        <w:tc>
          <w:tcPr>
            <w:tcW w:w="148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All Grades</w:t>
            </w:r>
          </w:p>
        </w:tc>
      </w:tr>
      <w:tr>
        <w:trPr>
          <w:trHeight w:val="237"/>
        </w:trPr>
        <w:tc>
          <w:tcPr>
            <w:tcW w:w="3600" w:type="dxa"/>
            <w:vAlign w:val="bottom"/>
            <w:tcBorders>
              <w:left w:val="single" w:sz="8" w:color="auto"/>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 (%)</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N (%)</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 (%)</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 (%)</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 (%)</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 (%)</w:t>
            </w:r>
          </w:p>
        </w:tc>
      </w:tr>
      <w:tr>
        <w:trPr>
          <w:trHeight w:val="237"/>
        </w:trPr>
        <w:tc>
          <w:tcPr>
            <w:tcW w:w="36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CRS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 (2%)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 (56%)</w:t>
            </w:r>
          </w:p>
        </w:tc>
      </w:tr>
      <w:tr>
        <w:trPr>
          <w:trHeight w:val="236"/>
        </w:trPr>
        <w:tc>
          <w:tcPr>
            <w:tcW w:w="36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Neurotoxicity</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 (14%)</w:t>
            </w:r>
          </w:p>
        </w:tc>
      </w:tr>
      <w:tr>
        <w:trPr>
          <w:trHeight w:val="237"/>
        </w:trPr>
        <w:tc>
          <w:tcPr>
            <w:tcW w:w="36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GvHD</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36"/>
        </w:trPr>
        <w:tc>
          <w:tcPr>
            <w:tcW w:w="36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Infection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 (16%)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 (7%)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 (54%)</w:t>
            </w:r>
          </w:p>
        </w:tc>
      </w:tr>
      <w:tr>
        <w:trPr>
          <w:trHeight w:val="236"/>
        </w:trPr>
        <w:tc>
          <w:tcPr>
            <w:tcW w:w="36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Infusion Reaction to ALLO-647</w:t>
            </w:r>
          </w:p>
        </w:tc>
        <w:tc>
          <w:tcPr>
            <w:tcW w:w="1400" w:type="dxa"/>
            <w:vAlign w:val="bottom"/>
            <w:tcBorders>
              <w:bottom w:val="single" w:sz="8" w:color="auto"/>
              <w:right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7 (16%)</w:t>
            </w:r>
          </w:p>
        </w:tc>
        <w:tc>
          <w:tcPr>
            <w:tcW w:w="1080" w:type="dxa"/>
            <w:vAlign w:val="bottom"/>
            <w:tcBorders>
              <w:bottom w:val="single" w:sz="8" w:color="auto"/>
              <w:right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5 (12%)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 (28%)</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239" w:lineRule="exact"/>
        <w:rPr>
          <w:sz w:val="20"/>
          <w:szCs w:val="20"/>
          <w:color w:val="auto"/>
        </w:rPr>
      </w:pPr>
    </w:p>
    <w:p>
      <w:pPr>
        <w:ind w:firstLine="810"/>
        <w:spacing w:after="0" w:line="243" w:lineRule="auto"/>
        <w:rPr>
          <w:sz w:val="20"/>
          <w:szCs w:val="20"/>
          <w:color w:val="auto"/>
        </w:rPr>
      </w:pPr>
      <w:r>
        <w:rPr>
          <w:rFonts w:ascii="Arial" w:cs="Arial" w:eastAsia="Arial" w:hAnsi="Arial"/>
          <w:sz w:val="18"/>
          <w:szCs w:val="18"/>
          <w:color w:val="auto"/>
        </w:rPr>
        <w:t>The UNIVERSAL and IGNITE trials are open-label, Phase 1, single-arm, multicenter clinical trials evaluating the safety and tolerability of ALLO-715 and ALLO-605, respectively, in adult patients with R/R multiple myeloma. The safety of ALLO-647, cell kinetics, pharmacodynamics, and efficacy will be evaluated as secondary objectives. We are exploring the optimal dose and schedule of ALLO-715 and ALLO-605 and the lymphodepletion regimen, including the dose of ALLO-647.</w:t>
      </w:r>
    </w:p>
    <w:p>
      <w:pPr>
        <w:spacing w:after="0" w:line="215" w:lineRule="exact"/>
        <w:rPr>
          <w:sz w:val="20"/>
          <w:szCs w:val="20"/>
          <w:color w:val="auto"/>
        </w:rPr>
      </w:pPr>
    </w:p>
    <w:p>
      <w:pPr>
        <w:ind w:right="20" w:firstLine="810"/>
        <w:spacing w:after="0" w:line="241" w:lineRule="auto"/>
        <w:rPr>
          <w:sz w:val="20"/>
          <w:szCs w:val="20"/>
          <w:color w:val="auto"/>
        </w:rPr>
      </w:pPr>
      <w:r>
        <w:rPr>
          <w:rFonts w:ascii="Arial" w:cs="Arial" w:eastAsia="Arial" w:hAnsi="Arial"/>
          <w:sz w:val="18"/>
          <w:szCs w:val="18"/>
          <w:color w:val="auto"/>
        </w:rPr>
        <w:t>In the first half of 2021, the UNIVERSAL trial initiated the evaluation of ALLO-715 in combination with nirogacestat. Prior to ALLO-715 and nirogacestat treatment, all patients undergo lymphodepletion with a regimen of fludarabine, cyclophosphamide and ALLO-647. The combination cohort will assess the safety and tolerability of ALLO-715 in combination with nirogacestat. The preliminary anti-tumor activity of the combination, cell kinetics, pharmacokinetics and host immune cell depletion/reconstitution will be evaluated as secondary objectives. We have dosed an initial cohort of patients that we are following prior to enrolling any further patients.</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expect to provide an update on our BCMA program by the end of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Anti-CD70 Development Program</w:t>
      </w:r>
    </w:p>
    <w:p>
      <w:pPr>
        <w:spacing w:after="0" w:line="2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CD70 is an antigen selectively expressed on several types of cancer cells, with strong expression in ccRCC and limited off-tumor expression. CD70 is selectively expressed in a portion of other solid tumors, such as glioblastoma multiforme, non-small cell lung cancer, cervical or ovarian cancer, and head and neck cancer, and blood cancers, such as acute myeloid leukemia, DLBCL, multiple myeloma, and chronic lymphocytic leukemia. While CD70 can be expressed on activated T cells, ALLO-316 was associated with minimal or no fratricide in preclinical studies, meaning that ALLO-316 cells did not mediate the targeted killing of other ALLO-316 cells. Accordingly, we believe progressing allogeneic CAR T cell therapies directed against CD70 could be promising in solid tumor indications as well as hematological malignancies.</w:t>
      </w:r>
    </w:p>
    <w:p>
      <w:pPr>
        <w:spacing w:after="0" w:line="202"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ALLO-316 is manufactured to express a CAR that is designed to target CD70 and gene edited to lack TCRα and CD52 to minimize the risk of GvHD and enable a window of persistence in the patient when dosed in combination with ALLO-647. In addition, rituximab and CD34 recognition domains have been incorporated in between the scFv and the linker domain, as illustrated below. The rituximab recognition domains allow elimination of cells with rituximab in the event that silencing of</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CAR T cell activity is desired. The CD34 domain confers recognition by an anti-CD34 antibody, and may be used as a surface marker to monitor ALLO-316 in patients by flow cytometry.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134620</wp:posOffset>
            </wp:positionV>
            <wp:extent cx="1285875" cy="1928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87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first half of 2021, we initiated a Phase 1 clinical trial (the TRAVERSE trial) of ALLO-316 in adult patients with advanced or metastatic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ccRCC.</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Lead Target Indication: Clear Cell Renal Cell Carcinoma</w:t>
      </w:r>
    </w:p>
    <w:p>
      <w:pPr>
        <w:spacing w:after="0" w:line="239" w:lineRule="exact"/>
        <w:rPr>
          <w:sz w:val="20"/>
          <w:szCs w:val="20"/>
          <w:color w:val="auto"/>
        </w:rPr>
      </w:pPr>
    </w:p>
    <w:p>
      <w:pPr>
        <w:ind w:right="120" w:firstLine="810"/>
        <w:spacing w:after="0" w:line="248" w:lineRule="auto"/>
        <w:rPr>
          <w:sz w:val="20"/>
          <w:szCs w:val="20"/>
          <w:color w:val="auto"/>
        </w:rPr>
      </w:pPr>
      <w:r>
        <w:rPr>
          <w:rFonts w:ascii="Arial" w:cs="Arial" w:eastAsia="Arial" w:hAnsi="Arial"/>
          <w:sz w:val="18"/>
          <w:szCs w:val="18"/>
          <w:color w:val="auto"/>
        </w:rPr>
        <w:t>ccRCC is the most common subtype of renal cancer. Approximately 79,000 new cases of renal cell carcinoma are estimated to be diagnosed in the United States and 13,920 deaths are estimated in 2022, according to the American Cancer Society. The five-year survival rate for patients with advanced kidney cancer is less than 15%.</w:t>
      </w:r>
    </w:p>
    <w:p>
      <w:pPr>
        <w:spacing w:after="0" w:line="209" w:lineRule="exact"/>
        <w:rPr>
          <w:sz w:val="20"/>
          <w:szCs w:val="20"/>
          <w:color w:val="auto"/>
        </w:rPr>
      </w:pPr>
    </w:p>
    <w:p>
      <w:pPr>
        <w:ind w:right="80" w:firstLine="810"/>
        <w:spacing w:after="0" w:line="243" w:lineRule="auto"/>
        <w:rPr>
          <w:sz w:val="20"/>
          <w:szCs w:val="20"/>
          <w:color w:val="auto"/>
        </w:rPr>
      </w:pPr>
      <w:r>
        <w:rPr>
          <w:rFonts w:ascii="Arial" w:cs="Arial" w:eastAsia="Arial" w:hAnsi="Arial"/>
          <w:sz w:val="18"/>
          <w:szCs w:val="18"/>
          <w:color w:val="auto"/>
        </w:rPr>
        <w:t>Systemic therapy (including immunotherapy and molecularly targeted agents), surgery, and radiation therapy all may have a role in the treatment paradigm depending on the extent of disease, sites of involvement, and patient-specific factors. While vascular endothelial growth factor (VEGF)-directed therapies (e.g. sunitinib) represented a first-line standard for over a decade, these therapies have been quickly supplanted by combination therapies incorporating PD-1 immune-checkpoint inhibition as the backbone.</w:t>
      </w:r>
    </w:p>
    <w:p>
      <w:pPr>
        <w:spacing w:after="0" w:line="215" w:lineRule="exact"/>
        <w:rPr>
          <w:sz w:val="20"/>
          <w:szCs w:val="20"/>
          <w:color w:val="auto"/>
        </w:rPr>
      </w:pPr>
    </w:p>
    <w:p>
      <w:pPr>
        <w:jc w:val="both"/>
        <w:ind w:right="140" w:firstLine="810"/>
        <w:spacing w:after="0" w:line="270" w:lineRule="auto"/>
        <w:rPr>
          <w:sz w:val="20"/>
          <w:szCs w:val="20"/>
          <w:color w:val="auto"/>
        </w:rPr>
      </w:pPr>
      <w:r>
        <w:rPr>
          <w:rFonts w:ascii="Arial" w:cs="Arial" w:eastAsia="Arial" w:hAnsi="Arial"/>
          <w:sz w:val="17"/>
          <w:szCs w:val="17"/>
          <w:color w:val="auto"/>
        </w:rPr>
        <w:t>The combination of VEGF and immune check-point inhibitors, such as axitinib and pembrolizumab, are often used in the first line setting and has shown a median progression-free survival of 15.1 months with an ORR of 59.3% and CR rate of 5.8%. Patients who progress on immune checkpoint-based combination therapies can be treated with agents including cabozantinib, Lenvatinib with everolimus or other therapies.</w:t>
      </w:r>
    </w:p>
    <w:p>
      <w:pPr>
        <w:spacing w:after="0" w:line="19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239" w:lineRule="exact"/>
        <w:rPr>
          <w:sz w:val="20"/>
          <w:szCs w:val="20"/>
          <w:color w:val="auto"/>
        </w:rPr>
      </w:pPr>
    </w:p>
    <w:p>
      <w:pPr>
        <w:ind w:right="40" w:firstLine="810"/>
        <w:spacing w:after="0" w:line="259" w:lineRule="auto"/>
        <w:rPr>
          <w:sz w:val="20"/>
          <w:szCs w:val="20"/>
          <w:color w:val="auto"/>
        </w:rPr>
      </w:pPr>
      <w:r>
        <w:rPr>
          <w:rFonts w:ascii="Arial" w:cs="Arial" w:eastAsia="Arial" w:hAnsi="Arial"/>
          <w:sz w:val="17"/>
          <w:szCs w:val="17"/>
          <w:color w:val="auto"/>
        </w:rPr>
        <w:t>The TRAVERSE trial is an open-label, Phase 1, single arm, multicenter clinical trial evaluating the safety and tolerability of ALLO-316 in adult patients with advanced or metastatic ccRCC. Anti-tumor activity, cell kinetics, pharmacodynamics, and correlation of outcome with tumor CD70 expression will be evaluated as secondary objectives. The trial is a dose-escalation study for ALLO-316 with separate dose cohorts. Prior to ALLO-316 treatment, patients will undergo lymphodepletion with a regimen of fludarabine, cyclophosphamide and/or ALLO-647. Subject to results from the TRAVERSE trial, we also plan to investigate the use of ALLO-316 for other solid tumor and hematologic indications, such as AML.</w:t>
      </w:r>
    </w:p>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Future Opportunities</w:t>
      </w:r>
    </w:p>
    <w:p>
      <w:pPr>
        <w:spacing w:after="0" w:line="239" w:lineRule="exact"/>
        <w:rPr>
          <w:sz w:val="20"/>
          <w:szCs w:val="20"/>
          <w:color w:val="auto"/>
        </w:rPr>
      </w:pPr>
    </w:p>
    <w:p>
      <w:pPr>
        <w:ind w:right="40" w:firstLine="810"/>
        <w:spacing w:after="0" w:line="241" w:lineRule="auto"/>
        <w:rPr>
          <w:sz w:val="20"/>
          <w:szCs w:val="20"/>
          <w:color w:val="auto"/>
        </w:rPr>
      </w:pPr>
      <w:r>
        <w:rPr>
          <w:rFonts w:ascii="Arial" w:cs="Arial" w:eastAsia="Arial" w:hAnsi="Arial"/>
          <w:sz w:val="18"/>
          <w:szCs w:val="18"/>
          <w:color w:val="auto"/>
        </w:rPr>
        <w:t>Moving forward, we plan to utilize our allogeneic platform to pursue additional targets of interest. These include the additional targets currently in our pipeline as well as other targets that might be validated in the future. For example, we are developing allogeneic CAR T cell product candidates targeting FLT3 for the treatment of AML (ALLO-819) and DLL3 for the treatment of small cell lung cancer. We also plan to investigate the potential to enhance our platform using next-generation technologies such as TurboCARs, renewable cell sources, site-specific integration, multi-specific CARs and other technology related to enhancing specificity and avoiding immune rejection.</w:t>
      </w:r>
    </w:p>
    <w:p>
      <w:pPr>
        <w:spacing w:after="0" w:line="230" w:lineRule="exact"/>
        <w:rPr>
          <w:sz w:val="20"/>
          <w:szCs w:val="20"/>
          <w:color w:val="auto"/>
        </w:rPr>
      </w:pPr>
    </w:p>
    <w:p>
      <w:pPr>
        <w:ind w:left="660" w:hanging="328"/>
        <w:spacing w:after="0" w:line="236"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18"/>
          <w:szCs w:val="18"/>
          <w:b w:val="1"/>
          <w:bCs w:val="1"/>
          <w:i w:val="1"/>
          <w:iCs w:val="1"/>
          <w:color w:val="auto"/>
        </w:rPr>
        <w:t>TurboCARs</w:t>
      </w:r>
      <w:r>
        <w:rPr>
          <w:rFonts w:ascii="Arial" w:cs="Arial" w:eastAsia="Arial" w:hAnsi="Arial"/>
          <w:sz w:val="18"/>
          <w:szCs w:val="18"/>
          <w:color w:val="auto"/>
        </w:rPr>
        <w:t>. We are investigating multiple constructs designed to mimic cytokine signaling selectively within CAR T cells, a technology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we call “TurboCARs”. Mimicking cytokine signaling within a CAR T cell could enhance the proliferative potential, migratory behavior, activation status and killing activity of cells. Such modulation may enhance the anti-tumor activity and durability of CAR T cells without affecting non-engineered immune cells. We</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right="80"/>
        <w:spacing w:after="0" w:line="248" w:lineRule="auto"/>
        <w:rPr>
          <w:sz w:val="20"/>
          <w:szCs w:val="20"/>
          <w:color w:val="auto"/>
        </w:rPr>
      </w:pPr>
      <w:r>
        <w:rPr>
          <w:rFonts w:ascii="Arial" w:cs="Arial" w:eastAsia="Arial" w:hAnsi="Arial"/>
          <w:sz w:val="18"/>
          <w:szCs w:val="18"/>
          <w:color w:val="auto"/>
        </w:rPr>
        <w:t>believe TurboCARs may also allow for reduced CAR T cell dose requirements and greater impact in overcoming exhaustion in solid tumor environments. We are advancing a Phase 1 clinical trial of our first TurboCAR, ALLO-605, which targets BCMA and uses a constitutive cytokine signaling domain and a rituximab-mediated off-switch.</w:t>
      </w:r>
    </w:p>
    <w:p>
      <w:pPr>
        <w:spacing w:after="0" w:line="236" w:lineRule="exact"/>
        <w:rPr>
          <w:sz w:val="20"/>
          <w:szCs w:val="20"/>
          <w:color w:val="auto"/>
        </w:rPr>
      </w:pPr>
    </w:p>
    <w:p>
      <w:pPr>
        <w:ind w:left="660" w:hanging="328"/>
        <w:spacing w:after="0" w:line="270" w:lineRule="auto"/>
        <w:tabs>
          <w:tab w:leader="none" w:pos="655" w:val="left"/>
        </w:tabs>
        <w:numPr>
          <w:ilvl w:val="0"/>
          <w:numId w:val="23"/>
        </w:numPr>
        <w:rPr>
          <w:rFonts w:ascii="Arial" w:cs="Arial" w:eastAsia="Arial" w:hAnsi="Arial"/>
          <w:sz w:val="19"/>
          <w:szCs w:val="19"/>
          <w:color w:val="auto"/>
        </w:rPr>
      </w:pPr>
      <w:r>
        <w:rPr>
          <w:rFonts w:ascii="Arial" w:cs="Arial" w:eastAsia="Arial" w:hAnsi="Arial"/>
          <w:sz w:val="16"/>
          <w:szCs w:val="16"/>
          <w:b w:val="1"/>
          <w:bCs w:val="1"/>
          <w:i w:val="1"/>
          <w:iCs w:val="1"/>
          <w:color w:val="auto"/>
        </w:rPr>
        <w:t xml:space="preserve">Renewable Cell Source. </w:t>
      </w:r>
      <w:r>
        <w:rPr>
          <w:rFonts w:ascii="Arial" w:cs="Arial" w:eastAsia="Arial" w:hAnsi="Arial"/>
          <w:sz w:val="16"/>
          <w:szCs w:val="16"/>
          <w:color w:val="auto"/>
        </w:rPr>
        <w:t>In November 2019, we entered into a Collaboration and License Agreement with Notch (the Notch Collaboration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pursuant to which Notch has granted to us an exclusive, worldwide, royalty-bearing, license to certain Notch intellectual property to develop and commercialize gene-edited T cell and/or natural killer cell products from iPSCs directed at certain CAR targets for initial application in NHL, ALL and multiple myeloma. We believe iPSCs may provide renewable starting material for our allogeneic CAR T cell product candidates that could allow for improved efficiency of gene editing, greater scalability of supply, product homogeneity and more streamlined manufacturing.</w:t>
      </w:r>
    </w:p>
    <w:p>
      <w:pPr>
        <w:spacing w:after="0" w:line="222" w:lineRule="exact"/>
        <w:rPr>
          <w:rFonts w:ascii="Arial" w:cs="Arial" w:eastAsia="Arial" w:hAnsi="Arial"/>
          <w:sz w:val="19"/>
          <w:szCs w:val="19"/>
          <w:color w:val="auto"/>
        </w:rPr>
      </w:pPr>
    </w:p>
    <w:p>
      <w:pPr>
        <w:ind w:left="660" w:right="140" w:hanging="328"/>
        <w:spacing w:after="0" w:line="270" w:lineRule="auto"/>
        <w:tabs>
          <w:tab w:leader="none" w:pos="655" w:val="left"/>
        </w:tabs>
        <w:numPr>
          <w:ilvl w:val="0"/>
          <w:numId w:val="23"/>
        </w:numPr>
        <w:rPr>
          <w:rFonts w:ascii="Arial" w:cs="Arial" w:eastAsia="Arial" w:hAnsi="Arial"/>
          <w:sz w:val="19"/>
          <w:szCs w:val="19"/>
          <w:color w:val="auto"/>
        </w:rPr>
      </w:pPr>
      <w:r>
        <w:rPr>
          <w:rFonts w:ascii="Arial" w:cs="Arial" w:eastAsia="Arial" w:hAnsi="Arial"/>
          <w:sz w:val="16"/>
          <w:szCs w:val="16"/>
          <w:b w:val="1"/>
          <w:bCs w:val="1"/>
          <w:i w:val="1"/>
          <w:iCs w:val="1"/>
          <w:color w:val="auto"/>
        </w:rPr>
        <w:t>Site-Specific Integration</w:t>
      </w:r>
      <w:r>
        <w:rPr>
          <w:rFonts w:ascii="Arial" w:cs="Arial" w:eastAsia="Arial" w:hAnsi="Arial"/>
          <w:sz w:val="16"/>
          <w:szCs w:val="16"/>
          <w:color w:val="auto"/>
        </w:rPr>
        <w:t>. Using a combination of gene-editing technology and homologous recombination technology we can potentially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integrate the CAR expressing DNA into specific target genes within the T cell DNA. Such site-specific integration may allow the CAR or other transgenes to be introduced into T cells in a more homogeneous manner, allowing a more uniform and controlled expression of the proteins, with the goal of generating CAR T cell products that behave in a more consistent and predictable manner. It may also allow longer sequences of DNA to be inserted into the T cell, allowing for the expression of genes that would not otherwise be feasible with viral based gene insertion.</w:t>
      </w:r>
    </w:p>
    <w:p>
      <w:pPr>
        <w:spacing w:after="0" w:line="195" w:lineRule="exact"/>
        <w:rPr>
          <w:rFonts w:ascii="Arial" w:cs="Arial" w:eastAsia="Arial" w:hAnsi="Arial"/>
          <w:sz w:val="19"/>
          <w:szCs w:val="19"/>
          <w:color w:val="auto"/>
        </w:rPr>
      </w:pPr>
    </w:p>
    <w:p>
      <w:pPr>
        <w:jc w:val="both"/>
        <w:ind w:left="660" w:right="100" w:hanging="328"/>
        <w:spacing w:after="0" w:line="24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Multi-specific CARs. </w:t>
      </w:r>
      <w:r>
        <w:rPr>
          <w:rFonts w:ascii="Arial" w:cs="Arial" w:eastAsia="Arial" w:hAnsi="Arial"/>
          <w:sz w:val="18"/>
          <w:szCs w:val="18"/>
          <w:color w:val="auto"/>
        </w:rPr>
        <w:t>We are investigating the utility of a single cell product targeting multiple antigens. This may be accomplished by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 antigen binding domains with different specificity in a single polypeptide encoding the CAR or in two separate polypeptides each encoding a CAR with different antigen specificity.</w:t>
      </w:r>
    </w:p>
    <w:p>
      <w:pPr>
        <w:spacing w:after="0" w:line="208" w:lineRule="exact"/>
        <w:rPr>
          <w:rFonts w:ascii="Arial" w:cs="Arial" w:eastAsia="Arial" w:hAnsi="Arial"/>
          <w:sz w:val="18"/>
          <w:szCs w:val="18"/>
          <w:color w:val="auto"/>
        </w:rPr>
      </w:pPr>
    </w:p>
    <w:p>
      <w:pPr>
        <w:ind w:left="660" w:right="180" w:hanging="328"/>
        <w:spacing w:after="0" w:line="24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tumor specificity of targets: </w:t>
      </w:r>
      <w:r>
        <w:rPr>
          <w:rFonts w:ascii="Arial" w:cs="Arial" w:eastAsia="Arial" w:hAnsi="Arial"/>
          <w:sz w:val="18"/>
          <w:szCs w:val="18"/>
          <w:color w:val="auto"/>
        </w:rPr>
        <w:t>We are investigating technology to localize activity of an allogeneic CAR T cell to the tumor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microenvironment in an effort to extend specificity and therefore safety of CAR T cells. We believe this approach may be particularly promising for solid tumor targets that are associated with normal tissue toxicities.</w:t>
      </w:r>
    </w:p>
    <w:p>
      <w:pPr>
        <w:spacing w:after="0" w:line="208" w:lineRule="exact"/>
        <w:rPr>
          <w:rFonts w:ascii="Arial" w:cs="Arial" w:eastAsia="Arial" w:hAnsi="Arial"/>
          <w:sz w:val="18"/>
          <w:szCs w:val="18"/>
          <w:color w:val="auto"/>
        </w:rPr>
      </w:pPr>
    </w:p>
    <w:p>
      <w:pPr>
        <w:ind w:left="660" w:right="80" w:hanging="328"/>
        <w:spacing w:after="0" w:line="239" w:lineRule="auto"/>
        <w:tabs>
          <w:tab w:leader="none" w:pos="655"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Next-generation anti-rejection technology: </w:t>
      </w:r>
      <w:r>
        <w:rPr>
          <w:rFonts w:ascii="Arial" w:cs="Arial" w:eastAsia="Arial" w:hAnsi="Arial"/>
          <w:sz w:val="18"/>
          <w:szCs w:val="18"/>
          <w:color w:val="auto"/>
        </w:rPr>
        <w:t>We are investigating additional ways, beyond our existing anti-CD52 antibody technology, to prevent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immune rejection of our allogeneic CAR T cells. We are exploring ways to engineer allogeneic CAR T cells to escape detection from the patient immune system, such as through our research collaboration with Antion Biosciences SA (Antion). We are also exploring engineering allogeneic CAR T cells with mechanisms to attack certain patient immune cells that would otherwise lead to rejection. For instance, we are exploring allo-immune defense receptor technology licensed from the Baylor College of Medicine. This technology is designed to recognize and destroy allo-reactive host immune cells that would otherwise be capable of rejecting the allogeneic CAR T cells, which could provide enhanced persistence of the allogeneic CAR T cells.</w:t>
      </w:r>
    </w:p>
    <w:p>
      <w:pPr>
        <w:spacing w:after="0" w:line="218" w:lineRule="exact"/>
        <w:rPr>
          <w:sz w:val="20"/>
          <w:szCs w:val="20"/>
          <w:color w:val="auto"/>
        </w:rPr>
      </w:pPr>
    </w:p>
    <w:p>
      <w:pPr>
        <w:ind w:right="320" w:firstLine="810"/>
        <w:spacing w:after="0" w:line="261" w:lineRule="auto"/>
        <w:rPr>
          <w:sz w:val="20"/>
          <w:szCs w:val="20"/>
          <w:color w:val="auto"/>
        </w:rPr>
      </w:pPr>
      <w:r>
        <w:rPr>
          <w:rFonts w:ascii="Arial" w:cs="Arial" w:eastAsia="Arial" w:hAnsi="Arial"/>
          <w:sz w:val="18"/>
          <w:szCs w:val="18"/>
          <w:color w:val="auto"/>
        </w:rPr>
        <w:t>In addition, we continually survey the scientific and industry landscape for opportunities to license, partner or acquire technologies that may help us advance current or new T cell therapies for the benefit of patients.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Manufacturing Strategy</w:t>
      </w:r>
    </w:p>
    <w:p>
      <w:pPr>
        <w:spacing w:after="0" w:line="256" w:lineRule="exact"/>
        <w:rPr>
          <w:sz w:val="20"/>
          <w:szCs w:val="20"/>
          <w:color w:val="auto"/>
        </w:rPr>
      </w:pPr>
    </w:p>
    <w:p>
      <w:pPr>
        <w:ind w:right="120" w:firstLine="810"/>
        <w:spacing w:after="0" w:line="248" w:lineRule="auto"/>
        <w:rPr>
          <w:sz w:val="20"/>
          <w:szCs w:val="20"/>
          <w:color w:val="auto"/>
        </w:rPr>
      </w:pPr>
      <w:r>
        <w:rPr>
          <w:rFonts w:ascii="Arial" w:cs="Arial" w:eastAsia="Arial" w:hAnsi="Arial"/>
          <w:sz w:val="18"/>
          <w:szCs w:val="18"/>
          <w:color w:val="auto"/>
        </w:rPr>
        <w:t>We have invested resources to optimize our manufacturing process, including the development of improved analytical methods and instrumentation. We plan to continue to invest in process science, product characterization and manufacturing to continuously improve our production and supply chain capabilities over time.</w:t>
      </w:r>
    </w:p>
    <w:p>
      <w:pPr>
        <w:spacing w:after="0" w:line="209" w:lineRule="exact"/>
        <w:rPr>
          <w:sz w:val="20"/>
          <w:szCs w:val="20"/>
          <w:color w:val="auto"/>
        </w:rPr>
      </w:pPr>
    </w:p>
    <w:p>
      <w:pPr>
        <w:ind w:right="200" w:firstLine="810"/>
        <w:spacing w:after="0"/>
        <w:rPr>
          <w:sz w:val="20"/>
          <w:szCs w:val="20"/>
          <w:color w:val="auto"/>
        </w:rPr>
      </w:pPr>
      <w:r>
        <w:rPr>
          <w:rFonts w:ascii="Arial" w:cs="Arial" w:eastAsia="Arial" w:hAnsi="Arial"/>
          <w:sz w:val="18"/>
          <w:szCs w:val="18"/>
          <w:color w:val="auto"/>
        </w:rPr>
        <w:t>Our product candidates are designed and manufactured via a platform comprised of defined unit operations and technologies. The process is gradually developed from small to larger scales, incorporating compliant procedures to create cGMP conditions. Although we have a platform-based manufacturing model, each product is unique and for each new product candidate, a developmental phase is necessary to individually customize each engineering step and to create a robust procedure that can later be implemented in a cGMP environment to ensure the production of clinical batches. This work is performed in our research and development environment to evaluate and assess variability in each step of the process in order to define the most reliable production conditions.</w:t>
      </w:r>
    </w:p>
    <w:p>
      <w:pPr>
        <w:spacing w:after="0" w:line="216" w:lineRule="exact"/>
        <w:rPr>
          <w:sz w:val="20"/>
          <w:szCs w:val="20"/>
          <w:color w:val="auto"/>
        </w:rPr>
      </w:pPr>
    </w:p>
    <w:p>
      <w:pPr>
        <w:ind w:right="280" w:firstLine="810"/>
        <w:spacing w:after="0" w:line="248" w:lineRule="auto"/>
        <w:rPr>
          <w:sz w:val="20"/>
          <w:szCs w:val="20"/>
          <w:color w:val="auto"/>
        </w:rPr>
      </w:pPr>
      <w:r>
        <w:rPr>
          <w:rFonts w:ascii="Arial" w:cs="Arial" w:eastAsia="Arial" w:hAnsi="Arial"/>
          <w:sz w:val="18"/>
          <w:szCs w:val="18"/>
          <w:color w:val="auto"/>
        </w:rPr>
        <w:t>Our cell-based product candidates are currently manufactured in the United States by a CMO, and we manage all other aspects of the supply, including planning, CMO oversight, disposition and distribution logistics. The CMO that is manufacturing our clinical supply is subject to cGMP requirements, using qualified equipment and materials. We also utilize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separate third party contractors to manufacture cGMP raw materials that are used for the manufacturing of our product candidates, such as viral vectors that are used to deliver the applicable CAR gene into the T cells. We believe all materials and components utilized in the production of the cell line, viral vector and final T cell product are available from qualified suppliers and suitable for pivotal process development in readiness for registration and commercialization.</w:t>
      </w:r>
    </w:p>
    <w:p>
      <w:pPr>
        <w:spacing w:after="0" w:line="215" w:lineRule="exact"/>
        <w:rPr>
          <w:sz w:val="20"/>
          <w:szCs w:val="20"/>
          <w:color w:val="auto"/>
        </w:rPr>
      </w:pPr>
    </w:p>
    <w:p>
      <w:pPr>
        <w:ind w:right="160" w:firstLine="810"/>
        <w:spacing w:after="0"/>
        <w:rPr>
          <w:sz w:val="20"/>
          <w:szCs w:val="20"/>
          <w:color w:val="auto"/>
        </w:rPr>
      </w:pPr>
      <w:r>
        <w:rPr>
          <w:rFonts w:ascii="Arial" w:cs="Arial" w:eastAsia="Arial" w:hAnsi="Arial"/>
          <w:sz w:val="18"/>
          <w:szCs w:val="18"/>
          <w:color w:val="auto"/>
        </w:rPr>
        <w:t>In addition, in February 2019, we entered into a lease for approximately 118,000 square feet to develop a state-of-the-art cell therapy manufacturing facility in Newark, California. We are phasing the build-out of the facility, and completed the build-out of the majority of the facility at the end of 2020. We initiated cGMP manufacturing of ALLO-501A in 2021. We plan to use ALLO-501A manufactured at our Newark facility at the commencement of the Phase 2 portion of the ALPHA2 trial. Introducing ALLO-501A into the ALPHA2 trial will require that we meet certain regulatory conditions, such as establishing comparability with the product candidates manufactured at our CMO, and our inability to meet such conditions would result in investment of additional resources and delay of our clinical trial timeline.</w:t>
      </w:r>
    </w:p>
    <w:p>
      <w:pPr>
        <w:spacing w:after="0" w:line="216" w:lineRule="exact"/>
        <w:rPr>
          <w:sz w:val="20"/>
          <w:szCs w:val="20"/>
          <w:color w:val="auto"/>
        </w:rPr>
      </w:pPr>
    </w:p>
    <w:p>
      <w:pPr>
        <w:ind w:firstLine="810"/>
        <w:spacing w:after="0" w:line="259" w:lineRule="auto"/>
        <w:rPr>
          <w:sz w:val="20"/>
          <w:szCs w:val="20"/>
          <w:color w:val="auto"/>
        </w:rPr>
      </w:pPr>
      <w:r>
        <w:rPr>
          <w:rFonts w:ascii="Arial" w:cs="Arial" w:eastAsia="Arial" w:hAnsi="Arial"/>
          <w:sz w:val="17"/>
          <w:szCs w:val="17"/>
          <w:color w:val="auto"/>
        </w:rPr>
        <w:t>However, we expect to continue to rely on our CMO and may rely on CMOs and other third parties for the manufacturing and processing of our product candidates in the future. We also utilize a CMO in the United States for the manufacture and supply of ALLO-647 and we plan to continue to rely on the CMO for future production of ALLO-647. We believe the use of contract manufacturing and testing for our first clinical product candidates has allowed us to rapidly prepare for clinical trials in accordance with our development plans. We expect third-party manufacturers will be capable of providing and processing sufficient quantities of our product candidates to meet anticipated clinical trial demands.</w:t>
      </w:r>
    </w:p>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plan to create a robust supply chain with redundant sources of supply comprised of both internal and external infrastructure.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Agreements</w:t>
      </w:r>
    </w:p>
    <w:p>
      <w:pPr>
        <w:spacing w:after="0" w:line="351"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On December 14, 2020, we entered into a License Agreement with Allogene Overland Biopharm (CY) Limited, a joint venture established by us and Overland Pharmaceuticals (CY) Inc., pursuant to a Share Purchase Agreement, dated December 14, 2020, for the purpose of developing, manufacturing and commercializing allogeneic CAR T cell therapies for patients in greater China, Taiwan, South Korea and Singapore.</w:t>
      </w:r>
    </w:p>
    <w:p>
      <w:pPr>
        <w:spacing w:after="0" w:line="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also entered into multiple additional strategic agreements and collaborations, including an Asset Contribution Agreement with Pfizer (the Pfizer Agreement), a License Agreement with Cellectis (the Cellectis Agreement), an Exclusive License and Collaboration Agreement with Servier (the Servier Agreement), the Notch Collaboration Agreement, and a License and Collaboration Agreement with Antion.</w:t>
      </w:r>
    </w:p>
    <w:p>
      <w:pPr>
        <w:spacing w:after="0" w:line="56"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For additional information regarding our significant agreements, see Note 7 to our consolidated financial statements appearing elsewhere in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20" w:firstLine="810"/>
        <w:spacing w:after="0" w:line="259" w:lineRule="auto"/>
        <w:rPr>
          <w:sz w:val="20"/>
          <w:szCs w:val="20"/>
          <w:color w:val="auto"/>
        </w:rPr>
      </w:pPr>
      <w:r>
        <w:rPr>
          <w:rFonts w:ascii="Arial" w:cs="Arial" w:eastAsia="Arial" w:hAnsi="Arial"/>
          <w:sz w:val="17"/>
          <w:szCs w:val="17"/>
          <w:color w:val="auto"/>
        </w:rPr>
        <w:t>Our commercial success depends in part on our ability to obtain and maintain proprietary protection for our product candidates, as well as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filing or in-licensing U.S. and foreign patents and applications related to our technology, inventions, and improvements that are important to the development and implementation of our business.</w:t>
      </w:r>
    </w:p>
    <w:p>
      <w:pPr>
        <w:spacing w:after="0" w:line="201" w:lineRule="exact"/>
        <w:rPr>
          <w:sz w:val="20"/>
          <w:szCs w:val="20"/>
          <w:color w:val="auto"/>
        </w:rPr>
      </w:pPr>
    </w:p>
    <w:p>
      <w:pPr>
        <w:ind w:firstLine="810"/>
        <w:spacing w:after="0" w:line="276" w:lineRule="auto"/>
        <w:rPr>
          <w:sz w:val="20"/>
          <w:szCs w:val="20"/>
          <w:color w:val="auto"/>
        </w:rPr>
      </w:pPr>
      <w:r>
        <w:rPr>
          <w:rFonts w:ascii="Arial" w:cs="Arial" w:eastAsia="Arial" w:hAnsi="Arial"/>
          <w:sz w:val="16"/>
          <w:szCs w:val="16"/>
          <w:color w:val="auto"/>
        </w:rPr>
        <w:t>We also rely on trademarks, trade secrets, know-how, continuing technological innovation, confidentiality agreements, and invention assignment agreements to develop and maintain our proprietary position. The confidentiality agreements are designed to protect our proprietary information and the invention assignment agreements are designed to grant us ownership of technologies that are developed for us by our employees, consultants, or other third parties. We seek to preserve the integrity and confidentiality of our data and trade secrets by maintaining physical security of our premises and physical and electronic security of our information technology systems. While we have confidence in our agreements and security measures, either may be breached, and we may not have adequate remedies. In addition, our trade secrets may otherwise become known or independently discovered by competitors.</w:t>
      </w:r>
    </w:p>
    <w:p>
      <w:pPr>
        <w:spacing w:after="0" w:line="188" w:lineRule="exact"/>
        <w:rPr>
          <w:sz w:val="20"/>
          <w:szCs w:val="20"/>
          <w:color w:val="auto"/>
        </w:rPr>
      </w:pPr>
    </w:p>
    <w:p>
      <w:pPr>
        <w:ind w:right="20" w:firstLine="810"/>
        <w:spacing w:after="0" w:line="243" w:lineRule="auto"/>
        <w:rPr>
          <w:sz w:val="20"/>
          <w:szCs w:val="20"/>
          <w:color w:val="auto"/>
        </w:rPr>
      </w:pPr>
      <w:r>
        <w:rPr>
          <w:rFonts w:ascii="Arial" w:cs="Arial" w:eastAsia="Arial" w:hAnsi="Arial"/>
          <w:sz w:val="18"/>
          <w:szCs w:val="18"/>
          <w:color w:val="auto"/>
        </w:rPr>
        <w:t>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using and manufacturing the same.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810"/>
        <w:spacing w:after="0" w:line="237" w:lineRule="auto"/>
        <w:rPr>
          <w:sz w:val="20"/>
          <w:szCs w:val="20"/>
          <w:color w:val="auto"/>
        </w:rPr>
      </w:pPr>
      <w:r>
        <w:rPr>
          <w:rFonts w:ascii="Arial" w:cs="Arial" w:eastAsia="Arial" w:hAnsi="Arial"/>
          <w:sz w:val="17"/>
          <w:szCs w:val="17"/>
          <w:color w:val="auto"/>
        </w:rPr>
        <w:t>We are actively building our intellectual property portfolio around our product candidates and our discovery programs, based on our own intellectual property as well as licensed intellectual property. Following the execution of the Pfizer Agreement, we are the owners of, co-owners of, or the licensee of multiple patents and patent applications in the United States and worldwide. These licensed assets include rights to the Cellectis TALEN gene-editing technology to engineer T cells that lack functional TCRs and to inactivate the CD52 gene in donor cells. We have exclusive worldwide rights to these patents for certain antigen targets, including BCMA, CD70, FLT3 and DLL3, and have U.S. rights to these patents for CD19. We also have rights to a Cellectis U.S. patent for technology covering an engineered T cell therapy combining CD52 gene knockout in combination with an anti-CD52 antibody for certain products directed against certain antigen targets. For our lead programs, our patent rights are generally composed of patents and pending patent applications that are solely owned by us, co-owned with Servier, co-owned with Cellectis, exclusively licensed from Pfizer, exclusively licensed from Servier, or exclusively licensed from Cellectis.</w:t>
      </w:r>
    </w:p>
    <w:p>
      <w:pPr>
        <w:spacing w:after="0" w:line="220" w:lineRule="exact"/>
        <w:rPr>
          <w:sz w:val="20"/>
          <w:szCs w:val="20"/>
          <w:color w:val="auto"/>
        </w:rPr>
      </w:pPr>
    </w:p>
    <w:p>
      <w:pPr>
        <w:ind w:firstLine="810"/>
        <w:spacing w:after="0" w:line="238" w:lineRule="auto"/>
        <w:rPr>
          <w:sz w:val="20"/>
          <w:szCs w:val="20"/>
          <w:color w:val="auto"/>
        </w:rPr>
      </w:pPr>
      <w:r>
        <w:rPr>
          <w:rFonts w:ascii="Arial" w:cs="Arial" w:eastAsia="Arial" w:hAnsi="Arial"/>
          <w:sz w:val="18"/>
          <w:szCs w:val="18"/>
          <w:color w:val="auto"/>
        </w:rPr>
        <w:t>Our patent portfolio includes protection for our clinical-stage product candidates, ALLO-501, ALLO-501A, ALLO-715, ALLO-605 and ALLO-316, as well as our research-stage candidates. With respect to ALLO-501 and ALLO-501A, we have an exclusive license from Servier in the United States to patent rights covering composition of matter and methods of making and use covering ALLO-501 and ALLO-501A. With respect to ALLO-715, ALLO-605 and ALLO-316, we have an exclusive license from Pfizer to patent rights covering ALLO-715, ALLO-605 and ALLO-316 in the United States and in foreign jurisdictions. These rights include composition of matter protection and methods of making and using ALLO-715, ALLO-605 and ALLO-316. We also have patent rights to TurboCAR technology solely owned by us, including technology that covers the TurboCAR that is part of ALLO-605. More generally, our patent portfolio and filing strategy is designed to provide multiple layers of protection by pursuing claims directed toward: (1) antigen binding domains directed to the targets of our product candidates; (2) CAR constructs used in our product candidates; (3) methods of treatment for therapeutic indications; (4) manufacturing processes, preconditioning methods, and dosing regimens; and (5) immune evasion and other gene and cell engineering technology.</w:t>
      </w:r>
    </w:p>
    <w:p>
      <w:pPr>
        <w:spacing w:after="0" w:line="215" w:lineRule="exact"/>
        <w:rPr>
          <w:sz w:val="20"/>
          <w:szCs w:val="20"/>
          <w:color w:val="auto"/>
        </w:rPr>
      </w:pPr>
    </w:p>
    <w:p>
      <w:pPr>
        <w:ind w:right="40" w:firstLine="810"/>
        <w:spacing w:after="0" w:line="270"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date of filing of the first non-provisional application to which priority is claimed. In the United States, patent term may be lengthened by patent term adjustment, which compensates a patentee for administrative delays by the United States Patent and Trademark Office in granting a patent, or may be shortened if a patent is terminally disclaimed over an earlier-filed patent. In the United States, the term of a patent that covers an FDA-approved drug may also be eligible for a patent term extension of up to five years under the Hatch-Waxman Act, which is designed to compensate for the patent term lost during the FDA regulatory review process. The length of the patent term extension involves a complex calculation based on the length of time it takes for regulatory review. A patent term extension under the Hatch-Waxman Act cannot extend the remaining term of a patent beyond a total of 14 years from the date of product approval and only one patent applicable to an approved drug may be extended. Moreover, a patent can only be extended once, and thus, if a single patent is applicable to multiple products, it can only be extended based on one product. Similar provisions are available in Europe and certain other foreign jurisdictions to extend the term of a patent that covers an approved drug.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60" w:firstLine="810"/>
        <w:spacing w:after="0" w:line="241" w:lineRule="auto"/>
        <w:rPr>
          <w:sz w:val="20"/>
          <w:szCs w:val="20"/>
          <w:color w:val="auto"/>
        </w:rPr>
      </w:pPr>
      <w:r>
        <w:rPr>
          <w:rFonts w:ascii="Arial" w:cs="Arial" w:eastAsia="Arial" w:hAnsi="Arial"/>
          <w:sz w:val="18"/>
          <w:szCs w:val="18"/>
          <w:color w:val="auto"/>
        </w:rPr>
        <w:t>If successfully developed, our products will compete with novel therapies developed by biopharmaceutical companies, academic research institutions, governmental agencies and public and private research institutions, in addition to standard of care treatments. Due to the promising therapeutic effect of cell therapies in clinical trials, we anticipate increasing competition from existing and new cell-based products, including products that are both autologous and allogeneic in nature. We also anticipate competition from other therapeutic modalities, including antibodies, bispecific T cell engagers, antibody drug conjugates, and small molecule therapeutics.</w:t>
      </w:r>
    </w:p>
    <w:p>
      <w:pPr>
        <w:spacing w:after="0" w:line="216" w:lineRule="exact"/>
        <w:rPr>
          <w:sz w:val="20"/>
          <w:szCs w:val="20"/>
          <w:color w:val="auto"/>
        </w:rPr>
      </w:pPr>
    </w:p>
    <w:p>
      <w:pPr>
        <w:ind w:right="20" w:firstLine="810"/>
        <w:spacing w:after="0" w:line="253" w:lineRule="auto"/>
        <w:rPr>
          <w:sz w:val="20"/>
          <w:szCs w:val="20"/>
          <w:color w:val="auto"/>
        </w:rPr>
      </w:pPr>
      <w:r>
        <w:rPr>
          <w:rFonts w:ascii="Arial" w:cs="Arial" w:eastAsia="Arial" w:hAnsi="Arial"/>
          <w:sz w:val="17"/>
          <w:szCs w:val="17"/>
          <w:color w:val="auto"/>
        </w:rPr>
        <w:t>Autologous T cell therapies directed at CD19 have been successfully developed by Novartis, Kite/Gilead and Bristol-Myers Squibb Company (BMS). In August 2017, Novartis obtained FDA approval to commercialize Kymriah for the treatment of children and young adults with B-cell ALL that is refractory or has relapsed at least twice. In May 2018, Kymriah received FDA approval for adults with R/R large B-cell lymphoma. In October 2017, Kite/Gilead obtained FDA approval to commercialize Yescarta, for the treatment of adult patients with R/R large B-cell lymphoma. This was followed by approval of Yescarta for R/R FL in March 2021. A supplemental BLA for approval of Yescarta in second-line large B-cell lymphoma was submitted in September 2021. Kite has also received FDA approval for a second autologous CD19-directed T cell therapy, Tecartus, for use in patients with R/R mantle cell lymphoma and adult patients with R/R B-cell ALL. In February 2021, BMS obtained FDA approval for its anti-CD19 autologous T cell therapy, Breyanzi (lisocabtagene maraleucel), for the treatment of adults with certain types of large B-cell lymphoma who have not responded to, or who have relapsed after, at least two other types of systemic treatment.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60" w:firstLine="810"/>
        <w:spacing w:after="0" w:line="294" w:lineRule="auto"/>
        <w:rPr>
          <w:sz w:val="20"/>
          <w:szCs w:val="20"/>
          <w:color w:val="auto"/>
        </w:rPr>
      </w:pPr>
      <w:r>
        <w:rPr>
          <w:rFonts w:ascii="Arial" w:cs="Arial" w:eastAsia="Arial" w:hAnsi="Arial"/>
          <w:sz w:val="16"/>
          <w:szCs w:val="16"/>
          <w:color w:val="auto"/>
        </w:rPr>
        <w:t>In March 2021, BMS and 2seventy bio, Inc. received FDA approval of Abecma, an anti-BCMA autologous T cell therapy, for the treatment of adult patients with multiple myeloma who have received at least three prior therapies. Johnson &amp; Johnson and partner Legend Bio have submitted a BLA for an anti-BCMA autologous T cell therapy, ciltacabtagene autoleucel, for the same indication, and expect an FDA decision in February 2022.</w:t>
      </w:r>
    </w:p>
    <w:p>
      <w:pPr>
        <w:spacing w:after="0" w:line="174"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Autologous T cell therapies are being developed by a number of additional companies, including but not limited to 2seventy bio, Inc., Adaptimmune Therapeutics PLC, Alaunos Therapeutics, Inc., ArsenalBio, Autolus Therapeutics plc, Eureka Therapeutics, Inc. Gilead Sciences, Inc., Gracell Biotechnologies Inc., ImmPACT Bio, USA Inc., Iovance Biotherapeutics, Inc., Legend Biotech Corp., Mustang Bio, Inc., Novartis International AG, Pact Pharma, Inc., TCR² Therapeutics Inc., Tessa Therapeutics, Ltd., Tmunity Therapeutics, Inc, Triumvira Immulogics, and TScan Therapeutics, Inc.</w:t>
      </w:r>
    </w:p>
    <w:p>
      <w:pPr>
        <w:spacing w:after="0" w:line="182"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Allogeneic T cell therapies have yet to receive FDA approval though the number of companies developing allogeneic product candidates has expanded greatly in recent years. This includes ArsenalBio, Atara Biotherapeutics, Inc., Caribou Biosciences, Inc., Celyad S.A., CRISPR Therapeutics AG, Editas Medicine, Inc., Fate Therapeutics, Inc., Gilead Sciences, Inc., Gracell Biotechnologies Inc., Intellia Therapeutics, Inc., Legend Biotech Corp., Poseida Therapeutics, Inc., Precision Biosciences, Inc., Sana Biotechnology, Inc., and Tessa Therapeutics Ltd. Some of the allogeneic T cell candidates under development target the same antigens that are part of our clinical pipeline, such as CD19, BCMA and CD70. Additionally, Cellectis has several fully-owned allogeneic CAR programs that could compete with programs that fall outside our agreement with Cellectis.</w:t>
      </w:r>
    </w:p>
    <w:p>
      <w:pPr>
        <w:spacing w:after="0" w:line="18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7"/>
          <w:szCs w:val="17"/>
          <w:color w:val="auto"/>
        </w:rPr>
        <w:t>There are also cell therapies under development that are based upon cell types other than the common type of T cells used by us and known as alpha/beta T cells. These include product candidates derived from natural killer cells, natural killer T cells, gamma/delta T cells and macrophage cells. Companies developing such therapies include Adicet Bio, Inc., Artiva Biotherapeutics, Inc., Carisma Therapeutics, Inc., Cytovia Therapeutics, Inc., Fortress Biotech, Inc., Celularity, Inc., Century Therapeutics, Inc., Gamida Cell Ltd., Fate Therapeutics, Inc., In8bio, Inc., Kuur Therapeutics Inc., Lyell Immunopharma, Inc., Nkarta, Inc., Shoreline Bio, Inc., and Takeda Pharmaceutical Company Limited.</w:t>
      </w:r>
    </w:p>
    <w:p>
      <w:pPr>
        <w:spacing w:after="0" w:line="201" w:lineRule="exact"/>
        <w:rPr>
          <w:sz w:val="20"/>
          <w:szCs w:val="20"/>
          <w:color w:val="auto"/>
        </w:rPr>
      </w:pPr>
    </w:p>
    <w:p>
      <w:pPr>
        <w:ind w:right="60" w:firstLine="648"/>
        <w:spacing w:after="0" w:line="273" w:lineRule="auto"/>
        <w:rPr>
          <w:sz w:val="20"/>
          <w:szCs w:val="20"/>
          <w:color w:val="auto"/>
        </w:rPr>
      </w:pPr>
      <w:r>
        <w:rPr>
          <w:rFonts w:ascii="Arial" w:cs="Arial" w:eastAsia="Arial" w:hAnsi="Arial"/>
          <w:sz w:val="16"/>
          <w:szCs w:val="16"/>
          <w:color w:val="auto"/>
        </w:rPr>
        <w:t>Competition may also arise from non-cell based immune oncology platforms. For instance, we may experience competition from companies, such as AbbVie, Inc., Amgen Inc., BMS, Compass Therapeutics, Inc., F. Hoffmann-La Roche AG, Genmab A/S, GlaxoSmithKline plc, Harpoon Therapeutics, Inc., Immunocore Holdings plc, Johnson &amp; Johnson, MacroGenics, Inc., Merus N.V., Pfizer, Regeneron Pharmaceuticals, Inc., and Xencor Inc., that are pursuing T cell engagers that target both the cancer antigen and T cell receptor, thus bringing both cancer cells and T cells in close proximity to maximize</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likelihood of an immune response to the cancer cells. Additionally, companies, such as ADC Therapeutics SA, Amgen Inc., Daiichi Sankyo Company, Limited, Gilead Sciences, Inc., GlaxoSmithKline plc, ImmunoGen, Inc., Seattle Genetics, Inc., Silverback Therapeutics, Inc., and Sutro Biopharma, Inc. are pursuing antibody drug conjugates, which utilize the targeting ability of antibodies to deliver cell-killing agents directly to cancer cells.</w:t>
      </w:r>
    </w:p>
    <w:p>
      <w:pPr>
        <w:spacing w:after="0" w:line="169"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Many of our competitors, either alone or with their collaboration partners,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w:t>
      </w:r>
    </w:p>
    <w:p>
      <w:pPr>
        <w:spacing w:after="0" w:line="20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7"/>
          <w:szCs w:val="17"/>
          <w:color w:val="auto"/>
        </w:rPr>
        <w:t>Our commercial potential could be reduced or eliminated if our competitors develop and commercialize products that are better tolerated,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 key competitive factors affecting the success of all of our programs are likely to be efficacy, safety, convenience, and cost of manufacturing.</w:t>
      </w:r>
    </w:p>
    <w:p>
      <w:pPr>
        <w:spacing w:after="0" w:line="20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These competitors may also vie for a similar pool of qualified scientific and management talent, sites and patient populations for clinical trials, and investor capital, as well as for technologies complementary to, or necessary for, our programs.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firstLine="810"/>
        <w:spacing w:after="0"/>
        <w:rPr>
          <w:sz w:val="20"/>
          <w:szCs w:val="20"/>
          <w:color w:val="auto"/>
        </w:rPr>
      </w:pPr>
      <w:r>
        <w:rPr>
          <w:rFonts w:ascii="Arial" w:cs="Arial" w:eastAsia="Arial" w:hAnsi="Arial"/>
          <w:sz w:val="18"/>
          <w:szCs w:val="18"/>
          <w:color w:val="auto"/>
        </w:rPr>
        <w:t>As a biopharmaceutical company that operates in the United States, we are subject to extensive regulation. Our cell products will be regulated as biologics. With this classification, commercial production of our products will need to occur in registered facilities in compliance with cGMP for biologics. The FDA categorizes human cell- or tissue-based products as either minimally manipulated or more than minimally manipulated, and has determined that more than minimally manipulated products require clinical trials to demonstrate product safety and efficacy and the submission of a BLA for marketing authorization. Our products are considered more than minimally manipulated and will require evaluation in clinical trials and the submission and approval of a BLA before we can market them.</w:t>
      </w:r>
    </w:p>
    <w:p>
      <w:pPr>
        <w:spacing w:after="0" w:line="216" w:lineRule="exact"/>
        <w:rPr>
          <w:sz w:val="20"/>
          <w:szCs w:val="20"/>
          <w:color w:val="auto"/>
        </w:rPr>
      </w:pPr>
    </w:p>
    <w:p>
      <w:pPr>
        <w:ind w:right="20" w:firstLine="810"/>
        <w:spacing w:after="0" w:line="253"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 The process for obtaining regulatory marketing approvals and the subsequent compliance with appropriate federal, state, local and foreign statutes and regulations require the expenditure of substantial time and financial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Product Development Process</w:t>
      </w:r>
    </w:p>
    <w:p>
      <w:pPr>
        <w:spacing w:after="0" w:line="239" w:lineRule="exact"/>
        <w:rPr>
          <w:sz w:val="20"/>
          <w:szCs w:val="20"/>
          <w:color w:val="auto"/>
        </w:rPr>
      </w:pPr>
    </w:p>
    <w:p>
      <w:pPr>
        <w:ind w:firstLine="810"/>
        <w:spacing w:after="0" w:line="253" w:lineRule="auto"/>
        <w:rPr>
          <w:sz w:val="20"/>
          <w:szCs w:val="20"/>
          <w:color w:val="auto"/>
        </w:rPr>
      </w:pPr>
      <w:r>
        <w:rPr>
          <w:rFonts w:ascii="Arial" w:cs="Arial" w:eastAsia="Arial" w:hAnsi="Arial"/>
          <w:sz w:val="17"/>
          <w:szCs w:val="17"/>
          <w:color w:val="auto"/>
        </w:rPr>
        <w:t>In the United States, the FDA regulates pharmaceutical and biological products under the Federal Food, Drug and Cosmetic Act (FDCA), the Public Health Service Act (PHSA) and their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We have been placed on clinical hold previously and any future agency or judicial enforcement action could have a material adverse effect on us. The process required by the FDA before a biological product may be marketed in the United States generally involves the following:</w:t>
      </w:r>
    </w:p>
    <w:p>
      <w:pPr>
        <w:spacing w:after="0" w:line="224" w:lineRule="exact"/>
        <w:rPr>
          <w:sz w:val="20"/>
          <w:szCs w:val="20"/>
          <w:color w:val="auto"/>
        </w:rPr>
      </w:pPr>
    </w:p>
    <w:p>
      <w:pPr>
        <w:ind w:left="660" w:right="220" w:hanging="328"/>
        <w:spacing w:after="0" w:line="21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completion of nonclinical laboratory tests and animal studies according to good laboratory practices (GLPs) and applicable requirements for the humane use of laboratory animals or other applicable regulations;</w:t>
      </w:r>
    </w:p>
    <w:p>
      <w:pPr>
        <w:spacing w:after="0" w:line="1"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submission to the FDA of an IND, which must become effective before human clinical trials may begin;</w:t>
      </w:r>
    </w:p>
    <w:p>
      <w:pPr>
        <w:spacing w:after="0" w:line="2"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approval by an independent Institutional Review Board (IRB) or ethics committee at each clinical site before the trial is commenced;</w:t>
      </w:r>
    </w:p>
    <w:p>
      <w:pPr>
        <w:spacing w:after="0" w:line="2" w:lineRule="exact"/>
        <w:rPr>
          <w:rFonts w:ascii="Arial" w:cs="Arial" w:eastAsia="Arial" w:hAnsi="Arial"/>
          <w:sz w:val="22"/>
          <w:szCs w:val="22"/>
          <w:color w:val="auto"/>
        </w:rPr>
      </w:pPr>
    </w:p>
    <w:p>
      <w:pPr>
        <w:ind w:left="660" w:right="20" w:hanging="328"/>
        <w:spacing w:after="0" w:line="194"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practices (GCPs) and any additional requirements for the protection of human research patients and their health information, to establish the safety and efficacy of the proposed biological product for its intended use;</w:t>
      </w:r>
    </w:p>
    <w:p>
      <w:pPr>
        <w:ind w:left="660" w:right="800" w:hanging="328"/>
        <w:spacing w:after="0" w:line="21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substantial evidence of safety, purity, and potency from results of nonclinical testing and clinical trials, and which is validated as complete for review by the FDA;</w:t>
      </w: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ind w:left="660" w:right="460" w:hanging="328"/>
        <w:spacing w:after="0" w:line="232" w:lineRule="auto"/>
        <w:tabs>
          <w:tab w:leader="none" w:pos="655" w:val="left"/>
        </w:tabs>
        <w:numPr>
          <w:ilvl w:val="0"/>
          <w:numId w:val="24"/>
        </w:numPr>
        <w:rPr>
          <w:rFonts w:ascii="Arial" w:cs="Arial" w:eastAsia="Arial" w:hAnsi="Arial"/>
          <w:sz w:val="19"/>
          <w:szCs w:val="19"/>
          <w:color w:val="auto"/>
        </w:rPr>
      </w:pPr>
      <w:r>
        <w:rPr>
          <w:rFonts w:ascii="Arial" w:cs="Arial" w:eastAsia="Arial" w:hAnsi="Arial"/>
          <w:sz w:val="16"/>
          <w:szCs w:val="16"/>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 and, if applicable, the FDA’s current good tissue practices (GTPs) for the use of human cellular and tissue products;</w:t>
      </w:r>
    </w:p>
    <w:p>
      <w:pPr>
        <w:ind w:left="660" w:hanging="328"/>
        <w:spacing w:after="0" w:line="20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potential FDA audit of the nonclinical study and clinical trial sites that generated the data in support of the BLA; and</w:t>
      </w:r>
    </w:p>
    <w:p>
      <w:pPr>
        <w:spacing w:after="0" w:line="2"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FDA review and approval, or licensure, of the BLA.</w:t>
      </w:r>
    </w:p>
    <w:p>
      <w:pPr>
        <w:spacing w:after="0" w:line="216" w:lineRule="exact"/>
        <w:rPr>
          <w:sz w:val="20"/>
          <w:szCs w:val="20"/>
          <w:color w:val="auto"/>
        </w:rPr>
      </w:pPr>
    </w:p>
    <w:p>
      <w:pPr>
        <w:ind w:right="20" w:firstLine="810"/>
        <w:spacing w:after="0" w:line="257" w:lineRule="auto"/>
        <w:rPr>
          <w:sz w:val="20"/>
          <w:szCs w:val="20"/>
          <w:color w:val="auto"/>
        </w:rPr>
      </w:pPr>
      <w:r>
        <w:rPr>
          <w:rFonts w:ascii="Arial" w:cs="Arial" w:eastAsia="Arial" w:hAnsi="Arial"/>
          <w:sz w:val="17"/>
          <w:szCs w:val="17"/>
          <w:color w:val="auto"/>
        </w:rPr>
        <w:t>Before testing any biological product candidate, including our product candidates,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spacing w:after="0" w:line="186" w:lineRule="exact"/>
        <w:rPr>
          <w:sz w:val="20"/>
          <w:szCs w:val="20"/>
          <w:color w:val="auto"/>
        </w:rPr>
      </w:pPr>
    </w:p>
    <w:p>
      <w:pPr>
        <w:ind w:right="20" w:firstLine="810"/>
        <w:spacing w:after="0" w:line="267" w:lineRule="auto"/>
        <w:rPr>
          <w:sz w:val="20"/>
          <w:szCs w:val="20"/>
          <w:color w:val="auto"/>
        </w:rPr>
      </w:pPr>
      <w:r>
        <w:rPr>
          <w:rFonts w:ascii="Arial" w:cs="Arial" w:eastAsia="Arial" w:hAnsi="Arial"/>
          <w:sz w:val="16"/>
          <w:szCs w:val="16"/>
          <w:color w:val="auto"/>
        </w:rPr>
        <w:t>Clinical trials involve the administration of the biological product candidate to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Certain clinical trials involving human gene transfer research also must be overseen by an Institutional Biosafety Committee (IBC), a standing committee to provide peer review of the safety of research plans, procedures, personnel training and environmental risks of work involving recombinant DNA molecules. IBCs are typically assigned certain review responsibilities relating to the use of recombinant DNA molecules, including reviewing potential environmental risks, assessing containment levels, and evaluating the adequacy of facilities, personnel training, and compliance with the National Institutes of Health Guidelines. We may also engage an independent group of qualified experts organized by the clinical study sponsor, known as a data safety monitoring board, to provide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0" w:lineRule="exact"/>
        <w:rPr>
          <w:sz w:val="20"/>
          <w:szCs w:val="20"/>
          <w:color w:val="auto"/>
        </w:rPr>
      </w:pP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52" w:lineRule="exact"/>
        <w:rPr>
          <w:sz w:val="20"/>
          <w:szCs w:val="20"/>
          <w:color w:val="auto"/>
        </w:rPr>
      </w:pPr>
    </w:p>
    <w:p>
      <w:pPr>
        <w:ind w:left="660" w:right="60" w:hanging="328"/>
        <w:spacing w:after="0" w:line="209"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biological product is initially introduced into healthy human subjects and tested for safety. In the case of some products for severe or</w:t>
      </w:r>
      <w:r>
        <w:rPr>
          <w:rFonts w:ascii="Arial" w:cs="Arial" w:eastAsia="Arial" w:hAnsi="Arial"/>
          <w:sz w:val="18"/>
          <w:szCs w:val="18"/>
          <w:i w:val="1"/>
          <w:iCs w:val="1"/>
          <w:color w:val="auto"/>
        </w:rPr>
        <w:t xml:space="preserve"> </w:t>
      </w:r>
      <w:r>
        <w:rPr>
          <w:rFonts w:ascii="Arial" w:cs="Arial" w:eastAsia="Arial" w:hAnsi="Arial"/>
          <w:sz w:val="18"/>
          <w:szCs w:val="18"/>
          <w:color w:val="auto"/>
        </w:rPr>
        <w:t>life-threatening diseases, especially when the product may be too inherently toxic to ethically administer to healthy volunteers, the initial human testing is often conducted in patients.</w:t>
      </w:r>
    </w:p>
    <w:p>
      <w:pPr>
        <w:spacing w:after="0" w:line="2" w:lineRule="exact"/>
        <w:rPr>
          <w:rFonts w:ascii="Arial" w:cs="Arial" w:eastAsia="Arial" w:hAnsi="Arial"/>
          <w:sz w:val="22"/>
          <w:szCs w:val="22"/>
          <w:color w:val="auto"/>
        </w:rPr>
      </w:pPr>
    </w:p>
    <w:p>
      <w:pPr>
        <w:ind w:left="660" w:right="260" w:hanging="328"/>
        <w:spacing w:after="0" w:line="233" w:lineRule="auto"/>
        <w:tabs>
          <w:tab w:leader="none" w:pos="655" w:val="left"/>
        </w:tabs>
        <w:numPr>
          <w:ilvl w:val="0"/>
          <w:numId w:val="25"/>
        </w:numPr>
        <w:rPr>
          <w:rFonts w:ascii="Arial" w:cs="Arial" w:eastAsia="Arial" w:hAnsi="Arial"/>
          <w:sz w:val="19"/>
          <w:szCs w:val="19"/>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The biological product is evaluated in a limited patient population to identify possible adverse effects and safety risks, to preliminarily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efficacy of the product for specific targeted diseases and to determine dosage tolerance, optimal dosage and dosing schedule.</w:t>
      </w:r>
    </w:p>
    <w:p>
      <w:pPr>
        <w:ind w:left="660" w:right="40" w:hanging="328"/>
        <w:spacing w:after="0" w:line="208"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Clinical trials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clinical trials are intended to establish the overall risk to benefit ratio of the product and provide an adequate basis for product labeling.</w:t>
      </w:r>
    </w:p>
    <w:p>
      <w:pPr>
        <w:spacing w:after="0" w:line="189" w:lineRule="exact"/>
        <w:rPr>
          <w:sz w:val="20"/>
          <w:szCs w:val="20"/>
          <w:color w:val="auto"/>
        </w:rPr>
      </w:pPr>
    </w:p>
    <w:p>
      <w:pPr>
        <w:ind w:firstLine="810"/>
        <w:spacing w:after="0" w:line="235" w:lineRule="auto"/>
        <w:rPr>
          <w:sz w:val="20"/>
          <w:szCs w:val="20"/>
          <w:color w:val="auto"/>
        </w:rPr>
      </w:pPr>
      <w:r>
        <w:rPr>
          <w:rFonts w:ascii="Arial" w:cs="Arial" w:eastAsia="Arial" w:hAnsi="Arial"/>
          <w:sz w:val="17"/>
          <w:szCs w:val="17"/>
          <w:color w:val="auto"/>
        </w:rPr>
        <w:t xml:space="preserve">Long term follow up for all patients who get marketed product and post-approval clinical trials, sometimes referred to as Phase 4 clinical trials, may be required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patients,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patients are being exposed to an unacceptable health risk, including risks inferred from other unrelated immunotherapy trials.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firstLine="810"/>
        <w:spacing w:after="0" w:line="255" w:lineRule="auto"/>
        <w:rPr>
          <w:sz w:val="20"/>
          <w:szCs w:val="20"/>
          <w:color w:val="auto"/>
        </w:rPr>
      </w:pPr>
      <w:r>
        <w:rPr>
          <w:rFonts w:ascii="Arial" w:cs="Arial" w:eastAsia="Arial" w:hAnsi="Arial"/>
          <w:sz w:val="17"/>
          <w:szCs w:val="17"/>
          <w:color w:val="auto"/>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239" w:lineRule="exact"/>
        <w:rPr>
          <w:sz w:val="20"/>
          <w:szCs w:val="20"/>
          <w:color w:val="auto"/>
        </w:rPr>
      </w:pPr>
    </w:p>
    <w:p>
      <w:pPr>
        <w:ind w:right="80" w:firstLine="810"/>
        <w:spacing w:after="0" w:line="241" w:lineRule="auto"/>
        <w:rPr>
          <w:sz w:val="20"/>
          <w:szCs w:val="20"/>
          <w:color w:val="auto"/>
        </w:rPr>
      </w:pPr>
      <w:r>
        <w:rPr>
          <w:rFonts w:ascii="Arial" w:cs="Arial" w:eastAsia="Arial" w:hAnsi="Arial"/>
          <w:sz w:val="18"/>
          <w:szCs w:val="18"/>
          <w:color w:val="auto"/>
        </w:rPr>
        <w:t>After the completion of clinical trials of a biological product, FDA approval of a BLA must be obtained before commercial marketing of the biological product. The BLA submission must include results of product development, laboratory and animal studies, human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216" w:lineRule="exact"/>
        <w:rPr>
          <w:sz w:val="20"/>
          <w:szCs w:val="20"/>
          <w:color w:val="auto"/>
        </w:rPr>
      </w:pPr>
    </w:p>
    <w:p>
      <w:pPr>
        <w:ind w:right="80" w:firstLine="810"/>
        <w:spacing w:after="0" w:line="262" w:lineRule="auto"/>
        <w:rPr>
          <w:sz w:val="20"/>
          <w:szCs w:val="20"/>
          <w:color w:val="auto"/>
        </w:rPr>
      </w:pPr>
      <w:r>
        <w:rPr>
          <w:rFonts w:ascii="Arial" w:cs="Arial" w:eastAsia="Arial" w:hAnsi="Arial"/>
          <w:sz w:val="17"/>
          <w:szCs w:val="17"/>
          <w:color w:val="auto"/>
        </w:rPr>
        <w:t>Under the Prescription Drug User Fee Act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99" w:lineRule="exact"/>
        <w:rPr>
          <w:sz w:val="20"/>
          <w:szCs w:val="20"/>
          <w:color w:val="auto"/>
        </w:rPr>
      </w:pPr>
    </w:p>
    <w:p>
      <w:pPr>
        <w:ind w:firstLine="810"/>
        <w:spacing w:after="0" w:line="268" w:lineRule="auto"/>
        <w:rPr>
          <w:sz w:val="20"/>
          <w:szCs w:val="20"/>
          <w:color w:val="auto"/>
        </w:rPr>
      </w:pPr>
      <w:r>
        <w:rPr>
          <w:rFonts w:ascii="Arial" w:cs="Arial" w:eastAsia="Arial" w:hAnsi="Arial"/>
          <w:sz w:val="16"/>
          <w:szCs w:val="16"/>
          <w:color w:val="auto"/>
        </w:rPr>
        <w:t>Within 60 or 74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 FDA concludes a REMS is needed, the sponsor of the BLA must submit a proposed REMS. The FDA will not approve a BLA without a REMS, if required.</w:t>
      </w:r>
    </w:p>
    <w:p>
      <w:pPr>
        <w:spacing w:after="0" w:line="199" w:lineRule="exact"/>
        <w:rPr>
          <w:sz w:val="20"/>
          <w:szCs w:val="20"/>
          <w:color w:val="auto"/>
        </w:rPr>
      </w:pPr>
    </w:p>
    <w:p>
      <w:pPr>
        <w:ind w:right="20" w:firstLine="810"/>
        <w:spacing w:after="0" w:line="252" w:lineRule="auto"/>
        <w:rPr>
          <w:sz w:val="20"/>
          <w:szCs w:val="20"/>
          <w:color w:val="auto"/>
        </w:rPr>
      </w:pPr>
      <w:r>
        <w:rPr>
          <w:rFonts w:ascii="Arial" w:cs="Arial" w:eastAsia="Arial" w:hAnsi="Arial"/>
          <w:sz w:val="17"/>
          <w:szCs w:val="17"/>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immunotherapy products, the FDA also will not approve the product if the manufacturer is not in compliance with the GTPs, to the extent applicable. These are FDA regulations and guidance documents that govern the methods used in, and the facilities and controls used for, the manufacture of human cells, tissue, and cellular and tissue based products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trials were conducted in compliance with IND trial requirements and GCP requirements. To assure cGMP, GTP and GCP compliance, an applicant must incur significant expenditure of time, money and effort in the areas of training, record keeping, production, and quality control.</w:t>
      </w:r>
    </w:p>
    <w:p>
      <w:pPr>
        <w:spacing w:after="0" w:line="213" w:lineRule="exact"/>
        <w:rPr>
          <w:sz w:val="20"/>
          <w:szCs w:val="20"/>
          <w:color w:val="auto"/>
        </w:rPr>
      </w:pPr>
    </w:p>
    <w:p>
      <w:pPr>
        <w:jc w:val="both"/>
        <w:ind w:right="240" w:firstLine="810"/>
        <w:spacing w:after="0" w:line="248" w:lineRule="auto"/>
        <w:rPr>
          <w:sz w:val="20"/>
          <w:szCs w:val="20"/>
          <w:color w:val="auto"/>
        </w:rPr>
      </w:pPr>
      <w:r>
        <w:rPr>
          <w:rFonts w:ascii="Arial" w:cs="Arial" w:eastAsia="Arial" w:hAnsi="Arial"/>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82" w:lineRule="exact"/>
        <w:rPr>
          <w:sz w:val="20"/>
          <w:szCs w:val="20"/>
          <w:color w:val="auto"/>
        </w:rPr>
      </w:pPr>
    </w:p>
    <w:p>
      <w:pPr>
        <w:ind w:right="60" w:firstLine="810"/>
        <w:spacing w:after="0" w:line="257" w:lineRule="auto"/>
        <w:rPr>
          <w:sz w:val="20"/>
          <w:szCs w:val="20"/>
          <w:color w:val="auto"/>
        </w:rPr>
      </w:pPr>
      <w:r>
        <w:rPr>
          <w:rFonts w:ascii="Arial" w:cs="Arial" w:eastAsia="Arial" w:hAnsi="Arial"/>
          <w:sz w:val="17"/>
          <w:szCs w:val="17"/>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202" w:lineRule="exact"/>
        <w:rPr>
          <w:sz w:val="20"/>
          <w:szCs w:val="20"/>
          <w:color w:val="auto"/>
        </w:rPr>
      </w:pPr>
    </w:p>
    <w:p>
      <w:pPr>
        <w:ind w:right="100" w:firstLine="810"/>
        <w:spacing w:after="0" w:line="270" w:lineRule="auto"/>
        <w:rPr>
          <w:sz w:val="20"/>
          <w:szCs w:val="20"/>
          <w:color w:val="auto"/>
        </w:rPr>
      </w:pPr>
      <w:r>
        <w:rPr>
          <w:rFonts w:ascii="Arial" w:cs="Arial" w:eastAsia="Arial" w:hAnsi="Arial"/>
          <w:sz w:val="17"/>
          <w:szCs w:val="17"/>
          <w:color w:val="auto"/>
        </w:rPr>
        <w:t>In addition, under the Pediatric Research Equity Act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239" w:lineRule="exact"/>
        <w:rPr>
          <w:sz w:val="20"/>
          <w:szCs w:val="20"/>
          <w:color w:val="auto"/>
        </w:rPr>
      </w:pPr>
    </w:p>
    <w:p>
      <w:pPr>
        <w:ind w:right="20" w:firstLine="810"/>
        <w:spacing w:after="0" w:line="276"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89" w:lineRule="exact"/>
        <w:rPr>
          <w:sz w:val="20"/>
          <w:szCs w:val="20"/>
          <w:color w:val="auto"/>
        </w:rPr>
      </w:pPr>
    </w:p>
    <w:p>
      <w:pPr>
        <w:ind w:right="40" w:firstLine="810"/>
        <w:spacing w:after="0"/>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216" w:lineRule="exact"/>
        <w:rPr>
          <w:sz w:val="20"/>
          <w:szCs w:val="20"/>
          <w:color w:val="auto"/>
        </w:rPr>
      </w:pPr>
    </w:p>
    <w:p>
      <w:pPr>
        <w:ind w:firstLine="810"/>
        <w:spacing w:after="0" w:line="243"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239" w:lineRule="exact"/>
        <w:rPr>
          <w:sz w:val="20"/>
          <w:szCs w:val="20"/>
          <w:color w:val="auto"/>
        </w:rPr>
      </w:pPr>
    </w:p>
    <w:p>
      <w:pPr>
        <w:ind w:right="20" w:firstLine="810"/>
        <w:spacing w:after="0" w:line="239"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218" w:lineRule="exact"/>
        <w:rPr>
          <w:sz w:val="20"/>
          <w:szCs w:val="20"/>
          <w:color w:val="auto"/>
        </w:rPr>
      </w:pPr>
    </w:p>
    <w:p>
      <w:pPr>
        <w:jc w:val="both"/>
        <w:ind w:right="100" w:firstLine="810"/>
        <w:spacing w:after="0" w:line="284" w:lineRule="auto"/>
        <w:rPr>
          <w:sz w:val="20"/>
          <w:szCs w:val="20"/>
          <w:color w:val="auto"/>
        </w:rPr>
      </w:pPr>
      <w:r>
        <w:rPr>
          <w:rFonts w:ascii="Arial" w:cs="Arial" w:eastAsia="Arial" w:hAnsi="Arial"/>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new product designated for priority review in an effort to facilitate the review. Additionally, a product may be eligible for accelerated approval.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w:t>
      </w:r>
    </w:p>
    <w:p>
      <w:pPr>
        <w:spacing w:after="0" w:line="208" w:lineRule="exact"/>
        <w:rPr>
          <w:sz w:val="20"/>
          <w:szCs w:val="20"/>
          <w:color w:val="auto"/>
        </w:rPr>
      </w:pPr>
    </w:p>
    <w:p>
      <w:pPr>
        <w:ind w:right="20" w:firstLine="810"/>
        <w:spacing w:after="0" w:line="270" w:lineRule="auto"/>
        <w:rPr>
          <w:sz w:val="20"/>
          <w:szCs w:val="20"/>
          <w:color w:val="auto"/>
        </w:rPr>
      </w:pPr>
      <w:r>
        <w:rPr>
          <w:rFonts w:ascii="Arial" w:cs="Arial" w:eastAsia="Arial" w:hAnsi="Arial"/>
          <w:sz w:val="16"/>
          <w:szCs w:val="16"/>
          <w:color w:val="auto"/>
        </w:rPr>
        <w:t>Regenerative Medicine Advanced Therapy (RMAT) designation was established by FDA in 2017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 world evidence such as electronic health records; through the collection of larger confirmatory datasets; or through post-approval monitoring of all patients treated with the therapy prior to approval.</w:t>
      </w:r>
    </w:p>
    <w:p>
      <w:pPr>
        <w:spacing w:after="0" w:line="194" w:lineRule="exact"/>
        <w:rPr>
          <w:sz w:val="20"/>
          <w:szCs w:val="20"/>
          <w:color w:val="auto"/>
        </w:rPr>
      </w:pPr>
    </w:p>
    <w:p>
      <w:pPr>
        <w:ind w:right="160" w:firstLine="810"/>
        <w:spacing w:after="0" w:line="276" w:lineRule="auto"/>
        <w:rPr>
          <w:sz w:val="20"/>
          <w:szCs w:val="20"/>
          <w:color w:val="auto"/>
        </w:rPr>
      </w:pPr>
      <w:r>
        <w:rPr>
          <w:rFonts w:ascii="Arial" w:cs="Arial" w:eastAsia="Arial" w:hAnsi="Arial"/>
          <w:sz w:val="16"/>
          <w:szCs w:val="16"/>
          <w:color w:val="auto"/>
        </w:rPr>
        <w:t>Breakthrough therapy designation is also intended to expedite the development and review of products that treat serious or life-threatening conditions. The designation by FDA requires preliminary clinical evidence that a product candidate, alone or in combination with other drugs and biologics, demonstrates substantial improvement over currently available therapy on one or more clinically significant endpoints, such as substantial treatment effects observed early in clinical development. Breakthrough therapy designation comes with all of the benefits of fast track designation, which means that the sponsor may file sections of the BLA for review on a rolling basis if certain conditions are satisfied, including an agreement with FDA on the proposed schedule for submission of portions of the application and the payment of applicable user fees before the FDA may initiate a review.</w:t>
      </w:r>
    </w:p>
    <w:p>
      <w:pPr>
        <w:spacing w:after="0" w:line="189" w:lineRule="exact"/>
        <w:rPr>
          <w:sz w:val="20"/>
          <w:szCs w:val="20"/>
          <w:color w:val="auto"/>
        </w:rPr>
      </w:pPr>
    </w:p>
    <w:p>
      <w:pPr>
        <w:ind w:firstLine="810"/>
        <w:spacing w:after="0" w:line="261" w:lineRule="auto"/>
        <w:rPr>
          <w:sz w:val="20"/>
          <w:szCs w:val="20"/>
          <w:color w:val="auto"/>
        </w:rPr>
      </w:pPr>
      <w:r>
        <w:rPr>
          <w:rFonts w:ascii="Arial" w:cs="Arial" w:eastAsia="Arial" w:hAnsi="Arial"/>
          <w:sz w:val="18"/>
          <w:szCs w:val="18"/>
          <w:color w:val="auto"/>
        </w:rPr>
        <w:t>Fast Track designation, priority review, RMAT and breakthrough therapy designation do not change the standards for approval but may expedite the development or approval process.</w:t>
      </w:r>
    </w:p>
    <w:p>
      <w:pPr>
        <w:spacing w:after="0" w:line="198" w:lineRule="exact"/>
        <w:rPr>
          <w:sz w:val="20"/>
          <w:szCs w:val="20"/>
          <w:color w:val="auto"/>
        </w:rPr>
      </w:pPr>
    </w:p>
    <w:p>
      <w:pPr>
        <w:jc w:val="both"/>
        <w:ind w:right="140" w:firstLine="810"/>
        <w:spacing w:after="0" w:line="248" w:lineRule="auto"/>
        <w:rPr>
          <w:sz w:val="20"/>
          <w:szCs w:val="20"/>
          <w:color w:val="auto"/>
        </w:rPr>
      </w:pPr>
      <w:r>
        <w:rPr>
          <w:rFonts w:ascii="Arial" w:cs="Arial" w:eastAsia="Arial" w:hAnsi="Arial"/>
          <w:sz w:val="18"/>
          <w:szCs w:val="18"/>
          <w:color w:val="auto"/>
        </w:rPr>
        <w:t>In 2021, the FDA granted fast track designation status to ALLO-501A for the treatment of adult patients with R/R DLBCL and to ALLO-605 for the treatment of adult patients with R/R multiple myeloma. The FDA also granted RMAT designation to ALLO-715 for the treatment of adult patients with R/R multiple myeloma after three or more prior lines of therapies.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39" w:lineRule="exact"/>
        <w:rPr>
          <w:sz w:val="20"/>
          <w:szCs w:val="20"/>
          <w:color w:val="auto"/>
        </w:rPr>
      </w:pPr>
    </w:p>
    <w:p>
      <w:pPr>
        <w:ind w:firstLine="810"/>
        <w:spacing w:after="0" w:line="254" w:lineRule="auto"/>
        <w:rPr>
          <w:sz w:val="20"/>
          <w:szCs w:val="20"/>
          <w:color w:val="auto"/>
        </w:rPr>
      </w:pPr>
      <w:r>
        <w:rPr>
          <w:rFonts w:ascii="Arial" w:cs="Arial" w:eastAsia="Arial" w:hAnsi="Arial"/>
          <w:sz w:val="17"/>
          <w:szCs w:val="17"/>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a physician may prescribe a legally available product for an off-label use, if the physicians deems such product to be appropriate in his/her professional medical judgment, a manufacturer may not market or promote off-label uses. However, it is permissible to share in certain circumstances truthful and not misleading information that is consistent with the product’s approved labeling.</w:t>
      </w:r>
    </w:p>
    <w:p>
      <w:pPr>
        <w:spacing w:after="0" w:line="208" w:lineRule="exact"/>
        <w:rPr>
          <w:sz w:val="20"/>
          <w:szCs w:val="20"/>
          <w:color w:val="auto"/>
        </w:rPr>
      </w:pPr>
    </w:p>
    <w:p>
      <w:pPr>
        <w:ind w:firstLine="810"/>
        <w:spacing w:after="0" w:line="243" w:lineRule="auto"/>
        <w:rPr>
          <w:sz w:val="20"/>
          <w:szCs w:val="20"/>
          <w:color w:val="auto"/>
        </w:rPr>
      </w:pPr>
      <w:r>
        <w:rPr>
          <w:rFonts w:ascii="Arial" w:cs="Arial" w:eastAsia="Arial" w:hAnsi="Arial"/>
          <w:sz w:val="18"/>
          <w:szCs w:val="18"/>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w:t>
      </w:r>
    </w:p>
    <w:p>
      <w:pPr>
        <w:spacing w:after="0" w:line="218" w:lineRule="exact"/>
        <w:rPr>
          <w:sz w:val="20"/>
          <w:szCs w:val="20"/>
          <w:color w:val="auto"/>
        </w:rPr>
      </w:pPr>
    </w:p>
    <w:p>
      <w:pPr>
        <w:ind w:firstLine="810"/>
        <w:spacing w:after="0" w:line="255" w:lineRule="auto"/>
        <w:rPr>
          <w:sz w:val="20"/>
          <w:szCs w:val="20"/>
          <w:color w:val="auto"/>
        </w:rPr>
      </w:pPr>
      <w:r>
        <w:rPr>
          <w:rFonts w:ascii="Arial" w:cs="Arial" w:eastAsia="Arial" w:hAnsi="Arial"/>
          <w:sz w:val="17"/>
          <w:szCs w:val="17"/>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Marketing Exclusivity</w:t>
      </w:r>
    </w:p>
    <w:p>
      <w:pPr>
        <w:spacing w:after="0" w:line="239" w:lineRule="exact"/>
        <w:rPr>
          <w:sz w:val="20"/>
          <w:szCs w:val="20"/>
          <w:color w:val="auto"/>
        </w:rPr>
      </w:pPr>
    </w:p>
    <w:p>
      <w:pPr>
        <w:ind w:right="180" w:firstLine="810"/>
        <w:spacing w:after="0" w:line="279" w:lineRule="auto"/>
        <w:rPr>
          <w:sz w:val="20"/>
          <w:szCs w:val="20"/>
          <w:color w:val="auto"/>
        </w:rPr>
      </w:pPr>
      <w:r>
        <w:rPr>
          <w:rFonts w:ascii="Arial" w:cs="Arial" w:eastAsia="Arial" w:hAnsi="Arial"/>
          <w:sz w:val="16"/>
          <w:szCs w:val="16"/>
          <w:color w:val="auto"/>
        </w:rPr>
        <w:t>The Biologics Price Competition and Innovation Act (BPCIA) amended the PHSA to authorize the FDA to approve similar versions of innovative biologics, commonly known as biosimilars. A competitor seeking approval of a biosimilar must file an application to establish its molecule as highly similar to an approved innovator biologic, among other requirements. The BPCIA, however, bars the FDA from approving biosimilar applications for 12 years after an innovator biological product receives initial marketing approval. This 12-year period of data exclusivity may be extended by six months, for a total of 12.5 years, if the FDA requests that the innovator company conduct pediatric clinical investigations of the product.</w:t>
      </w:r>
    </w:p>
    <w:p>
      <w:pPr>
        <w:spacing w:after="0" w:line="186" w:lineRule="exact"/>
        <w:rPr>
          <w:sz w:val="20"/>
          <w:szCs w:val="20"/>
          <w:color w:val="auto"/>
        </w:rPr>
      </w:pPr>
    </w:p>
    <w:p>
      <w:pPr>
        <w:ind w:right="20" w:firstLine="810"/>
        <w:spacing w:after="0" w:line="270"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if granted,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198" w:lineRule="exact"/>
        <w:rPr>
          <w:sz w:val="20"/>
          <w:szCs w:val="20"/>
          <w:color w:val="auto"/>
        </w:rPr>
      </w:pPr>
    </w:p>
    <w:p>
      <w:pPr>
        <w:jc w:val="both"/>
        <w:ind w:right="240" w:firstLine="810"/>
        <w:spacing w:after="0"/>
        <w:rPr>
          <w:sz w:val="20"/>
          <w:szCs w:val="20"/>
          <w:color w:val="auto"/>
        </w:rPr>
      </w:pPr>
      <w:r>
        <w:rPr>
          <w:rFonts w:ascii="Arial" w:cs="Arial" w:eastAsia="Arial" w:hAnsi="Arial"/>
          <w:sz w:val="18"/>
          <w:szCs w:val="18"/>
          <w:color w:val="auto"/>
        </w:rPr>
        <w:t>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an FDA-issued “Written Request” for such a trial.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 Healthcare Laws and Compliance Requirements</w:t>
      </w:r>
    </w:p>
    <w:p>
      <w:pPr>
        <w:spacing w:after="0" w:line="239" w:lineRule="exact"/>
        <w:rPr>
          <w:sz w:val="20"/>
          <w:szCs w:val="20"/>
          <w:color w:val="auto"/>
        </w:rPr>
      </w:pPr>
    </w:p>
    <w:p>
      <w:pPr>
        <w:ind w:right="40" w:firstLine="810"/>
        <w:spacing w:after="0" w:line="239"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&amp; Medicaid Services (CMS), other divisions of the U.S. Department of Health and Human Services (HHS) (e.g., the Office of Inspector General, the U.S. Department of Justice (DOJ), and individual U.S. Attorney offices within the DOJ, and state and local governments). For example, our business practices, including any of our research and future sales, marketing and scientific/educational grant programs may be required to comply with the anti-fraud and abuse provisions of the Social Security Act, the false claims laws, the patient data privacy and security provisions of the Health Insurance Portability and Accountability Act (HIPAA), transparency requirements, and similar state, local and foreign laws, each as amended.</w:t>
      </w:r>
    </w:p>
    <w:p>
      <w:pPr>
        <w:spacing w:after="0" w:line="218" w:lineRule="exact"/>
        <w:rPr>
          <w:sz w:val="20"/>
          <w:szCs w:val="20"/>
          <w:color w:val="auto"/>
        </w:rPr>
      </w:pPr>
    </w:p>
    <w:p>
      <w:pPr>
        <w:ind w:right="60" w:firstLine="810"/>
        <w:spacing w:after="0" w:line="248"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good, facility or service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reimbursable under Medicare, Medicaid or other federal healthcare programs. The term remuneration has been interpreted broadly to include anything of value. The federal Anti-Kickback Statute has been interpreted to apply to arrangements between pharmaceutical manufacturers on one hand and prescribers, purchasers, formulary managers, and other individuals and entities on the other. There are a number of statutory exceptions and regulatory safe harbors protecting some common activities from prosecution. The exceptions and safe harbors are drawn narrowly and require strict compliance in order to offer protection.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211" w:lineRule="exact"/>
        <w:rPr>
          <w:sz w:val="20"/>
          <w:szCs w:val="20"/>
          <w:color w:val="auto"/>
        </w:rPr>
      </w:pPr>
    </w:p>
    <w:p>
      <w:pPr>
        <w:ind w:right="60" w:firstLine="810"/>
        <w:spacing w:after="0" w:line="257" w:lineRule="auto"/>
        <w:rPr>
          <w:sz w:val="20"/>
          <w:szCs w:val="20"/>
          <w:color w:val="auto"/>
        </w:rPr>
      </w:pPr>
      <w:r>
        <w:rPr>
          <w:rFonts w:ascii="Arial" w:cs="Arial" w:eastAsia="Arial" w:hAnsi="Arial"/>
          <w:sz w:val="17"/>
          <w:szCs w:val="17"/>
          <w:color w:val="auto"/>
        </w:rPr>
        <w:t>Additionally, the intent standard under the federal Anti-Kickback Statute was amended by the Patient Protection and Affordable Care Act of 2010, as amended by the Health Care and Education Reconciliation Act of 2010, collectively, the Affordable Care Act, to a stricter standard such that a person or entity no longer needs to have actual knowledge of the federal Anti-Kickback Statute or specific intent to violate it in order to have committed a violation. Rather, if “one purpose” of the remuneration is to induce referrals, the federal Anti-Kickback Statute is violated. In addition, the Affordable Care Act codified case law that a claim that includes items or services resulting from a violation of the federal Anti-Kickback Statute constitutes a false or fraudulent claim for purposes of the federal civil False Claims Act (discussed below).</w:t>
      </w:r>
    </w:p>
    <w:p>
      <w:pPr>
        <w:spacing w:after="0" w:line="202" w:lineRule="exact"/>
        <w:rPr>
          <w:sz w:val="20"/>
          <w:szCs w:val="20"/>
          <w:color w:val="auto"/>
        </w:rPr>
      </w:pPr>
    </w:p>
    <w:p>
      <w:pPr>
        <w:ind w:right="100" w:firstLine="810"/>
        <w:spacing w:after="0" w:line="248"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among others, a federal healthcare program that the person knows or should know is for a medical or other item or service that was not provided as claimed or is false or fraudulent.</w:t>
      </w:r>
    </w:p>
    <w:p>
      <w:pPr>
        <w:spacing w:after="0" w:line="209" w:lineRule="exact"/>
        <w:rPr>
          <w:sz w:val="20"/>
          <w:szCs w:val="20"/>
          <w:color w:val="auto"/>
        </w:rPr>
      </w:pPr>
    </w:p>
    <w:p>
      <w:pPr>
        <w:ind w:firstLine="810"/>
        <w:spacing w:after="0" w:line="276" w:lineRule="auto"/>
        <w:rPr>
          <w:sz w:val="20"/>
          <w:szCs w:val="20"/>
          <w:color w:val="auto"/>
        </w:rPr>
      </w:pPr>
      <w:r>
        <w:rPr>
          <w:rFonts w:ascii="Arial" w:cs="Arial" w:eastAsia="Arial" w:hAnsi="Arial"/>
          <w:sz w:val="16"/>
          <w:szCs w:val="16"/>
          <w:color w:val="auto"/>
        </w:rPr>
        <w:t>The federal civil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w:t>
      </w:r>
    </w:p>
    <w:p>
      <w:pPr>
        <w:spacing w:after="0" w:line="1"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color w:val="auto"/>
        </w:rPr>
        <w:t>claim includes “any request or demand” for money or property presented to the U.S. government. For example, pharmaceutical and other healthcare companies have been, and continue to be, investigated or prosecuted under these laws for allegedly providing free product to customers with the expectation that the customers would bill federal programs for the product and for causing false claims to be submitted because of the companies’ marketing of the product for unapproved, and thus non-reimbursable, uses.</w:t>
      </w:r>
    </w:p>
    <w:p>
      <w:pPr>
        <w:spacing w:after="0" w:line="210" w:lineRule="exact"/>
        <w:rPr>
          <w:sz w:val="20"/>
          <w:szCs w:val="20"/>
          <w:color w:val="auto"/>
        </w:rPr>
      </w:pPr>
    </w:p>
    <w:p>
      <w:pPr>
        <w:ind w:right="60" w:firstLine="810"/>
        <w:spacing w:after="0" w:line="241" w:lineRule="auto"/>
        <w:rPr>
          <w:sz w:val="20"/>
          <w:szCs w:val="20"/>
          <w:color w:val="auto"/>
        </w:rPr>
      </w:pPr>
      <w:r>
        <w:rPr>
          <w:rFonts w:ascii="Arial" w:cs="Arial" w:eastAsia="Arial" w:hAnsi="Arial"/>
          <w:sz w:val="18"/>
          <w:szCs w:val="18"/>
          <w:color w:val="auto"/>
        </w:rPr>
        <w:t>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w:t>
      </w:r>
    </w:p>
    <w:p>
      <w:pPr>
        <w:spacing w:after="0" w:line="216" w:lineRule="exact"/>
        <w:rPr>
          <w:sz w:val="20"/>
          <w:szCs w:val="20"/>
          <w:color w:val="auto"/>
        </w:rPr>
      </w:pPr>
    </w:p>
    <w:p>
      <w:pPr>
        <w:ind w:right="340" w:firstLine="810"/>
        <w:spacing w:after="0" w:line="261"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w:t>
      </w:r>
    </w:p>
    <w:p>
      <w:pPr>
        <w:spacing w:after="0" w:line="198" w:lineRule="exact"/>
        <w:rPr>
          <w:sz w:val="20"/>
          <w:szCs w:val="20"/>
          <w:color w:val="auto"/>
        </w:rPr>
      </w:pPr>
    </w:p>
    <w:p>
      <w:pPr>
        <w:ind w:right="60" w:firstLine="810"/>
        <w:spacing w:after="0" w:line="271" w:lineRule="auto"/>
        <w:rPr>
          <w:sz w:val="20"/>
          <w:szCs w:val="20"/>
          <w:color w:val="auto"/>
        </w:rPr>
      </w:pPr>
      <w:r>
        <w:rPr>
          <w:rFonts w:ascii="Arial" w:cs="Arial" w:eastAsia="Arial" w:hAnsi="Arial"/>
          <w:sz w:val="16"/>
          <w:szCs w:val="16"/>
          <w:color w:val="auto"/>
        </w:rPr>
        <w:t>We may be subject to data privacy and security regulations by both the federal government and the states in which we conduct our business. HIPAA, as amended by the Health Information Technology for Economic and Clinical Health Act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96" w:lineRule="exact"/>
        <w:rPr>
          <w:sz w:val="20"/>
          <w:szCs w:val="20"/>
          <w:color w:val="auto"/>
        </w:rPr>
      </w:pPr>
    </w:p>
    <w:p>
      <w:pPr>
        <w:ind w:right="40" w:firstLine="810"/>
        <w:spacing w:after="0" w:line="243" w:lineRule="auto"/>
        <w:rPr>
          <w:sz w:val="20"/>
          <w:szCs w:val="20"/>
          <w:color w:val="auto"/>
        </w:rPr>
      </w:pPr>
      <w:r>
        <w:rPr>
          <w:rFonts w:ascii="Arial" w:cs="Arial" w:eastAsia="Arial" w:hAnsi="Arial"/>
          <w:sz w:val="18"/>
          <w:szCs w:val="18"/>
          <w:color w:val="auto"/>
        </w:rPr>
        <w:t>Additionally, the federal Physician Payments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annually report information to CMS related to certain payments or other transfers of value made or distributed to physicians (defined to include doctors,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dentists, optometrists, podiatrists and chiropractors), other healthcare professionals (such as physicians assistants and nurse practitioners) and teaching hospitals, or to entities or individuals at the request of, or designated on behalf of, physicians and teaching hospitals and certain ownership and investment interests held by physicians and their immediate family members.</w:t>
      </w:r>
    </w:p>
    <w:p>
      <w:pPr>
        <w:spacing w:after="0" w:line="209" w:lineRule="exact"/>
        <w:rPr>
          <w:sz w:val="20"/>
          <w:szCs w:val="20"/>
          <w:color w:val="auto"/>
        </w:rPr>
      </w:pPr>
    </w:p>
    <w:p>
      <w:pPr>
        <w:ind w:firstLine="810"/>
        <w:spacing w:after="0" w:line="271"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96" w:lineRule="exact"/>
        <w:rPr>
          <w:sz w:val="20"/>
          <w:szCs w:val="20"/>
          <w:color w:val="auto"/>
        </w:rPr>
      </w:pPr>
    </w:p>
    <w:p>
      <w:pPr>
        <w:ind w:right="60" w:firstLine="810"/>
        <w:spacing w:after="0" w:line="239"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 administrative penalties, damages, fines, disgorgement, imprisonment, exclusion from participation in government programs, such as Medicare and Medicaid,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Pricing and Reimbursement</w:t>
      </w:r>
    </w:p>
    <w:p>
      <w:pPr>
        <w:spacing w:after="0" w:line="239" w:lineRule="exact"/>
        <w:rPr>
          <w:sz w:val="20"/>
          <w:szCs w:val="20"/>
          <w:color w:val="auto"/>
        </w:rPr>
      </w:pPr>
    </w:p>
    <w:p>
      <w:pPr>
        <w:ind w:firstLine="810"/>
        <w:spacing w:after="0" w:line="251"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or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216" w:lineRule="exact"/>
        <w:rPr>
          <w:sz w:val="20"/>
          <w:szCs w:val="20"/>
          <w:color w:val="auto"/>
        </w:rPr>
      </w:pPr>
    </w:p>
    <w:p>
      <w:pPr>
        <w:ind w:right="80" w:firstLine="810"/>
        <w:spacing w:after="0" w:line="238" w:lineRule="auto"/>
        <w:rPr>
          <w:sz w:val="20"/>
          <w:szCs w:val="20"/>
          <w:color w:val="auto"/>
        </w:rPr>
      </w:pPr>
      <w:r>
        <w:rPr>
          <w:rFonts w:ascii="Arial" w:cs="Arial" w:eastAsia="Arial" w:hAnsi="Arial"/>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221" w:lineRule="exact"/>
        <w:rPr>
          <w:sz w:val="20"/>
          <w:szCs w:val="20"/>
          <w:color w:val="auto"/>
        </w:rPr>
      </w:pPr>
    </w:p>
    <w:p>
      <w:pPr>
        <w:ind w:right="80" w:firstLine="810"/>
        <w:spacing w:after="0" w:line="243"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status is attained for one or more products for which we receive regulatory approval, less favorable coverage policies and reimbursement rates may be implemented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w:t>
      </w:r>
    </w:p>
    <w:p>
      <w:pPr>
        <w:spacing w:after="0" w:line="252" w:lineRule="exact"/>
        <w:rPr>
          <w:sz w:val="20"/>
          <w:szCs w:val="20"/>
          <w:color w:val="auto"/>
        </w:rPr>
      </w:pPr>
    </w:p>
    <w:p>
      <w:pPr>
        <w:ind w:firstLine="810"/>
        <w:spacing w:after="0"/>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216" w:lineRule="exact"/>
        <w:rPr>
          <w:sz w:val="20"/>
          <w:szCs w:val="20"/>
          <w:color w:val="auto"/>
        </w:rPr>
      </w:pPr>
    </w:p>
    <w:p>
      <w:pPr>
        <w:ind w:right="200" w:firstLine="810"/>
        <w:spacing w:after="0" w:line="248" w:lineRule="auto"/>
        <w:rPr>
          <w:sz w:val="20"/>
          <w:szCs w:val="20"/>
          <w:color w:val="auto"/>
        </w:rPr>
      </w:pPr>
      <w:r>
        <w:rPr>
          <w:rFonts w:ascii="Arial" w:cs="Arial" w:eastAsia="Arial" w:hAnsi="Arial"/>
          <w:sz w:val="18"/>
          <w:szCs w:val="18"/>
          <w:color w:val="auto"/>
        </w:rPr>
        <w:t>For example, the Affordable Care Act has substantially changed healthcare financing and delivery by both governmental and private insurers. Among the Affordable Care Act provisions of importance to the pharmaceutical and biotechnology industries, in addition to those otherwise described above, are the following:</w:t>
      </w:r>
    </w:p>
    <w:p>
      <w:pPr>
        <w:spacing w:after="0" w:line="236" w:lineRule="exact"/>
        <w:rPr>
          <w:sz w:val="20"/>
          <w:szCs w:val="20"/>
          <w:color w:val="auto"/>
        </w:rPr>
      </w:pPr>
    </w:p>
    <w:p>
      <w:pPr>
        <w:ind w:left="660" w:right="18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created an annual, nondeductible fee on any entity that manufactures or imports certain specified branded prescription drugs and biologic agents apportioned among these entities according to their market share in some government healthcare programs;</w:t>
      </w:r>
    </w:p>
    <w:p>
      <w:pPr>
        <w:spacing w:after="0" w:line="1" w:lineRule="exact"/>
        <w:rPr>
          <w:rFonts w:ascii="Arial" w:cs="Arial" w:eastAsia="Arial" w:hAnsi="Arial"/>
          <w:sz w:val="22"/>
          <w:szCs w:val="22"/>
          <w:color w:val="auto"/>
        </w:rPr>
      </w:pPr>
    </w:p>
    <w:p>
      <w:pPr>
        <w:ind w:left="660" w:right="320" w:hanging="328"/>
        <w:spacing w:after="0" w:line="233"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increased the statutory minimum rebates a manufacturer must pay under the Medicaid Drug Rebate Program to 23.1% and 13% of the average manufacturer price for most branded and generic drugs, respectively, and capped the total rebate amount for innovator drugs at 100% of the Average Manufacturer Price (AMP);</w:t>
      </w:r>
    </w:p>
    <w:p>
      <w:pPr>
        <w:ind w:left="660" w:right="120" w:hanging="328"/>
        <w:spacing w:after="0" w:line="233"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ind w:left="660" w:right="74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extended manufacturers’ Medicaid rebate liability to covered drugs dispensed to individuals who are enrolled in Medicaid managed care organizations;</w:t>
      </w:r>
    </w:p>
    <w:p>
      <w:pPr>
        <w:ind w:left="660" w:right="240" w:hanging="328"/>
        <w:spacing w:after="0" w:line="233"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expanded eligibility criteria for Medicaid programs by, among other things, allowing states to offer Medicaid coverage to additional individuals and added new mandatory eligibility categories for individuals with income at or below 133% of the federal poverty level, thereby potentially increasing manufacturers’ Medicaid rebate liability;</w:t>
      </w:r>
    </w:p>
    <w:p>
      <w:pPr>
        <w:ind w:left="660" w:hanging="328"/>
        <w:spacing w:after="0" w:line="217"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expanded of the entities eligible for discounts under the 340B Drug Discount Program;</w:t>
      </w:r>
    </w:p>
    <w:p>
      <w:pPr>
        <w:spacing w:after="0" w:line="13" w:lineRule="exact"/>
        <w:rPr>
          <w:rFonts w:ascii="Arial" w:cs="Arial" w:eastAsia="Arial" w:hAnsi="Arial"/>
          <w:sz w:val="22"/>
          <w:szCs w:val="22"/>
          <w:color w:val="auto"/>
        </w:rPr>
      </w:pPr>
    </w:p>
    <w:p>
      <w:pPr>
        <w:ind w:left="660" w:right="10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created a Patient-Centered Outcomes Research Institute to oversee, identify priorities in, and conduct comparative clinical effectiveness research, along with funding for such research;</w:t>
      </w:r>
    </w:p>
    <w:p>
      <w:pPr>
        <w:spacing w:after="0" w:line="1" w:lineRule="exact"/>
        <w:rPr>
          <w:rFonts w:ascii="Arial" w:cs="Arial" w:eastAsia="Arial" w:hAnsi="Arial"/>
          <w:sz w:val="22"/>
          <w:szCs w:val="22"/>
          <w:color w:val="auto"/>
        </w:rPr>
      </w:pPr>
    </w:p>
    <w:p>
      <w:pPr>
        <w:ind w:left="660" w:right="52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expanded healthcare fraud and abuse laws, including the Anti-Kickback Statute and the Foreign Corrupt Practices Act (FCPA), created new government investigative powers, and enhanced penalties for noncompliance;</w:t>
      </w:r>
    </w:p>
    <w:p>
      <w:pPr>
        <w:ind w:left="660" w:right="20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created a new methodology by which rebates owed by manufacturers under the Medicaid Drug Rebate Program are calculated for drugs that are inhaled, infused, instilled, implanted, or injected;</w:t>
      </w:r>
    </w:p>
    <w:p>
      <w:pPr>
        <w:ind w:left="660" w:hanging="328"/>
        <w:spacing w:after="0" w:line="217"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required reporting of certain financial arrangements with physicians and teaching hospitals;</w:t>
      </w:r>
    </w:p>
    <w:p>
      <w:pPr>
        <w:spacing w:after="0" w:line="10" w:lineRule="exact"/>
        <w:rPr>
          <w:rFonts w:ascii="Arial" w:cs="Arial" w:eastAsia="Arial" w:hAnsi="Arial"/>
          <w:sz w:val="22"/>
          <w:szCs w:val="22"/>
          <w:color w:val="auto"/>
        </w:rPr>
      </w:pPr>
    </w:p>
    <w:p>
      <w:pPr>
        <w:ind w:left="660" w:hanging="328"/>
        <w:spacing w:after="0" w:line="231" w:lineRule="auto"/>
        <w:tabs>
          <w:tab w:leader="none" w:pos="660" w:val="left"/>
        </w:tabs>
        <w:numPr>
          <w:ilvl w:val="0"/>
          <w:numId w:val="26"/>
        </w:numPr>
        <w:rPr>
          <w:rFonts w:ascii="Arial" w:cs="Arial" w:eastAsia="Arial" w:hAnsi="Arial"/>
          <w:sz w:val="21"/>
          <w:szCs w:val="21"/>
          <w:color w:val="auto"/>
        </w:rPr>
      </w:pPr>
      <w:r>
        <w:rPr>
          <w:rFonts w:ascii="Arial" w:cs="Arial" w:eastAsia="Arial" w:hAnsi="Arial"/>
          <w:sz w:val="17"/>
          <w:szCs w:val="17"/>
          <w:color w:val="auto"/>
        </w:rPr>
        <w:t>required annual reporting of certain information regarding drug samples that manufacturers and distributors provide to physicians; and</w:t>
      </w:r>
    </w:p>
    <w:p>
      <w:pPr>
        <w:spacing w:after="0" w:line="13" w:lineRule="exact"/>
        <w:rPr>
          <w:rFonts w:ascii="Arial" w:cs="Arial" w:eastAsia="Arial" w:hAnsi="Arial"/>
          <w:sz w:val="21"/>
          <w:szCs w:val="21"/>
          <w:color w:val="auto"/>
        </w:rPr>
      </w:pPr>
    </w:p>
    <w:p>
      <w:pPr>
        <w:ind w:left="660" w:right="2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established a Center for Medicare and Medicaid Innovation at CMS to test innovative payment and service delivery models to lower Medicare and Medicaid spending.</w:t>
      </w:r>
    </w:p>
    <w:p>
      <w:pPr>
        <w:spacing w:after="0" w:line="217" w:lineRule="exact"/>
        <w:rPr>
          <w:sz w:val="20"/>
          <w:szCs w:val="20"/>
          <w:color w:val="auto"/>
        </w:rPr>
      </w:pPr>
    </w:p>
    <w:p>
      <w:pPr>
        <w:ind w:right="60" w:firstLine="810"/>
        <w:spacing w:after="0" w:line="257" w:lineRule="auto"/>
        <w:rPr>
          <w:sz w:val="20"/>
          <w:szCs w:val="20"/>
          <w:color w:val="auto"/>
        </w:rPr>
      </w:pPr>
      <w:r>
        <w:rPr>
          <w:rFonts w:ascii="Arial" w:cs="Arial" w:eastAsia="Arial" w:hAnsi="Arial"/>
          <w:sz w:val="17"/>
          <w:szCs w:val="17"/>
          <w:color w:val="auto"/>
        </w:rPr>
        <w:t>There have been legal and political challenges to certain aspects of the Affordable Care Act. For example, President Trump signed several executive orders and other directives designed to delay, circumvent, or loosen certain requirements mandated by the Affordable Care Act. In December 2017, Congress repealed the tax penalty for an individual’s failure to maintain Affordable Care Act-mandated health insurance, commonly known as the “individual mandate”, as part of legislation enacted in 2017, informally titled the Tax Cuts and Jobs Act of 2017 (Tax Act). In addition, the 2020 federal spending package permanently eliminated, effective January 1, 2020, the Affordable Care Act’s mandated “Cadillac” tax on high-cost employer-sponsored health coverage and medical device tax and, effective January 1, 2021, also eliminated the health insurer tax.</w:t>
      </w:r>
    </w:p>
    <w:p>
      <w:pPr>
        <w:spacing w:after="0" w:line="202" w:lineRule="exact"/>
        <w:rPr>
          <w:sz w:val="20"/>
          <w:szCs w:val="20"/>
          <w:color w:val="auto"/>
        </w:rPr>
      </w:pPr>
    </w:p>
    <w:p>
      <w:pPr>
        <w:ind w:firstLine="810"/>
        <w:spacing w:after="0" w:line="248" w:lineRule="auto"/>
        <w:rPr>
          <w:sz w:val="20"/>
          <w:szCs w:val="20"/>
          <w:color w:val="auto"/>
        </w:rPr>
      </w:pPr>
      <w:r>
        <w:rPr>
          <w:rFonts w:ascii="Arial" w:cs="Arial" w:eastAsia="Arial" w:hAnsi="Arial"/>
          <w:sz w:val="18"/>
          <w:szCs w:val="18"/>
          <w:color w:val="auto"/>
        </w:rPr>
        <w:t>Further, the Bipartisan Budget Act of 2018 (BBA), among other things, amended the Affordable Care Act, effective January 1, 2019, to close the coverage gap in most Medicare drug plans, commonly referred to as the “donut hole”. In December 2018, CMS published a final rule permitting further collections and payments to and from certain Affordable Care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Act qualified health plans and health insurance issuers under the Affordable Care Act risk adjustment program in response to the outcome of federal district court litigation regarding the method CMS uses to determine this risk adjustment. On June 17, 2021 the U.S. Supreme Court dismissed a challenge on procedural grounds that argued the Affordable Care Act is unconstitutional in its entirety because the “individual mandate” was repealed by Congress. Thus, the Affordable Care Act will remain in effect in its current form. Further, prior to the U.S. Supreme Court ruling, on January 28, 2021, President Biden issued an executive order to initiate a special enrollment period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such challenges and the healthcare reform measures of the Biden administration will impact the Affordable Care Act.</w:t>
      </w:r>
    </w:p>
    <w:p>
      <w:pPr>
        <w:spacing w:after="0" w:line="196" w:lineRule="exact"/>
        <w:rPr>
          <w:sz w:val="20"/>
          <w:szCs w:val="20"/>
          <w:color w:val="auto"/>
        </w:rPr>
      </w:pPr>
    </w:p>
    <w:p>
      <w:pPr>
        <w:ind w:right="20" w:firstLine="810"/>
        <w:spacing w:after="0" w:line="252" w:lineRule="auto"/>
        <w:rPr>
          <w:sz w:val="20"/>
          <w:szCs w:val="20"/>
          <w:color w:val="auto"/>
        </w:rPr>
      </w:pPr>
      <w:r>
        <w:rPr>
          <w:rFonts w:ascii="Arial" w:cs="Arial" w:eastAsia="Arial" w:hAnsi="Arial"/>
          <w:sz w:val="17"/>
          <w:szCs w:val="17"/>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2031 unless additional Congressional action is taken. However, COVID-19 relief support legislation suspended the 2% Medicare sequester from May 1, 2020 through March 31, 2022. Under current legislation, the actual reduction in Medicare payments will vary from 1% in 2022 to up to 3%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07" w:lineRule="exact"/>
        <w:rPr>
          <w:sz w:val="20"/>
          <w:szCs w:val="20"/>
          <w:color w:val="auto"/>
        </w:rPr>
      </w:pPr>
    </w:p>
    <w:p>
      <w:pPr>
        <w:ind w:right="20" w:firstLine="810"/>
        <w:spacing w:after="0" w:line="266"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Congressional inquiries and federal and state legislative activity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and guidance in September 2020, implementing a portion of the importation executive order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to advance these principles. No legislation or administrative actions have been finalized to implement these principles. In addition, Congress is considering drug pricing as part of other reform initiatives.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10" w:lineRule="exact"/>
        <w:rPr>
          <w:sz w:val="20"/>
          <w:szCs w:val="20"/>
          <w:color w:val="auto"/>
        </w:rPr>
      </w:pPr>
    </w:p>
    <w:p>
      <w:pPr>
        <w:jc w:val="both"/>
        <w:ind w:right="240" w:firstLine="810"/>
        <w:spacing w:after="0" w:line="248" w:lineRule="auto"/>
        <w:rPr>
          <w:sz w:val="20"/>
          <w:szCs w:val="20"/>
          <w:color w:val="auto"/>
        </w:rPr>
      </w:pPr>
      <w:r>
        <w:rPr>
          <w:rFonts w:ascii="Arial" w:cs="Arial" w:eastAsia="Arial" w:hAnsi="Arial"/>
          <w:sz w:val="18"/>
          <w:szCs w:val="18"/>
          <w:color w:val="auto"/>
        </w:rPr>
        <w:t>We anticipate that these and other healthcare reform efforts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560"/>
        <w:spacing w:after="0" w:line="262" w:lineRule="auto"/>
        <w:rPr>
          <w:sz w:val="20"/>
          <w:szCs w:val="20"/>
          <w:color w:val="auto"/>
        </w:rPr>
      </w:pPr>
      <w:r>
        <w:rPr>
          <w:rFonts w:ascii="Arial" w:cs="Arial" w:eastAsia="Arial" w:hAnsi="Arial"/>
          <w:sz w:val="17"/>
          <w:szCs w:val="17"/>
          <w:color w:val="auto"/>
        </w:rPr>
        <w:t>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 Further, it is possible that additional governmental action will be taken in response to the COVID-19 pandemic.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Foreign Corrupt Practices Act</w:t>
      </w:r>
    </w:p>
    <w:p>
      <w:pPr>
        <w:spacing w:after="0" w:line="239" w:lineRule="exact"/>
        <w:rPr>
          <w:sz w:val="20"/>
          <w:szCs w:val="20"/>
          <w:color w:val="auto"/>
        </w:rPr>
      </w:pPr>
    </w:p>
    <w:p>
      <w:pPr>
        <w:ind w:right="180" w:firstLine="810"/>
        <w:spacing w:after="0" w:line="279" w:lineRule="auto"/>
        <w:rPr>
          <w:sz w:val="20"/>
          <w:szCs w:val="20"/>
          <w:color w:val="auto"/>
        </w:rPr>
      </w:pPr>
      <w:r>
        <w:rPr>
          <w:rFonts w:ascii="Arial" w:cs="Arial" w:eastAsia="Arial" w:hAnsi="Arial"/>
          <w:sz w:val="16"/>
          <w:szCs w:val="16"/>
          <w:color w:val="auto"/>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Regulation</w:t>
      </w:r>
    </w:p>
    <w:p>
      <w:pPr>
        <w:spacing w:after="0" w:line="239" w:lineRule="exact"/>
        <w:rPr>
          <w:sz w:val="20"/>
          <w:szCs w:val="20"/>
          <w:color w:val="auto"/>
        </w:rPr>
      </w:pPr>
    </w:p>
    <w:p>
      <w:pPr>
        <w:ind w:right="140" w:firstLine="810"/>
        <w:spacing w:after="0" w:line="276"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 Rest of World Government Regulation</w:t>
      </w:r>
    </w:p>
    <w:p>
      <w:pPr>
        <w:spacing w:after="0" w:line="239" w:lineRule="exact"/>
        <w:rPr>
          <w:sz w:val="20"/>
          <w:szCs w:val="20"/>
          <w:color w:val="auto"/>
        </w:rPr>
      </w:pPr>
    </w:p>
    <w:p>
      <w:pPr>
        <w:jc w:val="both"/>
        <w:ind w:right="20" w:firstLine="810"/>
        <w:spacing w:after="0" w:line="271"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w:t>
      </w:r>
    </w:p>
    <w:p>
      <w:pPr>
        <w:spacing w:after="0" w:line="237" w:lineRule="auto"/>
        <w:rPr>
          <w:sz w:val="20"/>
          <w:szCs w:val="20"/>
          <w:color w:val="auto"/>
        </w:rPr>
      </w:pPr>
      <w:r>
        <w:rPr>
          <w:rFonts w:ascii="Arial" w:cs="Arial" w:eastAsia="Arial" w:hAnsi="Arial"/>
          <w:sz w:val="18"/>
          <w:szCs w:val="18"/>
          <w:color w:val="auto"/>
        </w:rPr>
        <w:t>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w:t>
      </w:r>
    </w:p>
    <w:p>
      <w:pPr>
        <w:spacing w:after="0" w:line="218" w:lineRule="exact"/>
        <w:rPr>
          <w:sz w:val="20"/>
          <w:szCs w:val="20"/>
          <w:color w:val="auto"/>
        </w:rPr>
      </w:pPr>
    </w:p>
    <w:p>
      <w:pPr>
        <w:ind w:right="40" w:firstLine="810"/>
        <w:spacing w:after="0" w:line="248"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w:t>
      </w:r>
    </w:p>
    <w:p>
      <w:pPr>
        <w:spacing w:after="0" w:line="209" w:lineRule="exact"/>
        <w:rPr>
          <w:sz w:val="20"/>
          <w:szCs w:val="20"/>
          <w:color w:val="auto"/>
        </w:rPr>
      </w:pPr>
    </w:p>
    <w:p>
      <w:pPr>
        <w:ind w:right="420" w:firstLine="810"/>
        <w:spacing w:after="0" w:line="248" w:lineRule="auto"/>
        <w:rPr>
          <w:sz w:val="20"/>
          <w:szCs w:val="20"/>
          <w:color w:val="auto"/>
        </w:rPr>
      </w:pPr>
      <w:r>
        <w:rPr>
          <w:rFonts w:ascii="Arial" w:cs="Arial" w:eastAsia="Arial" w:hAnsi="Arial"/>
          <w:sz w:val="18"/>
          <w:szCs w:val="18"/>
          <w:color w:val="auto"/>
        </w:rPr>
        <w:t>To obtain regulatory approval of an investigational drug or biological product under EU regulatory systems, we must submit an MAA. The application used to file the BLA in the United States is similar to that required in the EU, with the exception of, among other things, country-specific document requirements.</w:t>
      </w:r>
    </w:p>
    <w:p>
      <w:pPr>
        <w:spacing w:after="0" w:line="209" w:lineRule="exact"/>
        <w:rPr>
          <w:sz w:val="20"/>
          <w:szCs w:val="20"/>
          <w:color w:val="auto"/>
        </w:rPr>
      </w:pPr>
    </w:p>
    <w:p>
      <w:pPr>
        <w:ind w:right="240" w:firstLine="810"/>
        <w:spacing w:after="0" w:line="294" w:lineRule="auto"/>
        <w:rPr>
          <w:sz w:val="20"/>
          <w:szCs w:val="20"/>
          <w:color w:val="auto"/>
        </w:rPr>
      </w:pPr>
      <w:r>
        <w:rPr>
          <w:rFonts w:ascii="Arial" w:cs="Arial" w:eastAsia="Arial" w:hAnsi="Arial"/>
          <w:sz w:val="16"/>
          <w:szCs w:val="16"/>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w:t>
      </w:r>
    </w:p>
    <w:p>
      <w:pPr>
        <w:spacing w:after="0" w:line="174" w:lineRule="exact"/>
        <w:rPr>
          <w:sz w:val="20"/>
          <w:szCs w:val="20"/>
          <w:color w:val="auto"/>
        </w:rPr>
      </w:pPr>
    </w:p>
    <w:p>
      <w:pPr>
        <w:ind w:right="240" w:firstLine="810"/>
        <w:spacing w:after="0" w:line="324" w:lineRule="auto"/>
        <w:rPr>
          <w:sz w:val="20"/>
          <w:szCs w:val="20"/>
          <w:color w:val="auto"/>
        </w:rPr>
      </w:pPr>
      <w:r>
        <w:rPr>
          <w:rFonts w:ascii="Arial" w:cs="Arial" w:eastAsia="Arial" w:hAnsi="Arial"/>
          <w:sz w:val="16"/>
          <w:szCs w:val="16"/>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Union General Data Protection Regulation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60" w:firstLine="810"/>
        <w:spacing w:after="0" w:line="274" w:lineRule="auto"/>
        <w:rPr>
          <w:sz w:val="20"/>
          <w:szCs w:val="20"/>
          <w:color w:val="auto"/>
        </w:rPr>
      </w:pPr>
      <w:r>
        <w:rPr>
          <w:rFonts w:ascii="Arial" w:cs="Arial" w:eastAsia="Arial" w:hAnsi="Arial"/>
          <w:sz w:val="16"/>
          <w:szCs w:val="16"/>
          <w:color w:val="auto"/>
        </w:rPr>
        <w:t>In addition to EU regulations related to the approval and commercialization of our products, we may be subject to the EU’s General Data Protection Regulation (GDPR). The GDPR imposes stringent requirements for controllers and processors of personal data of persons in the EU, including, for example, more robust disclosures to individuals and a strengthened individual data rights regime, shortened timelines for data breach notifications, limitations on retention of information, increased requirements pertaining to special categories of data, such as health data, and additional obligations when we contract with third-party processors in connection with the processing of the personal data. The GDPR also imposes strict rules on the transfer of personal data out of the European Union to the United States and other third countries. In addition, the GDPR provides that EU member states may make their own further laws and regulations limiting the processing of personal data, including genetic, biometric or health data.</w:t>
      </w:r>
    </w:p>
    <w:p>
      <w:pPr>
        <w:spacing w:after="0" w:line="190" w:lineRule="exact"/>
        <w:rPr>
          <w:sz w:val="20"/>
          <w:szCs w:val="20"/>
          <w:color w:val="auto"/>
        </w:rPr>
      </w:pPr>
    </w:p>
    <w:p>
      <w:pPr>
        <w:ind w:right="40" w:firstLine="810"/>
        <w:spacing w:after="0"/>
        <w:rPr>
          <w:sz w:val="20"/>
          <w:szCs w:val="20"/>
          <w:color w:val="auto"/>
        </w:rPr>
      </w:pPr>
      <w:r>
        <w:rPr>
          <w:rFonts w:ascii="Arial" w:cs="Arial" w:eastAsia="Arial" w:hAnsi="Arial"/>
          <w:sz w:val="18"/>
          <w:szCs w:val="18"/>
          <w:color w:val="auto"/>
        </w:rPr>
        <w:t>The GDPR applies extraterritorially, and we may be subject to the GDPR because of our data processing activities that involve the personal data of individuals located in the European Union, such as in connection with our EU clinical trials. Failure to comply with the requirements of the GDPR and the applicable national data protection laws of the EU member states may result in fines of up to €20,000,000 or up to 4% of the total worldwide annual turnover of the preceding financial year, whichever is higher, and other administrative penalties. GDPR regulations may impose additional responsibility and liability in relation to the personal data that we process and we may be required to put in place additional mechanisms to ensure compliance with the new data protection rules.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Consumer Privacy Act</w:t>
      </w:r>
    </w:p>
    <w:p>
      <w:pPr>
        <w:spacing w:after="0" w:line="239" w:lineRule="exact"/>
        <w:rPr>
          <w:sz w:val="20"/>
          <w:szCs w:val="20"/>
          <w:color w:val="auto"/>
        </w:rPr>
      </w:pPr>
    </w:p>
    <w:p>
      <w:pPr>
        <w:ind w:right="20" w:firstLine="810"/>
        <w:spacing w:after="0" w:line="253" w:lineRule="auto"/>
        <w:rPr>
          <w:sz w:val="20"/>
          <w:szCs w:val="20"/>
          <w:color w:val="auto"/>
        </w:rPr>
      </w:pPr>
      <w:r>
        <w:rPr>
          <w:rFonts w:ascii="Arial" w:cs="Arial" w:eastAsia="Arial" w:hAnsi="Arial"/>
          <w:sz w:val="17"/>
          <w:szCs w:val="17"/>
          <w:color w:val="auto"/>
        </w:rPr>
        <w:t>The California Consumer Privacy Act (CCPA) creates new individual privacy rights for consumers (as that word is broadly defined in the law) and places increased privacy and security obligations on entities handling personal data of consumers or households. The CCPA requires covered companies to provide new disclosures to California consumers, affords California residents certain rights related to their personal data, including the right to opt-out of certain sales of personal data, and allows for a new cause of action for certain data breaches. In addition, the California Privacy Rights Act of 2020 (CPRA), effective January 1, 2023, will expand the CCPA. The CPRA will, among other things, give California residents the ability to limit use of certain sensitive personal data, establish restrictions on personal data retention, expand the types of data breaches that are subject to the CCPA’s private right of action, and establish a new California Privacy Protection Agency to implement and enforce the new law. As our business progresses, the CCPA and the CPRA may become applicable and impact (possibly significantly) our business activities and exemplifies the vulnerability of our business to the evolving regulatory environment related to personal data and protected health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ind w:right="80" w:firstLine="810"/>
        <w:spacing w:after="0" w:line="243" w:lineRule="auto"/>
        <w:rPr>
          <w:sz w:val="20"/>
          <w:szCs w:val="20"/>
          <w:color w:val="auto"/>
        </w:rPr>
      </w:pPr>
      <w:r>
        <w:rPr>
          <w:rFonts w:ascii="Arial" w:cs="Arial" w:eastAsia="Arial" w:hAnsi="Arial"/>
          <w:sz w:val="18"/>
          <w:szCs w:val="18"/>
          <w:color w:val="auto"/>
        </w:rPr>
        <w:t>As of February 1, 2022, we had 310 total employees, of which 308 are full-time. Of our full-time employees, 70 hold Ph.D. and/or M.D. degrees, and 234 are engaged in research, development and technical operations. Substantially all of our employees are located in South San Francisco and Newark, California. Our employees are not represented by labor unions or covered by collective bargaining agreements. We believe that our employee morale is healthy and consider our relationship with our employees to be good.</w:t>
      </w:r>
    </w:p>
    <w:p>
      <w:pPr>
        <w:spacing w:after="0" w:line="215" w:lineRule="exact"/>
        <w:rPr>
          <w:sz w:val="20"/>
          <w:szCs w:val="20"/>
          <w:color w:val="auto"/>
        </w:rPr>
      </w:pPr>
    </w:p>
    <w:p>
      <w:pPr>
        <w:jc w:val="both"/>
        <w:ind w:right="500" w:firstLine="648"/>
        <w:spacing w:after="0" w:line="248" w:lineRule="auto"/>
        <w:rPr>
          <w:sz w:val="20"/>
          <w:szCs w:val="20"/>
          <w:color w:val="auto"/>
        </w:rPr>
      </w:pPr>
      <w:r>
        <w:rPr>
          <w:rFonts w:ascii="Arial" w:cs="Arial" w:eastAsia="Arial" w:hAnsi="Arial"/>
          <w:sz w:val="18"/>
          <w:szCs w:val="18"/>
          <w:color w:val="auto"/>
        </w:rPr>
        <w:t>We believe our workforce is key to Allogene’s success and we actively focus on the following core elements of human capital: (1) our “One Allogene” culture, (2) diversity, equity and inclusion, and (3) recruitment, development and retention. Given the COVID-19 pandemic, we have also focused on COVID-19 safety measures and new ways of generating employee engagement.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 Allogene Culture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express our culture under the framework of “One Allogene”: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Allogene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only succeed as a team.</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accomplish more together than as individuals when we unite as one Allogene community.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are resilient, because we strive to save the lives of people with cancer.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come together with purpose, courage and flexibility despite challenges or uncertainty because every potential patient is someone’s partner, parent, child,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sibling or friend.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aim for excellence and give it our all.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pursue scientific innovation with a focus on quality and integrity in everything we do to forever change how cancer is treated.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take ownership and get things done.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are leaders who embrace urgency, initiative and follow through, with the humility to know each one of us is vital to making AlloCAR T therapy 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reality.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are good to one another.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value diversity of thought, background and expertise, we earn each other’s trust, and assume good intention as we collaborate to help patients.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are creating a scientific revolution.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are One Allogene</w:t>
      </w:r>
    </w:p>
    <w:p>
      <w:pPr>
        <w:spacing w:after="0" w:line="243"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These core elements of our culture are meant to define how and why we do business. In addition, our core values of collaboration, leadership, innovation and focus help drive our culture and behaviors and are layered into our performance reviews so that we can keep ourselves and our employees accountable.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23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We are committed to cultivating, fostering, and preserving a culture of diversity, equity and inclusion (DEI). We foster an inclusive environment through respect, collaboration, and open communication. We embrace and encourage differences in age, color, disability, ethnicity, family or marital status, gender identity or expression, language, national origin, culture or customs, physical and mental ability, political affiliation, race, religion, sexual orientation, socio-economic status, veteran status, and other characteristics that make our employees unique. We also embrace differences in experience and background, and welcome diversity of opinions and thought when making decisions.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February 1, 2022, our employees were self-reportedly 50% women. Of our Director-level and above employees, 45% were self-reportedly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women.</w:t>
      </w:r>
    </w:p>
    <w:p>
      <w:pPr>
        <w:spacing w:after="0" w:line="223"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In addition, as of February 1, 2022, 66% of all employees were self-reportedly ethnic or racial minorities in the U.S., with 51% Asian, 2% Black or African American, 6% Hispanic or Latino and 7% of other minority groups or two or more races. Of our Director-level and above employees, 39% were self-reportedly ethnic or racial minorities in the U.S., with 33% Asian, 2% Hispanic or Latino and 4% of other minority groups or two or more races.</w:t>
      </w:r>
    </w:p>
    <w:p>
      <w:pPr>
        <w:spacing w:after="0" w:line="174"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Although we are proud of our efforts and metrics to date, we are focused on broadening our outreach and increasing opportunities to underrepresented minorities, including increased recruitment efforts in minority communities by posting our open positions on top job boards for diversity hiring, participating in diversity focused career fairs and hosting science, technology, engineering, and mathematics (STEM)-based outreach in underserved communities at the elementary, junior high and high school level. We have and will continue to conduct unconscious bias training and provide guidance with respect to best practices with a focus on DEI for interviewers. Our recruiters and hiring managers are also encouraged to consider candidates from underrepresented groups and to have diverse interview panels. In addition, we have an Employee Referral Bonus Program that rewards employees for referring candidates from underrepresented groups that are ultimately hired.</w:t>
      </w:r>
    </w:p>
    <w:p>
      <w:pPr>
        <w:spacing w:after="0" w:line="207"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Our DEI initiatives are applicable to our practices and policies, such as those on recruitment, compensation and professional development. We are also progressing the ongoing development of an inclusive work environment that encourages:</w:t>
      </w:r>
    </w:p>
    <w:p>
      <w:pPr>
        <w:spacing w:after="0" w:line="19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Respectful communication and cooperation between all employees.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Valuing and soliciting input, feedback and opinions from relevant staff.</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Teamwork and employee participation, permitting the representation of employee perspectives.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Employer and employee contributions to the communities we serve to promote a greater understanding and respect for the diversity.</w:t>
      </w:r>
    </w:p>
    <w:p>
      <w:pPr>
        <w:spacing w:after="0" w:line="223" w:lineRule="exact"/>
        <w:rPr>
          <w:sz w:val="20"/>
          <w:szCs w:val="20"/>
          <w:color w:val="auto"/>
        </w:rPr>
      </w:pPr>
    </w:p>
    <w:p>
      <w:pPr>
        <w:ind w:right="60" w:firstLine="648"/>
        <w:spacing w:after="0" w:line="279" w:lineRule="auto"/>
        <w:rPr>
          <w:sz w:val="20"/>
          <w:szCs w:val="20"/>
          <w:color w:val="auto"/>
        </w:rPr>
      </w:pPr>
      <w:r>
        <w:rPr>
          <w:rFonts w:ascii="Arial" w:cs="Arial" w:eastAsia="Arial" w:hAnsi="Arial"/>
          <w:sz w:val="16"/>
          <w:szCs w:val="16"/>
          <w:color w:val="auto"/>
        </w:rPr>
        <w:t>To champion our efforts in this area, we established a governance structure and formed a DEI Committee as well as an associated DEI Advisory Board, each of which is comprised of employees of various levels, departments and backgrounds. The DEI Committee formalized a DEI mission statement and also advanced a DEI policy that sets forth our commitment to the importance of DEI and the responsibility of our employees to adhere to our policy, including by treating others with dignity and respect at all times. Pursuant to our DEI policy, all employees are also required to attend and complete annual diversity awareness training to enhance their knowledge to fulfill this responsibility. The DEI Committee and DEI Advisory Board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continually work to identify gaps, respond to feedback provided by peers, and present suggestions on our practices and policies to encourage and enforce an environment in which all employees feel included and empowered to achieve their best.</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We believe in equal pay for equal work. We establish components and ranges of compensation based on market and benchmark data. Within this context, we strive to pay all employees equitably within a reasonable range, taking into consideration factors such as role; market data; internal equity; job location; relevant experience; and individual, department and company performance. We also regularly review our compensation practices and analyze our compensation decisions for individual employees and our workforce as a whole on at least an annual basis. In 2020 and 2021, we conducted a pay equity analysis which we believe demonstrated that our compensation practices and structure are equitable. If we identify employees with unjustified pay gaps, we review and take appropriate action to ensure fidelity between our stated philosophy and actions.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plan to continue to seek feedback from the DEI Committee, DEI Advisory Board and all our employees to help us achieve our full potential.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Recruitment, Development and Retention</w:t>
      </w:r>
    </w:p>
    <w:p>
      <w:pPr>
        <w:spacing w:after="0" w:line="239"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18"/>
          <w:szCs w:val="18"/>
          <w:color w:val="auto"/>
        </w:rPr>
        <w:t>Successful execution of our strategy is dependent on attracting, developing and retaining our employees. We believe our leadership in the field of allogeneic cell therapy and our culture have allowed us to recruit a talented workforce. In 2021, we recruited over 115 new employees. Our average time to hire was less than 70 days and over 80% of candidates accepted our offers.</w:t>
      </w:r>
    </w:p>
    <w:p>
      <w:pPr>
        <w:spacing w:after="0" w:line="209" w:lineRule="exact"/>
        <w:rPr>
          <w:sz w:val="20"/>
          <w:szCs w:val="20"/>
          <w:color w:val="auto"/>
        </w:rPr>
      </w:pPr>
    </w:p>
    <w:p>
      <w:pPr>
        <w:ind w:firstLine="648"/>
        <w:spacing w:after="0" w:line="262" w:lineRule="auto"/>
        <w:rPr>
          <w:sz w:val="20"/>
          <w:szCs w:val="20"/>
          <w:color w:val="auto"/>
        </w:rPr>
      </w:pPr>
      <w:r>
        <w:rPr>
          <w:rFonts w:ascii="Arial" w:cs="Arial" w:eastAsia="Arial" w:hAnsi="Arial"/>
          <w:sz w:val="17"/>
          <w:szCs w:val="17"/>
          <w:color w:val="auto"/>
        </w:rPr>
        <w:t>We believe our total compensation package also helps recruit and retain our employees. We strive to provide pay, benefits, and services that are competitive to market and create incentives to attract and retain employees. Our compensation package includes market-competitive pay, broad-based stock grants, health care and 401(k) plan benefits, paid time off and family leave, among others. We also provide annual incentive bonus opportunities that are tied to both company performance as well as individual performance to foster a pay-for-performance culture.</w:t>
      </w:r>
    </w:p>
    <w:p>
      <w:pPr>
        <w:spacing w:after="0" w:line="199"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Developing our employees is important, and we focus on providing training opportunities and promotional opportunities. Learning and development, training and other resources are an integral part of retaining our employees and creating a culture of learning and leadership within Allogene. For instance, we have an annual required manager training that allows managers to learn and practice fundamental management skills to enable them to be more effective managers. We also train relevant members of our team on important environmental health and safety topics to help ensure we protect our people and our environment as we operate our business. We encourage our employees to participate and take advantage of a variety of learning and development resources, including online business skills courses, professional development events, and external training programs based on individual needs. We also actively review employee performance and business needs every six months that lead to promotional opportunities for employees across departments and levels.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voluntary attrition rate increased in 2021 to 22% and we believe we will continue to face significant competition for life science talent.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Employee Safety and Engagement</w:t>
      </w:r>
    </w:p>
    <w:p>
      <w:pPr>
        <w:spacing w:after="0" w:line="225" w:lineRule="exact"/>
        <w:rPr>
          <w:sz w:val="20"/>
          <w:szCs w:val="20"/>
          <w:color w:val="auto"/>
        </w:rPr>
      </w:pPr>
    </w:p>
    <w:p>
      <w:pPr>
        <w:ind w:right="80" w:firstLine="648"/>
        <w:spacing w:after="0" w:line="231" w:lineRule="auto"/>
        <w:rPr>
          <w:sz w:val="20"/>
          <w:szCs w:val="20"/>
          <w:color w:val="auto"/>
        </w:rPr>
      </w:pPr>
      <w:r>
        <w:rPr>
          <w:rFonts w:ascii="Arial" w:cs="Arial" w:eastAsia="Arial" w:hAnsi="Arial"/>
          <w:sz w:val="18"/>
          <w:szCs w:val="18"/>
          <w:color w:val="auto"/>
        </w:rPr>
        <w:t>In March 2020 and in response to the spread of COVID-19 and state and local orders, we limited the number of staff working at our facilities. We also established an internal COVID-19 task force to ensure timely communication and decision-making in response to COVID-19. For laboratory, manufacturing and support staff onsite, we implemented new safety protocols, such as facial covering and temperature check requirements. We intend to continue to examine our protocols as the pandemic and health guidance evolves.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43" w:lineRule="exact"/>
        <w:rPr>
          <w:sz w:val="20"/>
          <w:szCs w:val="20"/>
          <w:color w:val="auto"/>
        </w:rPr>
      </w:pPr>
    </w:p>
    <w:p>
      <w:pPr>
        <w:ind w:firstLine="810"/>
        <w:spacing w:after="0" w:line="282" w:lineRule="auto"/>
        <w:rPr>
          <w:sz w:val="20"/>
          <w:szCs w:val="20"/>
          <w:color w:val="auto"/>
        </w:rPr>
      </w:pPr>
      <w:r>
        <w:rPr>
          <w:rFonts w:ascii="Arial" w:cs="Arial" w:eastAsia="Arial" w:hAnsi="Arial"/>
          <w:sz w:val="16"/>
          <w:szCs w:val="16"/>
          <w:color w:val="auto"/>
        </w:rPr>
        <w:t>We were incorporated in Delaware in November 2017. Our principal executive offices are located at 210 East Grand Avenue, South San Francisco, California 94080, and our telephone number is (650) 457-2700. Our corporate website address is www.allogene.com. We make available, free of</w:t>
      </w:r>
    </w:p>
    <w:p>
      <w:pPr>
        <w:ind w:right="260"/>
        <w:spacing w:after="0" w:line="248" w:lineRule="auto"/>
        <w:rPr>
          <w:sz w:val="20"/>
          <w:szCs w:val="20"/>
          <w:color w:val="auto"/>
        </w:rPr>
      </w:pPr>
      <w:r>
        <w:rPr>
          <w:rFonts w:ascii="Arial" w:cs="Arial" w:eastAsia="Arial" w:hAnsi="Arial"/>
          <w:sz w:val="18"/>
          <w:szCs w:val="18"/>
          <w:color w:val="auto"/>
        </w:rPr>
        <w:t>charge on our website our annual report on Form 10-K, quarterly reports on Form 10-Q, current reports on Form 8-K, and any amendments to those reports, as soon as reasonably practicable after filing such reports with the Securities and Exchange Commission. Alternatively, you may access these reports at the SEC’s website at www.sec.gov. Information contained on or accessible through our website is not a part of this report, and the inclusion of our website address in this report is an inactive textual reference only.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33"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i w:val="1"/>
          <w:iCs w:val="1"/>
          <w:color w:val="auto"/>
        </w:rPr>
        <w:t>An investment in shares of our common stock involves a high degree of risk. We have identified the following material factors that make an investment in our common stock speculative or risky. You should carefully consider the following risk factors, as well as the other information in this Annual Report. The occurrence of any of the following risks could harm our business, financial condition, results of operations and growth prospects or cause our actual results to differ materially from those contained in forward-looking statements we have made in this Annual Report and those we may make from time to time. The risks described below are not the only ones we face. Additional risks and uncertainties not presently known to us or that we currently deem immaterial also may impair our business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net losses in every period since our inception and anticipate that we will incur substantial net losses in the future.</w:t>
      </w:r>
    </w:p>
    <w:p>
      <w:pPr>
        <w:spacing w:after="0" w:line="1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a clinical-stage biopharmaceutical company and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We are advancing an allogeneic CAR T platform of primarily early-stage product candidates and have no products approved for commercial sale and have not generated any revenue from product sales to date, and we will continue to incur significant research and development and other expenses related to our ongoing operations. As a result, we are not profitable and have incurred net losses in each period since our inception. For the year ended December 31, 2021, we reported a net loss of $257.0 million. As of December 31, 2021, we had an accumulated deficit of $903.3 million.</w:t>
      </w:r>
    </w:p>
    <w:p>
      <w:pPr>
        <w:spacing w:after="0" w:line="19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expect to incur significant expenditures for the foreseeable future, and we expect these expenditures to increase as we continue our research and development of, and seek regulatory approvals for, product candidates based on our engineered allogeneic T cell platform. Because our allogeneic T cell product candidates are based on new technologies and will require the creation of inventory of mass-produced, off-the-shelf product, they will require extensive research and development and have substantial manufacturing and processing costs. In addition, costs to treat patients with relapsed or refractory cancer and to treat potential side effects that may result from our product candidates can be significant.</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may encounter unforeseen expenses, difficulties, complications, delays and other unknown factors that may adversely affect our business. For instance, the FDA placed our clinical trials on hold in October 2021, which suspended our clinical programs prior to resolution of the hold in January 2022. Even if we succeed in advancing our clinical trials and commercializing one or more of our product candidates, we will continue to incur substantial research and development and other expenditures to develop and market additional product candidates.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engineered allogeneic T cell product candidates represent a novel approach to cancer treatment that creates significant challenges for us.</w:t>
      </w:r>
    </w:p>
    <w:p>
      <w:pPr>
        <w:spacing w:after="0" w:line="140"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are developing a pipeline of allogeneic T cell product candidates that are engineered from healthy donor T cells to express CARs and are intended for use in any patient with certain cancers. Advancing these novel product candidates creates significant challenges for us, including:</w:t>
      </w:r>
    </w:p>
    <w:p>
      <w:pPr>
        <w:spacing w:after="0" w:line="16" w:lineRule="exact"/>
        <w:rPr>
          <w:sz w:val="20"/>
          <w:szCs w:val="20"/>
          <w:color w:val="auto"/>
        </w:rPr>
      </w:pPr>
    </w:p>
    <w:p>
      <w:pPr>
        <w:ind w:left="1140" w:right="580" w:hanging="484"/>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our product candidates to our or regulatory specifications and in a timely manner to support our clinical trials, and, if approved, commercialization;</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for the raw materials used to manufacture our product candidates;</w:t>
      </w:r>
    </w:p>
    <w:p>
      <w:pPr>
        <w:spacing w:after="0" w:line="117"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understanding and addressing variability in the quality of a donor’s T cells, which could ultimately affect our ability to produce product in a reliable and consistent manner and treat certain patients;</w:t>
      </w:r>
    </w:p>
    <w:p>
      <w:pPr>
        <w:spacing w:after="0" w:line="62" w:lineRule="exact"/>
        <w:rPr>
          <w:rFonts w:ascii="Arial" w:cs="Arial" w:eastAsia="Arial" w:hAnsi="Arial"/>
          <w:sz w:val="18"/>
          <w:szCs w:val="18"/>
          <w:color w:val="auto"/>
        </w:rPr>
      </w:pPr>
    </w:p>
    <w:p>
      <w:pPr>
        <w:ind w:left="1140" w:right="100" w:hanging="484"/>
        <w:spacing w:after="0" w:line="263"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 effect profile of our product candidates, if approved, such as the potential adverse side effects related to cytokine release syndrome (CRS), neurotoxicity, graft-versus-host disease (GvHD), prolonged cytopenia, aplastic anemia and neutropenic sepsis;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1140" w:right="320" w:hanging="484"/>
        <w:spacing w:after="0" w:line="277" w:lineRule="auto"/>
        <w:tabs>
          <w:tab w:leader="none" w:pos="11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using medicines to preempt or manage adverse side effects of our product candidates, which may not adequately control the side effects and/or may have other safety risks or a detrimental impact on the efficacy of the treatment;</w:t>
      </w:r>
    </w:p>
    <w:p>
      <w:pPr>
        <w:spacing w:after="0" w:line="62" w:lineRule="exact"/>
        <w:rPr>
          <w:rFonts w:ascii="Arial" w:cs="Arial" w:eastAsia="Arial" w:hAnsi="Arial"/>
          <w:sz w:val="18"/>
          <w:szCs w:val="18"/>
          <w:color w:val="auto"/>
        </w:rPr>
      </w:pPr>
    </w:p>
    <w:p>
      <w:pPr>
        <w:ind w:left="1140" w:right="680" w:hanging="484"/>
        <w:spacing w:after="0" w:line="277" w:lineRule="auto"/>
        <w:tabs>
          <w:tab w:leader="none" w:pos="11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conditioning patients with chemotherapy and ALLO-647 or other lymphodepletion agents in advance of administering our product candidates, which may increase the risk of infections and other adverse side effects;</w:t>
      </w:r>
    </w:p>
    <w:p>
      <w:pPr>
        <w:spacing w:after="0" w:line="62" w:lineRule="exact"/>
        <w:rPr>
          <w:rFonts w:ascii="Arial" w:cs="Arial" w:eastAsia="Arial" w:hAnsi="Arial"/>
          <w:sz w:val="18"/>
          <w:szCs w:val="18"/>
          <w:color w:val="auto"/>
        </w:rPr>
      </w:pPr>
    </w:p>
    <w:p>
      <w:pPr>
        <w:ind w:left="1140" w:right="200" w:hanging="484"/>
        <w:spacing w:after="0" w:line="277" w:lineRule="auto"/>
        <w:tabs>
          <w:tab w:leader="none" w:pos="11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regulatory approval, as the U.S. Food and Drug Administration (FDA) and other regulatory authorities have limited experience with development of allogeneic T cell therapies for cancer; and</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establishing sales and marketing capabilities upon obtaining any regulatory approval to gain market acceptance of a novel therapy.</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Gene-editing is a relatively new technology, and if we are unable to use this technology in our intended product candidates, our revenue opportunities will be materially limited.</w:t>
      </w:r>
    </w:p>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Cellectis’s TALEN technology involves a relatively new approach to gene editing, using sequence-specific DNA-cutting enzymes, or nucleases, to perform precise and stable modifications in the DNA of living-cells and organisms. Although Cellectis has generated nucleases for many specific gene sequences, it has not created nucleases for all gene sequences that we may seek to target, and Cellectis may not agree to or have difficulty creating nucleases for other gene sequences that we may seek to target, which could limit the usefulness of this technology. This technology may also not be shown to be effective in clinical studies that Cellectis, we or other licensees of Cellectis technology may conduct, or may be associated with safety issues that may negatively affect our development programs. For instance, gene-editing may create unintended changes to the DNA such as a non-target site gene-editing, a large deletion, or a DNA translocation, any of which could lead to oncogenesis. In our ALPHA2 trial, we observed a chromosomal abnormality, and the FDA placed our clinical trials on hold following this observation. While our investigation concluded that gene editing was not responsible for the chromosomal abnormality and the hold was resolved, we may discover future abnormalities caused by gene editing or other factors that would impact our development plans. The gene editing of our product candidates may also not be successful in limiting the risk of GvHD or premature rejection by the patient.</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the gene-editing industry is rapidly developing, and our competitors may introduce new technologies that render our technology obsolete or less attractive. New technology could emerge at any point in the development cycle of our product candidates. As competitors use or develop new technologies, any failures of such technology could adversely impact our program. We also may be placed at a competitive disadvantage, and competitive pressures may force us to implement new technologies at a substantial cost. In addition, our competitors may have greater financial, technical and personnel resources that allow them to enjoy technological advantages and may in the future allow them to implement new technologies before we can. We cannot be certain that we will be able to implement technologies on a timely basis or at a cost that is acceptable to us. If we are unable to maintain technological advancements consistent with industry standards, our operations and financial condition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global pandemic is adversely impacting our business, including our preclinical studies and clinical trials.</w:t>
      </w:r>
    </w:p>
    <w:p>
      <w:pPr>
        <w:spacing w:after="0" w:line="11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Public health crises such as pandemics or other outbreaks could adversely impact our business. As a result of the COVID-19 pandemic, or similar pandemics, and government response to pandemics, we have and may in the future experience disruptions that could severely impact our business, preclinical studies and clinical trials, including:</w:t>
      </w:r>
    </w:p>
    <w:p>
      <w:pPr>
        <w:spacing w:after="0" w:line="76" w:lineRule="exact"/>
        <w:rPr>
          <w:sz w:val="20"/>
          <w:szCs w:val="20"/>
          <w:color w:val="auto"/>
        </w:rPr>
      </w:pPr>
    </w:p>
    <w:p>
      <w:pPr>
        <w:ind w:left="1140" w:hanging="484"/>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halting or suspending enrollment in our clinical trials;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117" w:lineRule="exact"/>
        <w:rPr>
          <w:rFonts w:ascii="Arial" w:cs="Arial" w:eastAsia="Arial" w:hAnsi="Arial"/>
          <w:sz w:val="18"/>
          <w:szCs w:val="18"/>
          <w:color w:val="auto"/>
        </w:rPr>
      </w:pPr>
    </w:p>
    <w:p>
      <w:pPr>
        <w:ind w:left="1140" w:right="80" w:hanging="484"/>
        <w:spacing w:after="0" w:line="259" w:lineRule="auto"/>
        <w:tabs>
          <w:tab w:leader="none" w:pos="11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obtaining laboratory materials for collecting patient samples, clinical trial site data monitoring and efficacy, safety and translational data collection, processing and analyses, due to limitations on travel imposed or recommended by federal, state or local governments, employers and others or interruption of clinical trial subject visits, which may impact the collection and integrity of subject data and clinical study endpoints;</w:t>
      </w:r>
    </w:p>
    <w:p>
      <w:pPr>
        <w:spacing w:after="0" w:line="78" w:lineRule="exact"/>
        <w:rPr>
          <w:rFonts w:ascii="Arial" w:cs="Arial" w:eastAsia="Arial" w:hAnsi="Arial"/>
          <w:sz w:val="18"/>
          <w:szCs w:val="18"/>
          <w:color w:val="auto"/>
        </w:rPr>
      </w:pPr>
    </w:p>
    <w:p>
      <w:pPr>
        <w:ind w:left="1140" w:right="500" w:hanging="484"/>
        <w:spacing w:after="0" w:line="277" w:lineRule="auto"/>
        <w:tabs>
          <w:tab w:leader="none" w:pos="11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difficulties in initiating or expanding clinical trials, including delays or difficulties with clinical site initiation and recruiting clinical site investigators and clinical site staff;</w:t>
      </w:r>
    </w:p>
    <w:p>
      <w:pPr>
        <w:spacing w:after="0" w:line="62" w:lineRule="exact"/>
        <w:rPr>
          <w:rFonts w:ascii="Arial" w:cs="Arial" w:eastAsia="Arial" w:hAnsi="Arial"/>
          <w:sz w:val="18"/>
          <w:szCs w:val="18"/>
          <w:color w:val="auto"/>
        </w:rPr>
      </w:pPr>
    </w:p>
    <w:p>
      <w:pPr>
        <w:ind w:left="1140" w:right="120" w:hanging="484"/>
        <w:spacing w:after="0" w:line="277" w:lineRule="auto"/>
        <w:tabs>
          <w:tab w:leader="none" w:pos="11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adverse events and deaths in our clinical trials due to COVID-19 related infections, which may result in increased complications due to immune suppression from our lymphodepletion regimen;</w:t>
      </w:r>
    </w:p>
    <w:p>
      <w:pPr>
        <w:spacing w:after="0" w:line="62" w:lineRule="exact"/>
        <w:rPr>
          <w:rFonts w:ascii="Arial" w:cs="Arial" w:eastAsia="Arial" w:hAnsi="Arial"/>
          <w:sz w:val="18"/>
          <w:szCs w:val="18"/>
          <w:color w:val="auto"/>
        </w:rPr>
      </w:pPr>
    </w:p>
    <w:p>
      <w:pPr>
        <w:ind w:left="1140" w:right="40" w:hanging="484"/>
        <w:spacing w:after="0" w:line="277" w:lineRule="auto"/>
        <w:tabs>
          <w:tab w:leader="none" w:pos="11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or being forced to quarantine;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1140" w:right="240" w:hanging="484"/>
        <w:spacing w:after="0" w:line="277" w:lineRule="auto"/>
        <w:tabs>
          <w:tab w:leader="none" w:pos="1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140" w:right="40" w:hanging="484"/>
        <w:spacing w:after="0" w:line="277" w:lineRule="auto"/>
        <w:tabs>
          <w:tab w:leader="none" w:pos="1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or disruptions in preclinical experiments and investigational new drug application-enabling studies due to restrictions of on-site staff and unforeseen circumstances at contract research organizations and vendors;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w:t>
      </w:r>
    </w:p>
    <w:p>
      <w:pPr>
        <w:spacing w:after="0" w:line="117" w:lineRule="exact"/>
        <w:rPr>
          <w:rFonts w:ascii="Arial" w:cs="Arial" w:eastAsia="Arial" w:hAnsi="Arial"/>
          <w:sz w:val="18"/>
          <w:szCs w:val="18"/>
          <w:color w:val="auto"/>
        </w:rPr>
      </w:pPr>
    </w:p>
    <w:p>
      <w:pPr>
        <w:ind w:left="1140" w:right="220" w:hanging="484"/>
        <w:spacing w:after="0" w:line="263" w:lineRule="auto"/>
        <w:tabs>
          <w:tab w:leader="none" w:pos="1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raw materials or product candidates from our suppliers and contract manufacturing organizations (CMOs) due to staffing shortages, production slowdowns or stoppages and disruptions in delivery systems, or due to prioritization of production for COVID-19 specific therapies or vaccines;</w:t>
      </w:r>
    </w:p>
    <w:p>
      <w:pPr>
        <w:spacing w:after="0" w:line="75" w:lineRule="exact"/>
        <w:rPr>
          <w:rFonts w:ascii="Arial" w:cs="Arial" w:eastAsia="Arial" w:hAnsi="Arial"/>
          <w:sz w:val="18"/>
          <w:szCs w:val="18"/>
          <w:color w:val="auto"/>
        </w:rPr>
      </w:pPr>
    </w:p>
    <w:p>
      <w:pPr>
        <w:ind w:left="1140" w:right="60" w:hanging="484"/>
        <w:spacing w:after="0" w:line="263" w:lineRule="auto"/>
        <w:tabs>
          <w:tab w:leader="none" w:pos="1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advancing our business, including because of sickness of employees or their families, including executive officers and other key employees, the desire of employees to avoid contact with large groups of people, an increased reliance on working from home or mass transit disruptions; and</w:t>
      </w:r>
    </w:p>
    <w:p>
      <w:pPr>
        <w:spacing w:after="0" w:line="75" w:lineRule="exact"/>
        <w:rPr>
          <w:rFonts w:ascii="Arial" w:cs="Arial" w:eastAsia="Arial" w:hAnsi="Arial"/>
          <w:sz w:val="18"/>
          <w:szCs w:val="18"/>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disruptions to employee productivity, such as due to limited in person contact and reduction in employee morale.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State and local government response to the pandemic has included "shelter in place", "stay at home" and similar types of orders, which have limited travel and business operations in our locations, the location of our clinical trial sites, and the location of key vendors, including our CMOs. The effects of our work-from-home policies and future government orders may increase risks associated with cybersecurity, disrupt our business and delay our development programs, regulatory and commercialization timelines. We continue to closely monitor the COVID-19 situation and may face several challenges or disruptions related to increasing onsite presence, including re-integration challenges by our employees and distractions to management related to such transition.</w:t>
      </w:r>
    </w:p>
    <w:p>
      <w:pPr>
        <w:spacing w:after="0" w:line="19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addition, while the long-term economic impact and the duration of the COVID-19 pandemic may be difficult to predict, the pandemic has resulted in, and may in the future result in, significant disruption of global financial markets, which could reduce our ability to access capital and could negatively affect our liquidity and the liquidity and stability of markets for our common stock. Market and economic deterioration could also adversely impact our portfolio of corporate and government bonds.</w:t>
      </w:r>
    </w:p>
    <w:p>
      <w:pPr>
        <w:spacing w:after="0" w:line="18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COVID-19 pandemic continues to rapidly evolve. The extent to which the pandemic may impact our business, preclinical studies and clinical trials will depend on future developments, which are highly uncertain and cannot be predicted with confidence, such as the duration of the pandemic, the rise of new variants that could be more contagious and virulent, travel restrictions and actions to contain the pandemic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heavily reliant on our partners for access to TALEN gene editing technology for the manufacturing and development of our product candidates.</w:t>
      </w:r>
    </w:p>
    <w:p>
      <w:pPr>
        <w:spacing w:after="0" w:line="15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A critical aspect to manufacturing allogeneic T cell product candidates involves gene editing the healthy donor T cells in an effort to avoid GvHD and to limit the patient’s immune system from attacking the allogeneic T cells. GvHD results when allogeneic T cells start recognizing the patient’s normal tissue as foreign. We use Cellectis’s TALEN gene-editing technology to inactivate a gene coding for TCRα, a key component of the natural antigen receptor of T cells, to cause the engineered T cells to be incapable of recognizing foreign antigens. Accordingly, when injected into a patient, the intent is for the engineered T cell not to recognize the tissue of the patient as foreign and thus avoid attacking the patient’s tissue. In addition, we use TALEN gene editing to inactivate the CD52 gene in donor T cells, which codes for the target of an anti-CD52 monoclonal antibody. Anti-CD52 monoclonal antibodies deplete CD52 expressing T cells in patients while sparing therapeutic allogeneic T cells lacking CD52. By administering an anti-CD52 antibody prior to infusing our product candidates, we believe we have the potential to reduce the likelihood of a patient’s immune system from rejecting the engineered allogeneic T cells for a sufficient period of time to enable a window of persistence during which the engineered allogeneic T cells can actively target and destroy the cancer cells. However, the antibody may not have the benefits that we anticipate and could have adverse effects.</w:t>
      </w:r>
    </w:p>
    <w:p>
      <w:pPr>
        <w:spacing w:after="0" w:line="168"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We rely on an agreement with Cellectis for rights to use TALEN technology for 15 select cancer targets, including BCMA, FLT3, CD70, DLL3 and other targets included in our pipeline. We also rely on Cellectis, through our agreement with Servier, for rights to UCART19, ALLO-501 and ALLO-501A. Any other gene-editing technology used to research and develop product candidates directed at targets not covered by our existing agreements with Cellectis and Servier will require significant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and time for advancement. In addition, the Cellectis gene-editing technology may fail to produce viable product candidates. Moreover, both Servier and Cellectis may terminate our respective agreements in the event of a material breach of the agreements, or upon certain insolvency events. If our agreements were terminated or we required other gene editing technology, such a license or technology may not be available to us on reasonable terms, or at all, and advancing other gene editing technology would require significant resources.</w:t>
      </w:r>
    </w:p>
    <w:p>
      <w:pPr>
        <w:spacing w:after="0" w:line="18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addition, pursuant to the Servier Agreement, we expect Servier to continue to support our clinical trials of ALLO-501 and ALLO-501A for the treatment of patients with R/R NHL. Should Servier become unable or unwilling to continue providing its share of financial support for the ALLO-501 and ALLO-501A clinical trials, our expenses may be greater than we currently expect and we may have difficulty progressing our clinical trials in a timely manner. Moreover, as the CALM and PALL clinical trials of UCART19 have completed, we are reliant on Servier for progressing a development strategy for ALL and any development strategy may face challenges, such as regulatory delays and unforeseen expenses if we consolidate programs.</w:t>
      </w:r>
    </w:p>
    <w:p>
      <w:pPr>
        <w:spacing w:after="0" w:line="16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product candidates are based on novel technologies, which makes it difficult to predict the time and cost of product candidate development and obtaining regulatory approval.</w:t>
      </w:r>
    </w:p>
    <w:p>
      <w:pPr>
        <w:spacing w:after="0" w:line="6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have concentrated our research, development and manufacturing efforts on our engineered allogeneic T cell therapy and our future success depends on the successful development of this therapeutic approach. We are in the early stages of developing our platform and we have experienced significant development challenges, such as with the prior clinical hold by the FDA, and there can be no assurance that any development problems we have now or experience in the future will not cause significant delays or unanticipated costs, or that such development problems can be overcome. We may also experience delays in developing a sustainable, reproducible and scalable manufacturing process or transferring that process to commercial facilities or partners, which may prevent us from completing our clinical studies or commercializing our products on a timely or profitable basis, if at all. In addition, since we are in the early stages of clinical development, we do not know the doses to be evaluated in pivotal trials or, if approved, commercially. Finding a suitable dose for our cell therapy product candidates as well as ALLO-647 may delay our anticipated clinical development timelines. In addition, our expectations with regard to our scalability and costs of manufacturing may vary significantly as we develop our product candidates and understand these critical factors.</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also advancing product candidates against unexplored targets and with new technology. For example, we are advancing ALLO-316 against a target, CD70, that has not been validated by any autologous CAR T therapies. ALLO-316 may have limited efficacy or have off-target toxicities. Since CD70 is found on activated T cells, ALLO-316 may also cause fratricide resulting in the loss of ALLO-316 cells or depletion of host T cells increasing the risk of infections. In addition, our ALLO-605 product candidate is our first TurboCAR candidate that is designed to mimic cytokine signaling selectively within CAR T cells. Our TurboCAR product candidates may be more difficult to manufacture, which could delay development timelines, or not demonstrate any of the benefits that we expect. Our TurboCAR product candidates have the potential to be more potent, which in turn may also increase the risk of adverse events, such as CRS and neurotoxicity.</w:t>
      </w:r>
    </w:p>
    <w:p>
      <w:pPr>
        <w:spacing w:after="0" w:line="19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clinical study requirements of the FDA, European Medicines Agency (EMA) and other regulatory agencies and the criteria these regulators use to determine the safety and efficacy of a product candidate are determined according to the type, complexity, novelty and intended use and market of the potential products. The regulatory approval process for novel product candidates such as ours can be more complex and consequently more expensive and take longer than for other, better known or extensively studied pharmaceutical or other product candidates. We face additional challenges in obtaining regulatory approval for ALLO-647, which we use as part of our lymphodepletion regimen, and for which we would seek to obtain approval concurrently with approval of a CAR T cell product candidate. Approvals by the EMA and FDA for existing autologous CAR T therapies, such as Kymriah and Yescarta, may not be indicative of what these regulators may require for approval of our therapies. Also, while we expect reduced variability in our products candidates compared to autologous products, we do not have significant clinical data supporting any benefit of lower variability and the use of healthy donor material may create separate variability challenges for us. More generally, approvals by any regulatory agency may not be indicative of what any other regulatory agency may require for approval or what such regulatory agencies may require for approval in connection with new product candidates. Moreover, our product candidates may not perform successfully in clinical trials or may be associated with adverse events that distinguish them from the autologous CAR T therapies that have previously been approved. For instance, allogeneic product candidates may result in GvHD or chromosomal abnormalities not experienced with autologous products. Even if we collect promising initial clinical data of our product candidates, longer-term data may reveal new adverse events or responses that are not durable. Unexpected clinical outcomes would significantly impact our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candidates. If we are unable to advance clinical development, obtain approval of and successfully commercialize our lead product candidates for the treatment of patients in approved indications, our business would be significantly harmed.</w:t>
      </w:r>
    </w:p>
    <w:p>
      <w:pPr>
        <w:spacing w:after="0" w:line="7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business and future success depends on our ability to advance clinical development, obtain regulatory approval of, and then successfully commercialize, our lead product candidates, including ALLO-501A. Because ALLO-501, ALLO-501A and ALLO-715 are among the first allogeneic products to be evaluated in the clinic, the failure of any such product candidate, or the failure of other allogeneic T cell therapies, including for reasons due to safety, efficacy or durability, may impede our ability to develop our product candidates, and significantly influence physicians’ and regulators’ opinions in regards to the viability of our entire pipeline of allogeneic T cell therapies. For instance, all of our clinical trials were put on clinical hold due to an observation in the ALPHA2 trial. While the clinical hold has been resolved, we plan to seek agreement with the FDA to proceed to Phase 2 on matters such as chemistry, manufacturing and controls (CMC), including for the use of ALLO-501A manufactured at our own manufacturing facility, and trial designs to evaluate both ALLO-501A and ALLO-647. Subject to FDA discussion and further patient follow-up, we plan to proceed to the Phase 2 portion of the trial in adult patients with R/R large B-cell lymphoma in mid-2022. If we are unable to advance to Phase 2 on our timeline or at all, our business would be significantly harmed.</w:t>
      </w:r>
    </w:p>
    <w:p>
      <w:pPr>
        <w:spacing w:after="0" w:line="194"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All of our product candidates, including our lead product candidates, will require additional clinical and non-clinical development, regulatory review and approval in multiple jurisdictions, substantial investment, access to sufficient commercial manufacturing capacity and significant marketing efforts before we can generate any revenue from product sales. In addition, because our other product candidates are based on similar technology as our lead product candidates, if any of the lead product candidates encounters additional safety issues, efficacy problems, manufacturing problems, developmental delays, regulatory issues or other problems, our development plans and business would be significantly harmed.</w:t>
      </w:r>
    </w:p>
    <w:p>
      <w:pPr>
        <w:spacing w:after="0" w:line="16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have halted and could in the future halt their clinical development, prevent their regulatory approval, limit their commercial potential or result in significant negative consequences.</w:t>
      </w:r>
    </w:p>
    <w:p>
      <w:pPr>
        <w:spacing w:after="0" w:line="1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Future undesirable or unacceptable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clinical trials could reveal a high and unacceptable severity and prevalence of side effects or unexpected characteristics. Approved autologous CAR T therapies and those under development have shown frequent rates of CRS, neurotoxicity, serious infections, prolonged cytopenia and hypogammaglobulinemia, and adverse events have resulted in the death of patients. We expect similar adverse events for allogeneic CAR T product candidates. Other adverse events could also emerge in autologous CAR T therapies over time. For instance, a patient who received an autologous anti-BCMA CAR T cell therapy experienced neurocognitive and hypokinetic movement disorder with features of Parkinson's disease that emerged months after treatment and may have been due to BCMA expression within the brain. Our anti-BCMA product candidates have the risk of causing similar adverse events.</w:t>
      </w:r>
    </w:p>
    <w:p>
      <w:pPr>
        <w:spacing w:after="0" w:line="19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allogeneic CAR T cell product candidates may also cause unique adverse events related to the differences between the donor and patients, such as GvHD or infusion reactions. In addition, we utilize a lymphodepletion regimen, which generally includes fludarabine, cyclophosphamide and ALLO-647, that may cause serious adverse events. For instance, because the regimen will cause a transient and sometimes prolonged immune suppression, patients will have an increased risk of infection, such as to COVID-19, that may be unable to be cleared by the patient and ultimately lead to other serious adverse events or death. Our lymphodepletion regimen has caused and may also cause prolonged cytopenia and aplastic anemia. We are also exploring various dosing strategies for lymphodepletion in our clinical trials, such as higher and lower dosing of ALLO-647 in combination with fludarabine and/or cyclophosphamide, which may increase the risk of serious adverse events.</w:t>
      </w:r>
    </w:p>
    <w:p>
      <w:pPr>
        <w:spacing w:after="0" w:line="17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our and Servier's clinical trials of allogeneic CAR T product candidates, the most common severe or life threatening adverse events resulted from serious infections, prolonged cytopenia, prolonged pancytopenia, hypokalemia, multiple organ dysfunction syndrome, neutropenic sepsis and aplastic anemia. As reported, patients have died from adverse events and future patients may also experience toxicity resulting in death. For additional safety data, please see "Business--Product Pipeline and Development Strategy".</w:t>
      </w:r>
    </w:p>
    <w:p>
      <w:pPr>
        <w:spacing w:after="0" w:line="187"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As we treat and re-treat more patients with our product candidates in our clinical trials, new less common side effects may also emerge. For instance, we observed a chromosomal abnormality that led to a previous clinical hold on our clinical trials. While our investigation concluded that the chromosomal abnormality had no clinical significance and was unrelated to our manufacturing process, our manufacturing process includes gene engineering by using lentivirus and TALEN nucleases that may in the future cause insertion, deletion, or chromosomal translocation that may result in allogeneic CAR T cells to proliferate uncontrollably and adverse events.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may combine the use of our product candidates with other investigational therapies that may cause separate adverse events or events related to the combination. For instance, we are assessing a combination of ALLO-715 and nirogacestat, a gamma secretase inhibitor, in a cohort in the UNIVERSAL trial. The most common adverse events relating to nirogacestat in prior trials have included diarrhea, nausea, fatigue, hypophosphatemia, vomiting, rash, cough, decreased appetite, pyrexia and hypokalemia. These or other adverse events could result in the suspension of therapy or otherwise adversely impact the UNIVERSAL trial.</w:t>
      </w:r>
    </w:p>
    <w:p>
      <w:pPr>
        <w:spacing w:after="0" w:line="188"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Assuming we are able to proceed with clinical development, if unacceptable toxicities arise in the development of our product candidates, we could suspend or terminate our trials or the FDA or comparable foreign regulatory authorities could order us to cease clinical trials or deny approval of our product candidates for any or all targeted indications. The data safety monitoring board may also suspend or terminate a clinical trial at any time on various grounds, including a finding that the research patients are being exposed to an unacceptable health risk, including risks inferred from other unrelated immunotherapy trials.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T cell therapy are not normally encountered in the general patient population and by medical personnel. We have trained and expect to have to train medical personnel using CAR T cell product candidates to understand the side effect profile of our product candidates for both our clinical trials and upon any commercialization of any of our product candidates. Inadequate training in recognizing or managing the potential side effects of our product candidates could result in patient deaths. Any of these occurrences may harm our business, financial condition and prospects significantly.</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the safety and efficacy of any of our product candidates, which would prevent or delay regulatory approval and commercialization.</w:t>
      </w:r>
    </w:p>
    <w:p>
      <w:pPr>
        <w:spacing w:after="0" w:line="6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including in any post-approval studies.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clinical trials are never approved as products.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for any trials that may be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w:t>
      </w:r>
    </w:p>
    <w:p>
      <w:pPr>
        <w:spacing w:after="0" w:line="18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Initial, interim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From time to time, we may publish initial, interim or preliminary data from our clinical studies. Interim data from clinical trials that we may complete are subject to the risk that one or more of the clinical outcomes may materially change as patient enrollment continues and more patient data become available. For instance, we have published preliminary data from the ALPHA trial, the ALPHA2 trial and UNIVERSAL trial, however such results are preliminary in nature, do not bear statistical significance and should not be viewed as predictive of ultimate success. It is possible that such results will not continue or may not be repeated in any clinical trial of anti-CD19 or anti-BCMA CAR T cell product candidates or our other product candidates.</w:t>
      </w:r>
    </w:p>
    <w:p>
      <w:pPr>
        <w:spacing w:after="0" w:line="16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Preliminary data also remain subject to audit and verification procedures that may result in the final data being materially different from the preliminary data we previously published. As a result, initial, interim and preliminary data should be viewed with caution until the final data are available. Adverse differences between preliminary or interim data and final data could significantly harm our business prospects.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not be able to submit INDs to commence additional clinical trials on the timelines we expect, and even if we are able to, the FDA may not permit us to proceed.</w:t>
      </w:r>
    </w:p>
    <w:p>
      <w:pPr>
        <w:spacing w:after="0" w:line="62"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We plan to submit INDs for additional product candidates in the future. We cannot be sure that submission of an IND or IND amendment will result in the FDA allowing testing and clinical trials to begin, or that, once begun, issues will not arise that suspend or terminate such clinical trials. The manufacturing of allogeneic CAR T cell therapy remains an emerging and evolving field. Accordingly, we expect CMC related topics, including product specification, will be a focus of IND reviews, which may delay the clearance of INDs or IND amendments. For instance, if we introduce changes to the manufacturing of our product candidates, regulatory authorities may require additional studies or clinical data to support the changes, which could delay our clinical trial timelines. Additionally, even if such regulatory authorities agree with the design and implementation of the clinical trials set forth in an IND, IND amendment or clinical trial application, we cannot guarantee that such regulatory authorities will not change their requirements in the future.</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 submitted a standalone cross-reference IND for ALLO-647, which is being used as part of lymphodepletion in all our clinical trials. While our IND has been accepted, we have to update the IND for any new IND or IND amendment relating to our allogeneic CAR T cell product candidates. Any regulatory issues related to the review of our ALLO-647 IND updates or to the development of ALLO-647 could delay development of our allogeneic CAR T cell product candidates and significantly affect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w:t>
      </w:r>
    </w:p>
    <w:p>
      <w:pPr>
        <w:spacing w:after="0" w:line="117"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studies will be conducted as planned or completed on schedule, if at all. Even if our trials begin as planned, issues may arise that could suspend or terminate such clinical trials. A failure of one or more clinical study can occur at any stage of testing, and our future clinical studies may not be successful. Events that may prevent successful or timely completion of clinical development include:</w:t>
      </w:r>
    </w:p>
    <w:p>
      <w:pPr>
        <w:spacing w:after="0" w:line="79" w:lineRule="exact"/>
        <w:rPr>
          <w:sz w:val="20"/>
          <w:szCs w:val="20"/>
          <w:color w:val="auto"/>
        </w:rPr>
      </w:pPr>
    </w:p>
    <w:p>
      <w:pPr>
        <w:ind w:left="1140" w:hanging="48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generate sufficient preclinical, toxicology or other in vivo or in vitro data to support the initiation of clinical studies;</w:t>
      </w:r>
    </w:p>
    <w:p>
      <w:pPr>
        <w:spacing w:after="0" w:line="117" w:lineRule="exact"/>
        <w:rPr>
          <w:rFonts w:ascii="Arial" w:cs="Arial" w:eastAsia="Arial" w:hAnsi="Arial"/>
          <w:sz w:val="18"/>
          <w:szCs w:val="18"/>
          <w:color w:val="auto"/>
        </w:rPr>
      </w:pPr>
    </w:p>
    <w:p>
      <w:pPr>
        <w:ind w:left="1140" w:right="180" w:hanging="484"/>
        <w:spacing w:after="0" w:line="277"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clinical trials, including the validation and deployment of release assays;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sourcing healthy donor material of sufficient quality and in sufficient quantity to meet our development needs;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developing suitable assays for screening patients for eligibility for trials with respect to certain product candidates;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1140" w:right="420" w:hanging="484"/>
        <w:spacing w:after="0" w:line="342" w:lineRule="auto"/>
        <w:tabs>
          <w:tab w:leader="none" w:pos="11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contract research organizations (CROs) and clinical study sites, the terms of which can be subject to extensive negotiation and may vary significantly among different CROs and clinical study sites;</w:t>
      </w:r>
    </w:p>
    <w:p>
      <w:pPr>
        <w:spacing w:after="0" w:line="15" w:lineRule="exact"/>
        <w:rPr>
          <w:rFonts w:ascii="Arial" w:cs="Arial" w:eastAsia="Arial" w:hAnsi="Arial"/>
          <w:sz w:val="16"/>
          <w:szCs w:val="16"/>
          <w:color w:val="auto"/>
        </w:rPr>
      </w:pPr>
    </w:p>
    <w:p>
      <w:pPr>
        <w:ind w:left="1140" w:hanging="48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(IRB) approval at each clinical study site;</w:t>
      </w:r>
    </w:p>
    <w:p>
      <w:pPr>
        <w:spacing w:after="0" w:line="117" w:lineRule="exact"/>
        <w:rPr>
          <w:rFonts w:ascii="Arial" w:cs="Arial" w:eastAsia="Arial" w:hAnsi="Arial"/>
          <w:sz w:val="18"/>
          <w:szCs w:val="18"/>
          <w:color w:val="auto"/>
        </w:rPr>
      </w:pPr>
    </w:p>
    <w:p>
      <w:pPr>
        <w:ind w:left="1140" w:right="80" w:hanging="484"/>
        <w:spacing w:after="0" w:line="275" w:lineRule="auto"/>
        <w:tabs>
          <w:tab w:leader="none" w:pos="11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imposition of a temporary or permanent clinical hold by regulatory agencies for a number of reasons, including after review of an IND application or amendment, or equivalent application or amendment; as a result of a new safety finding that presents unreasonable risk to clinical trial participants; a negative finding from an inspection of our clinical study operations or study sites; developments on trials conducted by competitors for related technology that raises FDA concerns about risk to patients of the technology broadly; or if FDA finds that the investigational protocol or plan is clearly deficient to meet its stated objectives;</w:t>
      </w:r>
    </w:p>
    <w:p>
      <w:pPr>
        <w:spacing w:after="0" w:line="68" w:lineRule="exact"/>
        <w:rPr>
          <w:rFonts w:ascii="Arial" w:cs="Arial" w:eastAsia="Arial" w:hAnsi="Arial"/>
          <w:sz w:val="17"/>
          <w:szCs w:val="17"/>
          <w:color w:val="auto"/>
        </w:rPr>
      </w:pPr>
    </w:p>
    <w:p>
      <w:pPr>
        <w:ind w:left="1140" w:hanging="48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7" w:lineRule="exact"/>
        <w:rPr>
          <w:rFonts w:ascii="Arial" w:cs="Arial" w:eastAsia="Arial" w:hAnsi="Arial"/>
          <w:sz w:val="18"/>
          <w:szCs w:val="18"/>
          <w:color w:val="auto"/>
        </w:rPr>
      </w:pPr>
    </w:p>
    <w:p>
      <w:pPr>
        <w:ind w:left="1140" w:right="400" w:hanging="484"/>
        <w:spacing w:after="0" w:line="277"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perform in accordance with the FDA’s good clinical practice (GCP) requirements or applicable regulatory guidelines in other countries;</w:t>
      </w:r>
    </w:p>
    <w:p>
      <w:pPr>
        <w:spacing w:after="0" w:line="62" w:lineRule="exact"/>
        <w:rPr>
          <w:rFonts w:ascii="Arial" w:cs="Arial" w:eastAsia="Arial" w:hAnsi="Arial"/>
          <w:sz w:val="18"/>
          <w:szCs w:val="18"/>
          <w:color w:val="auto"/>
        </w:rPr>
      </w:pPr>
    </w:p>
    <w:p>
      <w:pPr>
        <w:ind w:left="1140" w:right="180" w:hanging="484"/>
        <w:spacing w:after="0" w:line="277"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of manufacturing processes to any new CMO or our own manufacturing facilities or any other development or commercialization partner for the manufacture of product candidates;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1140" w:hanging="48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w:t>
      </w:r>
    </w:p>
    <w:p>
      <w:pPr>
        <w:spacing w:after="0" w:line="117" w:lineRule="exact"/>
        <w:rPr>
          <w:rFonts w:ascii="Arial" w:cs="Arial" w:eastAsia="Arial" w:hAnsi="Arial"/>
          <w:sz w:val="18"/>
          <w:szCs w:val="18"/>
          <w:color w:val="auto"/>
        </w:rPr>
      </w:pPr>
    </w:p>
    <w:p>
      <w:pPr>
        <w:ind w:left="1140" w:right="520" w:hanging="484"/>
        <w:spacing w:after="0" w:line="277" w:lineRule="auto"/>
        <w:tabs>
          <w:tab w:leader="none" w:pos="11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which may result in our deciding, or regulators requiring us, to conduct additional clinical studies or abandon product development programs;</w:t>
      </w:r>
    </w:p>
    <w:p>
      <w:pPr>
        <w:spacing w:after="0" w:line="62" w:lineRule="exact"/>
        <w:rPr>
          <w:rFonts w:ascii="Arial" w:cs="Arial" w:eastAsia="Arial" w:hAnsi="Arial"/>
          <w:sz w:val="18"/>
          <w:szCs w:val="18"/>
          <w:color w:val="auto"/>
        </w:rPr>
      </w:pPr>
    </w:p>
    <w:p>
      <w:pPr>
        <w:ind w:left="1140" w:right="260" w:hanging="484"/>
        <w:spacing w:after="0" w:line="342" w:lineRule="auto"/>
        <w:tabs>
          <w:tab w:leader="none" w:pos="11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delays or failure to secure supply agreements with suitable raw material suppliers, or any failures by suppliers to meet our quantity or quality requirements for necessary raw materials, including due to suppliers prioritizing COVID-19 specific treatments or vaccines; and</w:t>
      </w:r>
    </w:p>
    <w:p>
      <w:pPr>
        <w:spacing w:after="0" w:line="15" w:lineRule="exact"/>
        <w:rPr>
          <w:rFonts w:ascii="Arial" w:cs="Arial" w:eastAsia="Arial" w:hAnsi="Arial"/>
          <w:sz w:val="16"/>
          <w:szCs w:val="16"/>
          <w:color w:val="auto"/>
        </w:rPr>
      </w:pPr>
    </w:p>
    <w:p>
      <w:pPr>
        <w:jc w:val="both"/>
        <w:ind w:left="1140" w:right="100" w:hanging="484"/>
        <w:spacing w:after="0" w:line="263" w:lineRule="auto"/>
        <w:tabs>
          <w:tab w:leader="none" w:pos="11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due to our CMOs or other vendors prioritizing COVID-19 specific treatments or vaccines.</w:t>
      </w:r>
    </w:p>
    <w:p>
      <w:pPr>
        <w:spacing w:after="0" w:line="18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COVID-19 pandemic may also increase the risk of certain of the events described above and delay our development timelines. Any inability to successfully complete preclinical and clinical development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study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Monitoring and managing toxicities in patients receiving our product candidates is challenging, which could adversely affect our ability to obtain regulatory approval and commercialize.</w:t>
      </w:r>
    </w:p>
    <w:p>
      <w:pPr>
        <w:spacing w:after="0" w:line="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our clinical trials of our product candidates, we contract or will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 We also expect the centers using our product candidates, if approved, on a commercial basis could have similar difficulty in managing adverse events. Medicines used at centers to help manage adverse side effects of our product candidates may not adequately control the side effects and/or may have a detrimental impact on the efficacy of the treatment. Use of these medicines may increase with new physicians and centers administering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The COVID-19 pandemic, including the travel and business restrictions imposed by government authorities in response to the pandemic, have resulted in, and may continue to cause, reduced enrollment and may also create challenges to related clinical trial activities. The enrollment of patients may be more difficult, such as due to the perceptions of the safety of our clinical trials due to the previous clinical hold, and will depend on many factors, including:</w:t>
      </w:r>
    </w:p>
    <w:p>
      <w:pPr>
        <w:spacing w:after="0" w:line="192" w:lineRule="exact"/>
        <w:rPr>
          <w:sz w:val="20"/>
          <w:szCs w:val="20"/>
          <w:color w:val="auto"/>
        </w:rPr>
      </w:pPr>
    </w:p>
    <w:p>
      <w:pPr>
        <w:ind w:left="1140" w:hanging="48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1140" w:hanging="48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competition from approved products and from product candidates in other clinical trials;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the infusion of our product candidates or trial completion.</w:t>
      </w:r>
    </w:p>
    <w:p>
      <w:pPr>
        <w:spacing w:after="0" w:line="23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Since we only need to conduct a limited number of manufacturing runs to generate clinical supply, the diversity of our supply is limited during clinical trials. As a result, some patients may have antibodies to certain donor specific antigens that may interact with our product candidates, which would render the patients ineligible for treatment.</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clinical trials will also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Moreover, because our product candidates represent a departure from more commonly used methods for cancer treatment, potential patients and their doctors may be inclined to use conventional therapies, such as chemotherapy, monoclonal antibodies, hematopoietic cell transplantation as well as autologous CAR T cell therapies, which continue to advance and publish compelling results, rather than enroll patients in our clinical trial, including if our product candidates have or are perceived to have additional safety or efficacy risks or if using our product candidates may affect insurance coverage of conventional therapies. Patients eligible for allogeneic CAR T cell therapies but ineligible for autologous CAR T cell therapies due to aggressive cancer and inability to wait for autologous CAR T cell therapies may be at greater risk for complications and death from therapy.</w:t>
      </w:r>
    </w:p>
    <w:p>
      <w:pPr>
        <w:spacing w:after="0" w:line="16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our clinical trials, which could prevent completion of these trials and adversely affect our ability to advance the development of our product candidates.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6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FDA often approves new therapies initially only for use in patients with R/R metastatic disease. We expect to initially seek approval of our product candidates in this setting. Subsequently, for those products that prove to be sufficiently beneficial, if any, we would expect to seek approval in earlier lines of treatment. There is no guarantee that our product candidates, even if approved, would be approved for earlier lines of therapy, and, prior to any such approvals, we will have to conduct additional clinical trials, including potentially comparative trials against approved therapies. We are also targeting a similar patient population as autologous CAR T product candidates, including approved autologous CAR T products. Our therapies may not be as safe and effective as autologous CAR T therapies and may only be approved for patients who are ineligible for autologous CAR T therapy.</w:t>
      </w:r>
    </w:p>
    <w:p>
      <w:pPr>
        <w:spacing w:after="0" w:line="1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projections of both the number of patients who have the cancers we are targeting, as well as the subset of patients with these cancers in a position to receive second or later lines of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For instance, we expect ALLO-501A to initially target a small patient population that suffers from R/R NHL. Even if we obtain significant market share for our product candidates, because the potential target populations are small, we may never achieve profitability without obtaining regulatory approval for additional indications.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development strategy relies on incorporating an anti-CD52 monoclonal antibody as part of the lymphodepletion preconditioning regimen prior to infusing allogeneic CAR T cell product candidates.</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utilize an anti-CD52 monoclonal antibody as part of a lymphodepletion regimen to be infused prior to infusing our product candidates. While we believe an anti-CD52 antibody may be able to reduce the likelihood of a patient’s immune system rejecting the engineered allogeneic T cells for a sufficient period of time to enable a window of persistence during which such engineered allogeneic T cells can actively target and destroy cancer cells, the antibody may not have the benefits that we anticipate and could have adverse effects. For instance, our lymphodepletion regimen, including using an anti-CD52 antibody, will cause a transient and sometimes prolonged immune suppression that is associated with an increased risk of infection, such as to COVID-19, that may be unable to be cleared by the patient and ultimately lead to other serious adverse events or death.</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prior CALM and PALL trials, a commercially available monoclonal antibody, alemtuzumab, that binds CD52 was used. Alemtuzumab is known to have risk of causing certain adverse events. In 2020, the EMA completed a pharmacovigilance review of alemtuzumab in the context of the treatment of multiple sclerosis following reports of immune-mediated conditions and problems affecting the heart and blood vessels, including fatal cases. The EMA recommended that alemtuzumab should not be used in patients with certain heart, circulation or bleeding disorders or in patients who have autoimmune disorders other than multiple sclerosis. The EMA also recommended that alemtuzumab only be given in a hospital with ready access to intensive care facilities and specialists who can manage serious adverse reactions. Based on the recommendations, we have added relevant new safety information to certain of our clinical trial documentation, including informed consent forms. Our product candidates will also continue to be administered at specialized centers, which are experienced at managing patients with advanced malignancies as well as toxicities associated with immunomodulatory therapies. We will continue to monitor any new safety information that will be reported or added to the product labels of alemtuzumab. If the EMA or other regulatory agencies further limit the use of alemtuzumab or anti-CD52 antibodies, our clinical program would be adversely affected.</w:t>
      </w:r>
    </w:p>
    <w:p>
      <w:pPr>
        <w:spacing w:after="0" w:line="16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To secure our own readily available source of anti-CD52 antibody, we are developing our own monoclonal anti-CD52 antibody, ALLO-647, which we use in our clinical trials. ALLO-647 may cause serious adverse events that alemtuzumab may cause, including fatal adverse events, immune thrombocytopenia, glomerular nephropathies, thyroid disorders, autoimmune cytopenias, autoimmune hepatitis, hemophagocytic lymphohistiocytosis, acquired hemophilia and infections, stroke, and progressive multifocal leukoencephalopathy. In addition, we are exploring various dosing strategies for lymphodepletion in our clinical trials, such as higher and lower dosing of ALLO-647 in combination with fludarabine and cyclophosphamide, which may increase the risk of serious adverse events. See "Business--Product Pipeline and Development Strategy" in our Annual Report for information on safety events.</w:t>
      </w:r>
    </w:p>
    <w:p>
      <w:pPr>
        <w:spacing w:after="0" w:line="19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we are unable to successfully develop and manufacture ALLO-647 in the timeframe we anticipate, or at all, or if regulatory authorities do not approve the use of ALLO-647 in combination with our allogeneic T cell product candidates, we may be unable to source alemtuzumab and our engineered allogeneic T cell product candidates may be less effective, which could result in delays in our product development efforts and/or the commercial potential of our product candidates.</w:t>
      </w:r>
    </w:p>
    <w:p>
      <w:pPr>
        <w:spacing w:after="0" w:line="25" w:lineRule="exact"/>
        <w:rPr>
          <w:sz w:val="20"/>
          <w:szCs w:val="20"/>
          <w:color w:val="auto"/>
        </w:rPr>
      </w:pPr>
    </w:p>
    <w:p>
      <w:pPr>
        <w:ind w:right="40"/>
        <w:spacing w:after="0" w:line="324" w:lineRule="auto"/>
        <w:rPr>
          <w:sz w:val="20"/>
          <w:szCs w:val="20"/>
          <w:color w:val="auto"/>
        </w:rPr>
      </w:pPr>
      <w:r>
        <w:rPr>
          <w:rFonts w:ascii="Arial" w:cs="Arial" w:eastAsia="Arial" w:hAnsi="Arial"/>
          <w:sz w:val="15"/>
          <w:szCs w:val="15"/>
          <w:b w:val="1"/>
          <w:bCs w:val="1"/>
          <w:i w:val="1"/>
          <w:iCs w:val="1"/>
          <w:color w:val="auto"/>
        </w:rPr>
        <w:t>We may fail to successfully manufacture our product candidates, operate our own manufacturing facility, or obtain regulatory approval to utilize or commercialize from our manufacturing facility, which could adversely affect our clinical trials and the commercial viability of our product candidates.</w:t>
      </w:r>
    </w:p>
    <w:p>
      <w:pPr>
        <w:spacing w:after="0" w:line="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may not be able to achieve clinical or commercial manufacturing and cell processing on our own or at our CMO, including mass-producing off-the-shelf product to satisfy demands for any of our product candidates. While we believe the manufacturing and processing approaches are appropriate to support our clinical product development, we have limited experience in managing the allogeneic T cell engineering process, and our allogeneic processes may be more difficult or more expensive than the approaches taken by our competitors. We cannot be sure that the manufacturing processes employed by us or the technologies that we incorporate for manufacturing will result in consistent T cell production that will be safe and effective.</w:t>
      </w:r>
    </w:p>
    <w:p>
      <w:pPr>
        <w:spacing w:after="0" w:line="16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February 2019, we entered into a lease for approximately 118,000 square feet to develop a state-of-the-art cell therapy manufacturing facility in Newark, California, and initiated manufacturing under current good manufacturing practices (cGMP) in the second half of 2021. Any changes in manufacturing of our product candidates currently in the clinic, including introducing product candidates manufactured at our facility into our ongoing clinical trials, including the ALPHA2 trial, will require that we meet certain regulatory conditions, such as establishing comparability with the product candidates manufactured at our CMO, and our inability to meet such conditions would result in investment of additional resources, a delay in using our manufacturing facility for production and extend our clinical trial timelines. In addition, any process or raw material change could introduce unacceptable product variability and impact our ability to manufacture on a consistent and reproducible basis.</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also do not yet have sufficient information to reliably estimate the cost of the clinical and commercial manufacturing and processing of our product candidates, and the actual cost to manufacture and process our product candidates could materially and adversely affect the commercial viability of our product candidates. In addition, the ultimate clinical and</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any commercial dose and treatment regimen will affect our ability to scale and our costs per dose. For instance, because ALLO-715 may require a higher dose than ALLO-501A, it is possible that it may be more difficult to scale ALLO-715 production to meet any demand. As a result, we may never be able to develop a commercially viable product. The commercial manufacturing facility we build will also require FDA approval, which we may never obtain. Even if approved, we would be subject to ongoing periodic unannounced inspection by the FDA, the Drug Enforcement Administration and corresponding state agencies to ensure strict compliance with cGMP, and other government regulations.</w:t>
      </w:r>
    </w:p>
    <w:p>
      <w:pPr>
        <w:spacing w:after="0" w:line="17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manufacture of biopharmaceutical products is complex and requires significant expertise, including the development of advanced manufacturing techniques and process controls. Manufacturers of cell therapy products often encounter difficulties in production, particularly in scaling out and validating initial production and ensuring the absence of contamination. These problems include difficulties with production costs and yields, quality control, including stability of the product, operator error, shortages of qualified personnel, as well as compliance with strictly enforced federal, state and foreign regulations. The application of new regulatory guidelines or parameters, such as those related to release testing, may also adversely affect our ability to manufacture our product candidates. Furthermore, if contaminants are discovered in our supply of product candidates or in the manufacturing facilities, such supply may have to be discarded and our manufacturing facilities may need to be closed for an extended period of time to investigate and remedy the contamination. We cannot assure you that any stability or other issues relating to the manufacture of our product candidates will not occur in the future.</w:t>
      </w:r>
    </w:p>
    <w:p>
      <w:pPr>
        <w:spacing w:after="0" w:line="19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our CMOs or any other of our or their vendors may fail to manage the logistics of storing and shipping our raw materials and product candidates. Storage failures and shipment delays and problems caused by us, our vendors or other factors not in our control, such as weather, could result in the inability to manufacture product, the loss of usable product or prevent or delay the delivery of product candidates to patients.</w:t>
      </w:r>
    </w:p>
    <w:p>
      <w:pPr>
        <w:spacing w:after="0" w:line="165" w:lineRule="exact"/>
        <w:rPr>
          <w:sz w:val="20"/>
          <w:szCs w:val="20"/>
          <w:color w:val="auto"/>
        </w:rPr>
      </w:pPr>
    </w:p>
    <w:p>
      <w:pPr>
        <w:jc w:val="both"/>
        <w:ind w:right="460" w:firstLine="648"/>
        <w:spacing w:after="0" w:line="342" w:lineRule="auto"/>
        <w:rPr>
          <w:sz w:val="20"/>
          <w:szCs w:val="20"/>
          <w:color w:val="auto"/>
        </w:rPr>
      </w:pPr>
      <w:r>
        <w:rPr>
          <w:rFonts w:ascii="Arial" w:cs="Arial" w:eastAsia="Arial" w:hAnsi="Arial"/>
          <w:sz w:val="16"/>
          <w:szCs w:val="16"/>
          <w:color w:val="auto"/>
        </w:rPr>
        <w:t>We may also experience manufacturing difficulties due to resource constraints or as a result of labor disruptions, such as due to a COVID-19 outbreak, or disputes. If we were to encounter any of these difficulties, our ability to provide our product candidates to patients would be jeopardized.</w:t>
      </w:r>
    </w:p>
    <w:p>
      <w:pPr>
        <w:spacing w:after="0" w:line="12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As a company, we have no experience in marketing products. If we are unable to establish marketing and sales capabilities or enter into agreements with third parties to market and sell our product candidates, we may not be able to generate product revenue.</w:t>
      </w:r>
    </w:p>
    <w:p>
      <w:pPr>
        <w:spacing w:after="0" w:line="3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a company, we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8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or be on favorable terms.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78"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There can be no assurance that we will be able to develop in-house sales and distribution capabilities or establish or maintain relationships with third-party collaborators to commercialize any product that receives regulatory approval in the United States or in other markets.</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6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plan to globally develop our product candidates. Accordingly, we expect that we will be subject to additional risks related to operating in foreign countries, including:</w:t>
      </w:r>
    </w:p>
    <w:p>
      <w:pPr>
        <w:spacing w:after="0" w:line="62" w:lineRule="exact"/>
        <w:rPr>
          <w:sz w:val="20"/>
          <w:szCs w:val="20"/>
          <w:color w:val="auto"/>
        </w:rPr>
      </w:pPr>
    </w:p>
    <w:p>
      <w:pPr>
        <w:ind w:left="1140" w:hanging="48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differing standards for the conduct of clinical trials;</w:t>
      </w:r>
    </w:p>
    <w:p>
      <w:pPr>
        <w:spacing w:after="0" w:line="117" w:lineRule="exact"/>
        <w:rPr>
          <w:rFonts w:ascii="Arial" w:cs="Arial" w:eastAsia="Arial" w:hAnsi="Arial"/>
          <w:sz w:val="18"/>
          <w:szCs w:val="18"/>
          <w:color w:val="auto"/>
        </w:rPr>
      </w:pPr>
    </w:p>
    <w:p>
      <w:pPr>
        <w:ind w:left="1140" w:right="120" w:hanging="484"/>
        <w:spacing w:after="0" w:line="277" w:lineRule="auto"/>
        <w:tabs>
          <w:tab w:leader="none" w:pos="1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produced in the United States and shipping the product candidate to the patient abroad;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1140" w:hanging="48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140" w:right="300" w:hanging="484"/>
        <w:spacing w:after="0" w:line="277" w:lineRule="auto"/>
        <w:tabs>
          <w:tab w:leader="none" w:pos="11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1140" w:right="300" w:hanging="484"/>
        <w:spacing w:after="0" w:line="277" w:lineRule="auto"/>
        <w:tabs>
          <w:tab w:leader="none" w:pos="11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140" w:right="300" w:hanging="484"/>
        <w:spacing w:after="0" w:line="277" w:lineRule="auto"/>
        <w:tabs>
          <w:tab w:leader="none" w:pos="11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the COVID-19 pandemic or other natural or man-made disasters, including earthquakes, tsunamis, fires or other medical epidemics, or geo-political actions, including war and terrorism.</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These and other risks associated with our collaborations with Servier and Cellectis, each based in France, our collaboration with Notch Therapeutics Inc. (Notch), based in Canada, and our joint venture for China, Taiwan, South Korea and Singapore with Overland Pharmaceuticals (CY) Inc., may materially adversely affect our ability to attain or maintain profitable operations.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biopharmaceutical industry, and the immuno-oncology industry specifically,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w:t>
      </w:r>
    </w:p>
    <w:p>
      <w:pPr>
        <w:spacing w:after="0" w:line="17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Specifically, engineered T cells face significant competition from multiple companies. Success of other therapies could impact our regulatory strategy and delay or prevent regulatory approval of our product candidates. 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“Item 1. Business—Competition” in our Annual Report.</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Executive Chair, our President and Chief Executive Officer, our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Chief Financial Officer, our Executive Vice President of Research &amp; Development and Chief Medical Officer, our Chief Technical Officer, and our General Counsel. The loss of the services of any of our executive officers, other key employees, and other scientific and medical advisors, and our inability to find suitable replacements could result in delays in product development and harm our business.</w:t>
      </w:r>
    </w:p>
    <w:p>
      <w:pPr>
        <w:spacing w:after="0" w:line="184"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We conduct substantially all of our operations at our facilities in South San Francisco. This region is headquarters to many other biopharmaceutical companies and many academic and research institutions. Competition for skilled personnel in our market is intense and may limit our ability to hire and retain highly qualified personnel on acceptable terms or at all. We have experienced higher attrition in 2021 than previous years and ongoing attrition may lead to higher costs for hiring and retention, diversion of management time to address retention matters and disrupt the business.</w:t>
      </w:r>
    </w:p>
    <w:p>
      <w:pPr>
        <w:spacing w:after="0" w:line="15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stock options and restricted stock unit (RSU) awards that vest over time. The value to employees of stock options and RSU awards that vest over time have been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grown rapidly and will need to continue to grow the size of our organization, and we may experience difficulties in managing this growth.</w:t>
      </w:r>
    </w:p>
    <w:p>
      <w:pPr>
        <w:spacing w:after="0" w:line="14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of February 1, 2022, we had 308 full-time employees. As our development, manufacturing and commercialization plans and strategies develop, we have rapidly expanded our employee base and expect to add managerial, operational, sales, research and development, marketing, financial and other personnel. Current and future growth imposes significant added responsibilities on members of management, including:</w:t>
      </w:r>
    </w:p>
    <w:p>
      <w:pPr>
        <w:spacing w:after="0" w:line="57" w:lineRule="exact"/>
        <w:rPr>
          <w:sz w:val="20"/>
          <w:szCs w:val="20"/>
          <w:color w:val="auto"/>
        </w:rPr>
      </w:pPr>
    </w:p>
    <w:p>
      <w:pPr>
        <w:ind w:left="1140" w:hanging="484"/>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140" w:right="340" w:hanging="484"/>
        <w:spacing w:after="0" w:line="277" w:lineRule="auto"/>
        <w:tabs>
          <w:tab w:leader="none" w:pos="11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our growth, and our management may also have to divert a disproportionate amount of its attention away from day-to-day activities in order to devote a substantial amount of time to managing these growth activities. Our ability to build our organization and manage our employees has also been affected by the COVID-19 pandemic, as many of our staff are working from home on a part-time or full-time basis.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There can be no assurance that the services of independent organizations, advisors and consultants will continue to be available to us on a timely basis when needed, or that we can find qualified replacements. We may also be subject to penalties or other liabilities if we mis-classify employees as consultants.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7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If we are not able to effectively expand our organization by hiring and retaining employees and expanding our groups of consultants and contractors, we may not be able to successfully implement the tasks necessary to further develop, manufacture and commercialize our product candidates and, accordingly, may not achieve our research, development, manufacturing and commercialization goals.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form or seek additional strategic alliances or enter into additional licensing arrangements in the future, and we may not realize the benefits of such alliances or licensing arrangements.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8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If we license products or new technologies or acquire businesses, we may not be able to realize the benefit of such transactions if we are unable to successfully integrate them with our existing operations and company culture. For instance, our agreements with Cellectis, Servier, Notch, Antion and SpringWorks require significant research and development that may not result in the development and commercialization of product candidates. We cannot be certain that, following a strategic transaction or license, we will achieve the results, revenue or specific net income that justifies such transaction.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of acquired assets or other strategic transactions.</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actively evaluate various strategic transactions on an ongoing basis. We may acquire other businesses, products or technologies as well as pursue joint ventures or investments in complementary businesses. The success of our strategic transactions, including our acquisition of CAR T cell assets from Pfizer, licenses with Cellectis, Servier, Notch, Antion, joint venture with Overland Pharmaceuticals (CY) Inc. and any future strategic transactions depends on the risks and uncertainties involved including:</w:t>
      </w:r>
    </w:p>
    <w:p>
      <w:pPr>
        <w:spacing w:after="0" w:line="79" w:lineRule="exact"/>
        <w:rPr>
          <w:sz w:val="20"/>
          <w:szCs w:val="20"/>
          <w:color w:val="auto"/>
        </w:rPr>
      </w:pPr>
    </w:p>
    <w:p>
      <w:pPr>
        <w:ind w:left="1140" w:hanging="484"/>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 or joint ventures;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117" w:lineRule="exact"/>
        <w:rPr>
          <w:rFonts w:ascii="Arial" w:cs="Arial" w:eastAsia="Arial" w:hAnsi="Arial"/>
          <w:sz w:val="18"/>
          <w:szCs w:val="18"/>
          <w:color w:val="auto"/>
        </w:rPr>
      </w:pPr>
    </w:p>
    <w:p>
      <w:pPr>
        <w:ind w:left="1140" w:right="160" w:hanging="484"/>
        <w:spacing w:after="0" w:line="277" w:lineRule="auto"/>
        <w:tabs>
          <w:tab w:leader="none" w:pos="11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 in or termination of our relationships with collaborators or suppliers as a result of such a transaction;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or joint ventures.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these risks or uncertainties occur, we may not realize the anticipated benefit of any acquisition or strategic transaction.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Additionally, 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 For instance, our joint venture with Overland Pharmaceuticals (CY) Inc. may face difficulties manufacturing or delivering our licensed product candidates in China, Taiwan, South Korea or Singapore, which could prevent any development or commercialization of our licensed product candidates in the region. The joint venture will also require significant operational and financial support in the future by us or third parties, and any future financing of the joint venture would increase our expenses or dilute our ownership in the joint venture. We may also face unknown liabilities due to supporting our joint venture, such as due to any misuse of materials supplied to our joint venture.</w:t>
      </w:r>
    </w:p>
    <w:p>
      <w:pPr>
        <w:spacing w:after="0" w:line="17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Future acquisitions or dispositions could result in potentially dilutive issuances of our equity securities, the incurrence of debt, contingent liabilities or amortization expenses or write-offs of goodwill, any of which could harm our financial condition.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financing to develop our products and implement our operating plans. If we fail to obtain additional financing, we may be unable to complete the development and commercialization of our product candidates.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expect to spend a substantial amount of capital in the development and manufacture of our product candidates. We will need substantial additional financing to develop our products and implement our operating plans. In particular, we will require substantial additional financing to enable commercial production of our products and initiate and complete registration trials for multiple products in multiple regions. Further, if approved, we will require significant additional capital in order to launch and commercialize our product candidates.</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December 31, 2021, we had $809.5 million in cash, cash equivalents and investments. Changing circumstances may cause us to consume capital significantly faster than we currently anticipate, and we may need to spend more money than currently expected because of circumstances beyond our control. We may also need to raise additional capital sooner than we currently anticipate if we choose to expand more rapidly than we presently plan. In any event, we will require additional capital for the further development and commercialization of our product candidates, including funding our internal manufacturing capabilities.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cannot be certain that additional funding will be available on acceptable terms, or at all. We have no committed source of additional capital and our stock price has faced extreme volatility. Any significant capital raise may require approval of our stockholders, who may not approve of the raise. If we are unable to raise additional capital in sufficient amounts or on terms acceptable to us, we may have to significantly delay, scale back or discontinue the development or commercialization of our product candidates or other research and development initiatives. Our license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Any of the above events could significantly harm our business, prospects, financial condition and results of operations and cause the price of our common stock to decline.</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If our security measures, or those of our CROs, CMOs, collaborators, contractors, consultants or other third parties upon whom we rely, are compromised now, or in the future, or the security, confidentiality, integrity or availability of our information technology, software, services, networks, communications or data is compromised, limited or fails, we could experience a material adverse impact including, without limitation, a material interruption to our operations, including our clinical trials, harm to our reputation, significant fines, penalties and liability, or a breach or triggering of data protection laws, privacy policies and data protection obligations.</w:t>
      </w:r>
    </w:p>
    <w:p>
      <w:pPr>
        <w:spacing w:after="0" w:line="203"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In the ordinary course of our business, we may collect, process, store and transmit proprietary, confidential and sensitive information, including personal data (including health information), intellectual property, trade secrets, and proprietary business information owned or controlled by ourselves or other parties. We may also share or receive sensitive information with our partners, CROs, CMOs, or other third parties. Our ability to monitor these third parties’ information security practices is limited, and these third parties may not have adequate information security measures in place.</w:t>
      </w:r>
    </w:p>
    <w:p>
      <w:pPr>
        <w:spacing w:after="0" w:line="18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Our internal computer systems and those of our CROs, CMOs, collaborators, and other contractors or consultants are vulnerable to damage from computer viruses, unauthorized access, cybersecurity threats, and telecommunication and electrical failures. In addition, the COVID-19 pandemic has intensified our dependence on information technology systems as many of our critical business activities are currently being conducted remotely. Our remote workforce poses increased risks to our information technology systems and data, as more of our employees work from home, utilizing network connections outside our premises. Cyberattacks, malicious internet-based activity, and online and offline fraud are prevalent and are increasing in their frequency, sophistication and intensity, and have become increasingly difficult to detect. These threats come from a variety of sources, including traditional computer “hackers,” threat actors, personnel (such as through theft or misuse), sophisticated nation-states, and nation-state-supported actors. Cyberattacks could include, but are not limited to, the deployment of harmful malware (including as a result of advanced persistent threat intrusions), denial-of-service (such as credential stuffing), social engineering attacks (including through phishing attacks), viruses, ransomware, supply chain attacks, personnel misconduct or error and other similar threats. We may also be the subject of software bugs, server malfunction, software or hardware failures, loss of data or other information technology assets, adware, telecommunications failures or other similar issues. In particular, ransomware attacks, including those from organized criminal threat actors, nation-states, and nation-state supported actors, are becoming increasingly prevalent and severe and can lead to significant interruptions, delays, or outages in our operations, disruptions to our clinical trials, loss of data (including data related to clinical trials), significant expense to restore data or systems, reputational loss and the diversion of funds. Extortion payments may alleviate the negative impact of a ransomware attack, but we may be unwilling or unable to make such payments due to, for example, applicable laws or regulations prohibiting such payments. Similarly, supply chain attacks have increased in frequency and severity, and we cannot guarantee that third parties and infrastructure in our supply chain have not been compromised or that they do not contain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exploitable defects or bugs that could result in a breach to our information technology systems or the third-party information technology systems that support us and our services.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76"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manufacture or deliver our product candidates.</w:t>
      </w:r>
    </w:p>
    <w:p>
      <w:pPr>
        <w:spacing w:after="0" w:line="21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may expend significant resources, or modify our business activities and operations, including our clinical trial activities, in an effort to protect against security incidents. Certain data privacy and security obligations may require us to implement and maintain specific security measures or use industry-standard or reasonable security measures to protect our information technology systems and sensitive information.</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Although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remediate vulnerabilities, if any, in our information technology systems, our efforts may not be successful. Further, we may experience delays in developing and deploying remedial measures designed to address any such identified vulnerabilities. Any failure to prevent or mitigate security incidents or improper access to, use of, or disclosure of our clinical data or patients’ personal data could result in significant liability under state, federal, and international law and may cause a material adverse impact to our reputation, affect our ability to conduct our clinical trials and potentially disrupt our business. In addition, privacy advocates and industry groups have proposed, and may propose, standards with which we are legally or contractually bound to comply.</w:t>
      </w:r>
    </w:p>
    <w:p>
      <w:pPr>
        <w:spacing w:after="0" w:line="22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Applicable data protection laws, privacy policies and data protection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also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w:t>
      </w:r>
    </w:p>
    <w:p>
      <w:pPr>
        <w:spacing w:after="0" w:line="222"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the limitations of liability in our contracts are sufficient to protect us from liabilities, damages, or claims related to our data privacy and security obligations.</w:t>
      </w:r>
    </w:p>
    <w:p>
      <w:pPr>
        <w:spacing w:after="0" w:line="17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cannot be sure that our insurance coverage will be adequate or sufficient to protect us from or adequately mitigate liabilities arising out of our privacy and security practices, or that such coverage will continue to be available on commercially reasonable terms or at all, or that such coverage will pay future claims.</w:t>
      </w:r>
    </w:p>
    <w:p>
      <w:pPr>
        <w:spacing w:after="0" w:line="184"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4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payment of user fees, statutory, regulatory and policy changes, and business disruptions, such as those caused by the COVID-19 pandemic.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In addition to the business disruptions caused by the COVID-19 pandemic or cybersecurity attacks described above, our operations, and those of our CMOs, CROs, clinical trial sites and other contractors and consultants, could be subject to other disruptions, including those caused by earthquakes, power shortages, telecommunications failures, water shortages, floods, hurricanes, tsunamis,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w:t>
      </w:r>
    </w:p>
    <w:p>
      <w:pPr>
        <w:spacing w:after="0" w:line="17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ability to manufacture our product candidates could be disrupted if our operations or those of our suppliers are affected by a man-made or natural disaster or other business interruption. Our corporate headquarters and manufacturing facility are located in California near major earthquake faults and fire and flood zones. The ultimate impact on us, our significant suppliers and our general infrastructure of being located near major earthquake faults and fire and flood zones and being consolidated in certain geographical areas is unknown, but our operations and financial condition could suffer in the event of a major earthquake, fire, flood or other natural disaster.</w:t>
      </w:r>
    </w:p>
    <w:p>
      <w:pPr>
        <w:spacing w:after="0" w:line="188" w:lineRule="exact"/>
        <w:rPr>
          <w:sz w:val="20"/>
          <w:szCs w:val="20"/>
          <w:color w:val="auto"/>
        </w:rPr>
      </w:pPr>
    </w:p>
    <w:p>
      <w:pPr>
        <w:ind w:right="280"/>
        <w:spacing w:after="0" w:line="340" w:lineRule="auto"/>
        <w:rPr>
          <w:sz w:val="20"/>
          <w:szCs w:val="20"/>
          <w:color w:val="auto"/>
        </w:rPr>
      </w:pPr>
      <w:r>
        <w:rPr>
          <w:rFonts w:ascii="Arial" w:cs="Arial" w:eastAsia="Arial" w:hAnsi="Arial"/>
          <w:sz w:val="15"/>
          <w:szCs w:val="15"/>
          <w:b w:val="1"/>
          <w:bCs w:val="1"/>
          <w:i w:val="1"/>
          <w:iCs w:val="1"/>
          <w:color w:val="auto"/>
        </w:rPr>
        <w:t>Our relationships with customers, physicians, and third-party payors are subject, directly or indirectly, to federal, state, local and foreign healthcare fraud and abuse laws, false claims laws, health information privacy and security laws, and other healthcare laws and regulations. If we or our employees, independent contractors, consultants, commercial partners and vendors violate these laws, we could face substantial penalties.</w:t>
      </w:r>
    </w:p>
    <w:p>
      <w:pPr>
        <w:spacing w:after="0" w:line="2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price reporting, false claims and provider transparency. If our operations are found to be in violation of any of these laws that apply to us, we may be subject to significant civil, criminal and administrative penalties.</w:t>
      </w:r>
    </w:p>
    <w:p>
      <w:pPr>
        <w:spacing w:after="0" w:line="16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We are subject to stringent and changing privacy laws, regulations and standards as well as policies, contracts and other obligations related to data privacy and security. Our actual or perceived failure to comply with such obligations could lead to enforcement or litigation (that could result in fines or penalties), a disruption of clinical trials or commercialization of products, reputational harm, or other adverse business effects.</w:t>
      </w:r>
    </w:p>
    <w:p>
      <w:pPr>
        <w:spacing w:after="0" w:line="17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ordinary course of business, we collect, receive, store, process, use, generate, transfer, disclose, make accessible, protect, secure, dispose of, transmit and share personal data and other sensitive information, including, but not limited to, proprietary and confidential business information, trade secrets, intellectual property, and information we collect about patients in connection with clinical trials. Accordingly, we are, or may become, subject to numerous federal, state, local and international data privacy and security laws, regulations, guidance, and industry standards as well as external and internal privacy and security policies, contracts and other obligations that apply to our processing of personal data and the processing of personal data on our behalf.</w:t>
      </w:r>
    </w:p>
    <w:p>
      <w:pPr>
        <w:spacing w:after="0" w:line="21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and consumer protection laws. For example, the federal Health Insurance Portability and Accountability Act of 1996 (HIPAA), as amended by the Health Information Technology for Economic and Clinical Health Act (HITECH), and their respective implementing regulations, imposes requirements relating to the privacy, security and transmission of individually identifiable health information. Among other things, HITECH, through its implementing regulations, makes certain of HIPAA’s privacy and security standards directly applicable to business associates, defined as a person or organization, other than a member of a covered entity’s workforce, that creates, receives, maintains or transmits protected health information for or on behalf of a covered entity for a function or activity regulated by HIPAA as well as their covered subcontractors.</w:t>
      </w:r>
    </w:p>
    <w:p>
      <w:pPr>
        <w:spacing w:after="0" w:line="19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addition, the California Consumer Privacy Act (CCPA) creates new individual privacy rights for consumers (as that word is broadly defined in the law) and places increased privacy and security obligations on entities handling personal data of consumers or households. The CCPA requires covered companies to provide new disclosures to California consumers, affords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California residents certain rights related to their personal data, including the right to opt-out of certain sales of personal data, and allow for a new cause of action for certain data breaches. Although there are limited exemptions for clinical trial data under the CCPA, as our business progresses, the CCPA may become applicable and significantly impact our business activities and exemplifies the vulnerability of our business to evolving regulatory environment related to personal data and protected health information. Furthermore, it is anticipated that the California Privacy Rights Act of 2020 (CPRA), effective January 1, 2023, will expand the CCPA. In addition, other states have enacted or proposed data privacy laws. For example, Virginia passed the Consumer Data Protection Act, and Colorado passed the Colorado Privacy Act, both of which become effective in 2023. Additionally, several states and localities have enacted statutes banning or restricting the collection of biometric information. Moreover, data privacy and security laws have been proposed at the federal, state, and local levels in recent years, which could further complicate compliance efforts.</w:t>
      </w:r>
    </w:p>
    <w:p>
      <w:pPr>
        <w:spacing w:after="0" w:line="179" w:lineRule="exact"/>
        <w:rPr>
          <w:sz w:val="20"/>
          <w:szCs w:val="20"/>
          <w:color w:val="auto"/>
        </w:rPr>
      </w:pPr>
    </w:p>
    <w:p>
      <w:pPr>
        <w:ind w:right="160" w:firstLine="648"/>
        <w:spacing w:after="0" w:line="236" w:lineRule="auto"/>
        <w:rPr>
          <w:sz w:val="20"/>
          <w:szCs w:val="20"/>
          <w:color w:val="auto"/>
        </w:rPr>
      </w:pPr>
      <w:r>
        <w:rPr>
          <w:rFonts w:ascii="Arial" w:cs="Arial" w:eastAsia="Arial" w:hAnsi="Arial"/>
          <w:sz w:val="17"/>
          <w:szCs w:val="17"/>
          <w:color w:val="auto"/>
        </w:rPr>
        <w:t>Outside the United States, there are an increasing number of laws, regulations and industry standards concerning privacy, data protection, information security and cross-border personal data transfers. For example, the European Union’s General Data Protection Regulation (EU GDPR), the United Kingdom’s GDPR (UK GDPR), and China’s Personal Information Protection Law (PIPL) impose strict requirements for processing personal data. Failure to comply with the requirements of the EU GDPR and the applicable national data protection laws of the EU member states may result in fines of up to €20,000,000 or up to 4% of the total worldwide annual turnover of the preceding financial year, whichever is higher, and other administrative penalties.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expenses. Further, individuals may initiate litigation related to processing of their personal data.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privacy advocates and industry groups have proposed, and may propose, standards with which we are legally or contractually bound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comply.</w:t>
      </w:r>
    </w:p>
    <w:p>
      <w:pPr>
        <w:spacing w:after="0" w:line="23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As a result, preparing for and complying with these obligations requires significant resources and may necessitate changes to our information technologies, systems and practices, as well as those of any third-party collaborators, service providers, contractors, consultants or other third parties that process personal data on our behalf.</w:t>
      </w:r>
    </w:p>
    <w:p>
      <w:pPr>
        <w:spacing w:after="0" w:line="21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Although we endeavor to comply with all applicable privacy and security obligations, we may at times fail to do so or may be perceived to have failed to do so. Moreover, despite our efforts, we may not be successful in achieving compliance if our employees, third-party collaborators, service providers, contractors or consultants fail to comply with such obligations, which could negatively impact our business operations and compliance posture. For example, any failure by a third-party service provider to comply with applicable law, regulations, or contractual obligations could result in adverse effects, including inability to or interruption in our ability to operate our business and proceedings against us by governmental entities or others. If we fail, or are perceived to have failed, to address or comply with obligations related to data privacy and security obligations, we could face significant consequences. These consequences may include, but are not limited to, government enforcement actions (e.g., investigations, fines, penalties, audits and inspections, and similar); litigation (including class-related claims); additional reporting requirements and/or oversight; temporary or permanent bans on all or some processing of personal data; orders to destroy or not use personal data; and imprisonment of company officials. Any of these events could have a material adverse effect on our reputation, business, or financial condition, including but not limited to: loss of actual or prospective customers, collaborators or partners; interruptions or stoppages in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or be required to limit commercialization of our product candidates. Even successful defense would require significant financial and management resources. Regardless of the merits or eventual outcome, liability claims may result in:</w:t>
      </w:r>
    </w:p>
    <w:p>
      <w:pPr>
        <w:spacing w:after="0" w:line="62" w:lineRule="exact"/>
        <w:rPr>
          <w:sz w:val="20"/>
          <w:szCs w:val="20"/>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and expect to obtain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Under current law, federal net operating losses incurred in tax years beginning after December 31, 2017, may be carried forward indefinitely, but the deductibility of such federal net operating losses in tax years beginning after December 31, 2020, is limited to 80% of taxable income. It is uncertain if and to what extent various states will conform to federal tax laws. Under Sections 382 and 383 of the Internal Revenue Code of 1986, as amended, and corresponding provisions of state law, if a corporation undergoes an “ownership change” (generally defined as a greater than 50 percentage point change (by value) in the equity ownership of certain stockholders over a rolling three-year period), the corporation’s ability to use its pre-change net operating loss carryforwards and other pre-change tax attributes to offset its post-change income or taxes may be limited. As a result of our IPO in October 2018 and private placements and other transactions that have occurred since our incorporation, we may have experienced an “ownership change”. We may also experience ownership changes in the future as a result of subsequent shifts in our stock ownership. We anticipate incurring significant additional net losses for the foreseeable future, and our ability to utilize net operating loss carryforwards associated with any such losses to offset future taxable income may be limited to the extent we incur future ownership changes. In addition, at the state level, there may be periods during which the use of net operating loss carryforwards is suspended or otherwise limited, which could accelerate or permanently increase state taxes owed. As a result, we may be unable to use all or a material portion of our net operating loss carryforwards and other tax attributes, which could adversely affect our future cash flows.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spacing w:after="0" w:line="1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depend and will continue to depend upon independent investigators and collaborators, such as universities, medical institutions, CROs and strategic partners to conduct our preclinical and clinical trials under agreements with us.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negotiate budgets and contracts with CROs and study sites, which may result in delays to our development timelines and increased costs. We will rely heavily on these third parties over the course of our clinical trials, and we control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only certain aspects of their activities. Nevertheless, we are responsible for ensuring that each of our studies is conducted in accordance with applicable protocol, legal, regulatory and scientific standards, and our reliance on third parties does not relieve us of our regulatory responsibilities. We and these third parties are required to comply with good clinical practices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biologic product produced under cGMPs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72"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Any third parties conducting our clinical trials are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81"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If any of our relationships with trial sites, or any CRO that we may use in the future, terminates,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on third parties to manufacture and store our clinical product supplies, and we may have to rely on third parties to produce and process our product candidates, if approved.</w:t>
      </w:r>
    </w:p>
    <w:p>
      <w:pPr>
        <w:spacing w:after="0" w:line="6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Some of our product candidates are manufactured in the United States by our CMOs, and we manage all other aspects of the supply, including planning, CMO oversight, disposition and distribution logistics. In the past, Servier was responsible for UCART19 manufacturing, and experienced UCART19 supply issues that limited its ability to recruit new patients. There can be no assurance that we will not experience supply or manufacturing issues in the future.</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While we are in the process of developing our own manufacturing facility for cell therapies, we must currently rely on outside vendors to manufacture supplies and process our product candidates. We do not have long-term agreements in place with CMOs for the manufacture of our cell therapies or of ALLO-647. If we are unable to contract with CMOs on acceptable terms or at all, our clinical development program would be delayed and our business would be significantly harmed.</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not yet caused our product candidates to be manufactured or processed on a commercial scale and may not be able to achieve manufacturing and processing and may be unable to create an inventory of mass-produced, off-the-shelf product to satisfy demands for any of our product candidates. Our clinical supply is also limited to small quantities and any latent defects discovered in our supply could significantly delay our development timelines.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anticipated reliance on a limited number of third-party manufacturers exposes us to the following risks:</w:t>
      </w:r>
    </w:p>
    <w:p>
      <w:pPr>
        <w:spacing w:after="0" w:line="117" w:lineRule="exact"/>
        <w:rPr>
          <w:sz w:val="20"/>
          <w:szCs w:val="20"/>
          <w:color w:val="auto"/>
        </w:rPr>
      </w:pPr>
    </w:p>
    <w:p>
      <w:pPr>
        <w:ind w:left="1140" w:right="140" w:hanging="484"/>
        <w:spacing w:after="0" w:line="259" w:lineRule="auto"/>
        <w:tabs>
          <w:tab w:leader="none" w:pos="11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1140" w:right="600" w:hanging="484"/>
        <w:spacing w:after="0" w:line="277" w:lineRule="auto"/>
        <w:tabs>
          <w:tab w:leader="none" w:pos="11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formulate and manufacture our product or produce the quantity and quality required to meet our clinical and commercial needs, if any.</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appropriately.</w:t>
      </w:r>
    </w:p>
    <w:p>
      <w:pPr>
        <w:spacing w:after="0" w:line="117" w:lineRule="exact"/>
        <w:rPr>
          <w:rFonts w:ascii="Arial" w:cs="Arial" w:eastAsia="Arial" w:hAnsi="Arial"/>
          <w:sz w:val="18"/>
          <w:szCs w:val="18"/>
          <w:color w:val="auto"/>
        </w:rPr>
      </w:pPr>
    </w:p>
    <w:p>
      <w:pPr>
        <w:ind w:left="1140" w:right="760" w:hanging="484"/>
        <w:spacing w:after="0" w:line="311" w:lineRule="auto"/>
        <w:tabs>
          <w:tab w:leader="none" w:pos="11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40" w:lineRule="exact"/>
        <w:rPr>
          <w:rFonts w:ascii="Arial" w:cs="Arial" w:eastAsia="Arial" w:hAnsi="Arial"/>
          <w:sz w:val="16"/>
          <w:szCs w:val="16"/>
          <w:color w:val="auto"/>
        </w:rPr>
      </w:pPr>
    </w:p>
    <w:p>
      <w:pPr>
        <w:ind w:left="1140" w:right="180" w:hanging="484"/>
        <w:spacing w:after="0" w:line="277" w:lineRule="auto"/>
        <w:tabs>
          <w:tab w:leader="none" w:pos="11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62" w:lineRule="exact"/>
        <w:rPr>
          <w:rFonts w:ascii="Arial" w:cs="Arial" w:eastAsia="Arial" w:hAnsi="Arial"/>
          <w:sz w:val="18"/>
          <w:szCs w:val="18"/>
          <w:color w:val="auto"/>
        </w:rPr>
      </w:pPr>
    </w:p>
    <w:p>
      <w:pPr>
        <w:ind w:left="1140" w:right="600" w:hanging="484"/>
        <w:spacing w:after="0" w:line="277" w:lineRule="auto"/>
        <w:tabs>
          <w:tab w:leader="none" w:pos="11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 with us.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contract manufacturers would also be subject to the same risks we face in developing our own manufacturing capabilities, as described above. Our CMOs may also be required to shut down in response to the spread of COVID-19 or they may prioritize manufacturing for COVID-19 therapies or vaccines. In addition, our CMOs have certain responsibilities for storage of raw materials and in the past have lost or failed to adequately store our raw materials. We also rely on third parties to store our released product candidates, and any failure to adequately store our product candidates could result in significant delay to our development timelines. Any additional or future damage or loss of raw materials or product candidates could materially impact our ability to manufacture and supply our product candidates. Each of these risks could delay our clinical trials, the approval, if any of our product candidates by the FDA or the commercialization of our product candidates or result in higher costs or deprive us of potential product revenue.</w:t>
      </w:r>
    </w:p>
    <w:p>
      <w:pPr>
        <w:spacing w:after="0" w:line="16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on T cells from healthy donors to manufacture our product candidates, and if we do not obtain an adequate supply of T cells from qualified donors, development of those product candidates may be adversely impacted.</w:t>
      </w:r>
    </w:p>
    <w:p>
      <w:pPr>
        <w:spacing w:after="0" w:line="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Unlike autologous CAR T companies, we are reliant on receiving healthy donor material to manufacture our product candidates. Healthy donor T cells vary in type and quality, and this variation makes producing standardized product candidates more difficult and makes the development and commercialization pathway of those product candidates more uncertain. We have developed a screening process designed to enhance the quality and consistency of T cells used in the manufacture of our CAR T cell product candidates, but our screening process may fail to identify suitable donor material and we may discover unacceptable variability with the material after production. We may also have to update our specifications for new risks that may emerge, such as to screen for new viruses or chromosomal abnormalities.</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strict specifications for donor material, which include specifications required by regulatory authorities. If we are unable to identify and obtain donor material that satisfy specifications, agree with regulatory authorities on appropriate specifications, or address variability in donor T cells, there may be inconsistencies in the product candidates we produce or we may be unable to initiate or continue clinical trials on the timelines we expect, which could harm our reputation and adversely impact our business and prospects.</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addition, vendors have and are facing challenges in obtaining donor material during the COVID-19 pandemic. While we have donor material on hand, if the COVID-19 pandemic continues and as a result our vendors are unable to secure donor material, or our vendors are unable to secure donor material for other reasons, we may no longer have sufficient donor material to manufacture our product candidates.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Cell-based therapies rely on the availability of specialty raw materials, which may not be available to us on acceptable terms or at all.</w:t>
      </w:r>
    </w:p>
    <w:p>
      <w:pPr>
        <w:spacing w:after="0" w:line="1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product candidates require many specialty raw materials, including viral vectors that deliver the CAR sequence and electroporation technology, some of which are manufactured by small companies with limited resources and experience to support a commercial product, and the suppliers may not be able to deliver raw materials to our specifications. We do not have contracts with many of the suppliers, and we may not be able to contract with them on acceptable terms, or at all. Many suppliers have curtailed their operations during the COVID-19 pandemic or focused their operations on supporting COVID-19</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therapies and vaccines, and our ability and the ability of our suppliers to source raw materials has been impacted. Accordingly, we may experience delays in receiving, or fail to secure entirely, key raw materials to support clinical or commercial manufacturing. Certain raw materials also require third-party testing, and some of the testing service companies may not have capacity or be able to conduct the testing that we request.</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many of our suppliers normally support blood-based hospital businesses and generally do not have the capacity to support commercial products manufactured under cGMP by biopharmaceutical firms. The suppliers may be ill-equipped to support our needs, especially in non-routine circumstances like an FDA inspection or medical crisis, such as widespread contamination. We also face competition for supplies from other cell therapy companies. Such competition may make it difficult for us to secure raw materials or the testing of such materials on commercially reasonable terms or in a timely manner.</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including to meet any regulatory requirements for such qualification, could result in additional costs, diversion of resources or reduced manufacturing yields, any of which would negatively impact our operating results. Further, we may be unable to enter into agreements with a new supplier on commercially reasonable terms, which could have a material adverse impact on our business.</w:t>
      </w:r>
    </w:p>
    <w:p>
      <w:pPr>
        <w:spacing w:after="0" w:line="1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use hazardous, non-hazardous, biological or other materials in a manner that causes injury or violates applicable law, we may be liable for damages.</w:t>
      </w:r>
    </w:p>
    <w:p>
      <w:pPr>
        <w:spacing w:after="0" w:line="6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research and development activities involve the controlled use of potentially hazardous substances, including chemical and biological materials. We and our suppliers are subject to federal, state and local laws and regulations in the United States governing the use, manufacture, storage, handling and disposal of medical and hazardous materials. Although we believe that we and our suppliers’ procedures for using, handling, storing and disposing of these materials comply with legally prescribed standards, we and our suppliers cannot completely eliminate the risk of contamination or injury resulting from medical or hazardous materials. For instance, while we are currently in compliance, we have had an environmental notice of violation at our manufacturing facility.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In addition, we have commenced shipment of certain materials to our joint venture with Overland Pharmaceuticals (CY) Inc. in China and any violation by our joint venture in the use, manufacture, storage, handling and disposal under foreign law may subject us to additional liability.</w:t>
      </w:r>
    </w:p>
    <w:p>
      <w:pPr>
        <w:spacing w:after="0" w:line="182" w:lineRule="exact"/>
        <w:rPr>
          <w:sz w:val="20"/>
          <w:szCs w:val="20"/>
          <w:color w:val="auto"/>
        </w:rPr>
      </w:pPr>
    </w:p>
    <w:p>
      <w:pPr>
        <w:ind w:right="340" w:firstLine="648"/>
        <w:spacing w:after="0" w:line="274" w:lineRule="auto"/>
        <w:rPr>
          <w:sz w:val="20"/>
          <w:szCs w:val="20"/>
          <w:color w:val="auto"/>
        </w:rPr>
      </w:pPr>
      <w:r>
        <w:rPr>
          <w:rFonts w:ascii="Arial" w:cs="Arial" w:eastAsia="Arial" w:hAnsi="Arial"/>
          <w:sz w:val="17"/>
          <w:szCs w:val="17"/>
          <w:color w:val="auto"/>
        </w:rPr>
        <w:t>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6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research, testing, manufacturing, labeling, approval, selling, import, export, marketing, and distribution of drug products, including biologics, are subject to extensive regulation by the FDA and other regulatory authorities in the United States. We are not permitted to market any biological drug product in the United States until we receive approval of a biologics license application (BLA) from the FDA. 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w:t>
      </w:r>
    </w:p>
    <w:p>
      <w:pPr>
        <w:spacing w:after="0" w:line="17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expect the novel nature of our product candidates to create further challenges in obtaining regulatory approval. For example, the FDA has limited experience with commercial development of allogeneic T cell therapies for cancer. We may also request clinical trial initiation or regulatory approval of future CAR-based product candidates by target, regardless of cancer type or origin, which the FDA may have difficulty accepting. The FDA may also require a panel of experts, referred to as an Advisory Committee, to deliberate on the adequacy of the safety and efficacy data to support licensure. The opinion of the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1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have previously experienced a delay in our clinical trials due to a clinical hold, and may experience future delays in completing planned clinical trials for a variety of reasons, including delays related to:</w:t>
      </w:r>
    </w:p>
    <w:p>
      <w:pPr>
        <w:spacing w:after="0" w:line="80" w:lineRule="exact"/>
        <w:rPr>
          <w:sz w:val="20"/>
          <w:szCs w:val="20"/>
          <w:color w:val="auto"/>
        </w:rPr>
      </w:pPr>
    </w:p>
    <w:p>
      <w:pPr>
        <w:ind w:left="1140" w:hanging="484"/>
        <w:spacing w:after="0"/>
        <w:tabs>
          <w:tab w:leader="none" w:pos="1140" w:val="left"/>
        </w:tabs>
        <w:numPr>
          <w:ilvl w:val="0"/>
          <w:numId w:val="43"/>
        </w:numPr>
        <w:rPr>
          <w:rFonts w:ascii="Arial" w:cs="Arial" w:eastAsia="Arial" w:hAnsi="Arial"/>
          <w:sz w:val="22"/>
          <w:szCs w:val="22"/>
          <w:color w:val="auto"/>
        </w:rPr>
      </w:pPr>
      <w:r>
        <w:rPr>
          <w:rFonts w:ascii="Arial" w:cs="Arial" w:eastAsia="Arial" w:hAnsi="Arial"/>
          <w:sz w:val="18"/>
          <w:szCs w:val="18"/>
          <w:color w:val="auto"/>
        </w:rPr>
        <w:t>obtaining regulatory authorization to begin a trial, if applicable;</w:t>
      </w:r>
    </w:p>
    <w:p>
      <w:pPr>
        <w:spacing w:after="0" w:line="111" w:lineRule="exact"/>
        <w:rPr>
          <w:rFonts w:ascii="Arial" w:cs="Arial" w:eastAsia="Arial" w:hAnsi="Arial"/>
          <w:sz w:val="22"/>
          <w:szCs w:val="22"/>
          <w:color w:val="auto"/>
        </w:rPr>
      </w:pPr>
    </w:p>
    <w:p>
      <w:pPr>
        <w:ind w:left="1140" w:hanging="484"/>
        <w:spacing w:after="0"/>
        <w:tabs>
          <w:tab w:leader="none" w:pos="1140" w:val="left"/>
        </w:tabs>
        <w:numPr>
          <w:ilvl w:val="0"/>
          <w:numId w:val="43"/>
        </w:numPr>
        <w:rPr>
          <w:rFonts w:ascii="Arial" w:cs="Arial" w:eastAsia="Arial" w:hAnsi="Arial"/>
          <w:sz w:val="22"/>
          <w:szCs w:val="22"/>
          <w:color w:val="auto"/>
        </w:rPr>
      </w:pPr>
      <w:r>
        <w:rPr>
          <w:rFonts w:ascii="Arial" w:cs="Arial" w:eastAsia="Arial" w:hAnsi="Arial"/>
          <w:sz w:val="18"/>
          <w:szCs w:val="18"/>
          <w:color w:val="auto"/>
        </w:rPr>
        <w:t>the availability of financial resources to commence and complete the planned trials;</w:t>
      </w:r>
    </w:p>
    <w:p>
      <w:pPr>
        <w:spacing w:after="0" w:line="134" w:lineRule="exact"/>
        <w:rPr>
          <w:rFonts w:ascii="Arial" w:cs="Arial" w:eastAsia="Arial" w:hAnsi="Arial"/>
          <w:sz w:val="22"/>
          <w:szCs w:val="22"/>
          <w:color w:val="auto"/>
        </w:rPr>
      </w:pPr>
    </w:p>
    <w:p>
      <w:pPr>
        <w:ind w:left="1140" w:right="480" w:hanging="484"/>
        <w:spacing w:after="0" w:line="232" w:lineRule="auto"/>
        <w:tabs>
          <w:tab w:leader="none" w:pos="1135" w:val="left"/>
        </w:tabs>
        <w:numPr>
          <w:ilvl w:val="0"/>
          <w:numId w:val="43"/>
        </w:numPr>
        <w:rPr>
          <w:rFonts w:ascii="Arial" w:cs="Arial" w:eastAsia="Arial" w:hAnsi="Arial"/>
          <w:sz w:val="22"/>
          <w:szCs w:val="22"/>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13" w:lineRule="exact"/>
        <w:rPr>
          <w:rFonts w:ascii="Arial" w:cs="Arial" w:eastAsia="Arial" w:hAnsi="Arial"/>
          <w:sz w:val="22"/>
          <w:szCs w:val="22"/>
          <w:color w:val="auto"/>
        </w:rPr>
      </w:pPr>
    </w:p>
    <w:p>
      <w:pPr>
        <w:ind w:left="1140" w:hanging="484"/>
        <w:spacing w:after="0"/>
        <w:tabs>
          <w:tab w:leader="none" w:pos="1140" w:val="left"/>
        </w:tabs>
        <w:numPr>
          <w:ilvl w:val="0"/>
          <w:numId w:val="43"/>
        </w:numPr>
        <w:rPr>
          <w:rFonts w:ascii="Arial" w:cs="Arial" w:eastAsia="Arial" w:hAnsi="Arial"/>
          <w:sz w:val="22"/>
          <w:szCs w:val="22"/>
          <w:color w:val="auto"/>
        </w:rPr>
      </w:pPr>
      <w:r>
        <w:rPr>
          <w:rFonts w:ascii="Arial" w:cs="Arial" w:eastAsia="Arial" w:hAnsi="Arial"/>
          <w:sz w:val="18"/>
          <w:szCs w:val="18"/>
          <w:color w:val="auto"/>
        </w:rPr>
        <w:t>obtaining approval at each clinical trial site by an independent IRB;</w:t>
      </w:r>
    </w:p>
    <w:p>
      <w:pPr>
        <w:spacing w:after="0" w:line="111" w:lineRule="exact"/>
        <w:rPr>
          <w:rFonts w:ascii="Arial" w:cs="Arial" w:eastAsia="Arial" w:hAnsi="Arial"/>
          <w:sz w:val="22"/>
          <w:szCs w:val="22"/>
          <w:color w:val="auto"/>
        </w:rPr>
      </w:pPr>
    </w:p>
    <w:p>
      <w:pPr>
        <w:ind w:left="1140" w:hanging="484"/>
        <w:spacing w:after="0"/>
        <w:tabs>
          <w:tab w:leader="none" w:pos="1140" w:val="left"/>
        </w:tabs>
        <w:numPr>
          <w:ilvl w:val="0"/>
          <w:numId w:val="43"/>
        </w:numPr>
        <w:rPr>
          <w:rFonts w:ascii="Arial" w:cs="Arial" w:eastAsia="Arial" w:hAnsi="Arial"/>
          <w:sz w:val="22"/>
          <w:szCs w:val="22"/>
          <w:color w:val="auto"/>
        </w:rPr>
      </w:pPr>
      <w:r>
        <w:rPr>
          <w:rFonts w:ascii="Arial" w:cs="Arial" w:eastAsia="Arial" w:hAnsi="Arial"/>
          <w:sz w:val="18"/>
          <w:szCs w:val="18"/>
          <w:color w:val="auto"/>
        </w:rPr>
        <w:t>obtaining regulatory and other approvals to modify the conduct of a clinical trial;</w:t>
      </w:r>
    </w:p>
    <w:p>
      <w:pPr>
        <w:spacing w:after="0" w:line="228" w:lineRule="exact"/>
        <w:rPr>
          <w:rFonts w:ascii="Arial" w:cs="Arial" w:eastAsia="Arial" w:hAnsi="Arial"/>
          <w:sz w:val="22"/>
          <w:szCs w:val="22"/>
          <w:color w:val="auto"/>
        </w:rPr>
      </w:pPr>
    </w:p>
    <w:p>
      <w:pPr>
        <w:ind w:left="1140" w:hanging="484"/>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157" w:lineRule="exact"/>
        <w:rPr>
          <w:rFonts w:ascii="Arial" w:cs="Arial" w:eastAsia="Arial" w:hAnsi="Arial"/>
          <w:sz w:val="18"/>
          <w:szCs w:val="18"/>
          <w:color w:val="auto"/>
        </w:rPr>
      </w:pPr>
    </w:p>
    <w:p>
      <w:pPr>
        <w:ind w:left="1140" w:right="100" w:hanging="484"/>
        <w:spacing w:after="0" w:line="232" w:lineRule="auto"/>
        <w:tabs>
          <w:tab w:leader="none" w:pos="1135" w:val="left"/>
        </w:tabs>
        <w:numPr>
          <w:ilvl w:val="0"/>
          <w:numId w:val="43"/>
        </w:numPr>
        <w:rPr>
          <w:rFonts w:ascii="Arial" w:cs="Arial" w:eastAsia="Arial" w:hAnsi="Arial"/>
          <w:sz w:val="22"/>
          <w:szCs w:val="22"/>
          <w:color w:val="auto"/>
        </w:rPr>
      </w:pPr>
      <w:r>
        <w:rPr>
          <w:rFonts w:ascii="Arial" w:cs="Arial" w:eastAsia="Arial" w:hAnsi="Arial"/>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13" w:lineRule="exact"/>
        <w:rPr>
          <w:rFonts w:ascii="Arial" w:cs="Arial" w:eastAsia="Arial" w:hAnsi="Arial"/>
          <w:sz w:val="22"/>
          <w:szCs w:val="22"/>
          <w:color w:val="auto"/>
        </w:rPr>
      </w:pPr>
    </w:p>
    <w:p>
      <w:pPr>
        <w:ind w:left="1140" w:hanging="484"/>
        <w:spacing w:after="0"/>
        <w:tabs>
          <w:tab w:leader="none" w:pos="1140" w:val="left"/>
        </w:tabs>
        <w:numPr>
          <w:ilvl w:val="0"/>
          <w:numId w:val="43"/>
        </w:numPr>
        <w:rPr>
          <w:rFonts w:ascii="Arial" w:cs="Arial" w:eastAsia="Arial" w:hAnsi="Arial"/>
          <w:sz w:val="22"/>
          <w:szCs w:val="22"/>
          <w:color w:val="auto"/>
        </w:rPr>
      </w:pPr>
      <w:r>
        <w:rPr>
          <w:rFonts w:ascii="Arial" w:cs="Arial" w:eastAsia="Arial" w:hAnsi="Arial"/>
          <w:sz w:val="18"/>
          <w:szCs w:val="18"/>
          <w:color w:val="auto"/>
        </w:rPr>
        <w:t>clinical trial sites deviating from trial protocol or dropping out of a trial;</w:t>
      </w:r>
    </w:p>
    <w:p>
      <w:pPr>
        <w:spacing w:after="0" w:line="111" w:lineRule="exact"/>
        <w:rPr>
          <w:rFonts w:ascii="Arial" w:cs="Arial" w:eastAsia="Arial" w:hAnsi="Arial"/>
          <w:sz w:val="22"/>
          <w:szCs w:val="22"/>
          <w:color w:val="auto"/>
        </w:rPr>
      </w:pPr>
    </w:p>
    <w:p>
      <w:pPr>
        <w:ind w:left="1140" w:hanging="484"/>
        <w:spacing w:after="0"/>
        <w:tabs>
          <w:tab w:leader="none" w:pos="1140" w:val="left"/>
        </w:tabs>
        <w:numPr>
          <w:ilvl w:val="0"/>
          <w:numId w:val="43"/>
        </w:numPr>
        <w:rPr>
          <w:rFonts w:ascii="Arial" w:cs="Arial" w:eastAsia="Arial" w:hAnsi="Arial"/>
          <w:sz w:val="22"/>
          <w:szCs w:val="22"/>
          <w:color w:val="auto"/>
        </w:rPr>
      </w:pPr>
      <w:r>
        <w:rPr>
          <w:rFonts w:ascii="Arial" w:cs="Arial" w:eastAsia="Arial" w:hAnsi="Arial"/>
          <w:sz w:val="18"/>
          <w:szCs w:val="18"/>
          <w:color w:val="auto"/>
        </w:rPr>
        <w:t>addressing any patient safety concerns that arise during the course of a trial;</w:t>
      </w:r>
    </w:p>
    <w:p>
      <w:pPr>
        <w:spacing w:after="0" w:line="111" w:lineRule="exact"/>
        <w:rPr>
          <w:rFonts w:ascii="Arial" w:cs="Arial" w:eastAsia="Arial" w:hAnsi="Arial"/>
          <w:sz w:val="22"/>
          <w:szCs w:val="22"/>
          <w:color w:val="auto"/>
        </w:rPr>
      </w:pPr>
    </w:p>
    <w:p>
      <w:pPr>
        <w:ind w:left="1140" w:hanging="484"/>
        <w:spacing w:after="0"/>
        <w:tabs>
          <w:tab w:leader="none" w:pos="1140" w:val="left"/>
        </w:tabs>
        <w:numPr>
          <w:ilvl w:val="0"/>
          <w:numId w:val="43"/>
        </w:numPr>
        <w:rPr>
          <w:rFonts w:ascii="Arial" w:cs="Arial" w:eastAsia="Arial" w:hAnsi="Arial"/>
          <w:sz w:val="22"/>
          <w:szCs w:val="22"/>
          <w:color w:val="auto"/>
        </w:rPr>
      </w:pPr>
      <w:r>
        <w:rPr>
          <w:rFonts w:ascii="Arial" w:cs="Arial" w:eastAsia="Arial" w:hAnsi="Arial"/>
          <w:sz w:val="18"/>
          <w:szCs w:val="18"/>
          <w:color w:val="auto"/>
        </w:rPr>
        <w:t>adding new clinical trial sites; or</w:t>
      </w:r>
    </w:p>
    <w:p>
      <w:pPr>
        <w:spacing w:after="0" w:line="134" w:lineRule="exact"/>
        <w:rPr>
          <w:rFonts w:ascii="Arial" w:cs="Arial" w:eastAsia="Arial" w:hAnsi="Arial"/>
          <w:sz w:val="22"/>
          <w:szCs w:val="22"/>
          <w:color w:val="auto"/>
        </w:rPr>
      </w:pPr>
    </w:p>
    <w:p>
      <w:pPr>
        <w:ind w:left="1140" w:right="40" w:hanging="484"/>
        <w:spacing w:after="0" w:line="232" w:lineRule="auto"/>
        <w:tabs>
          <w:tab w:leader="none" w:pos="1135" w:val="left"/>
        </w:tabs>
        <w:numPr>
          <w:ilvl w:val="0"/>
          <w:numId w:val="43"/>
        </w:numPr>
        <w:rPr>
          <w:rFonts w:ascii="Arial" w:cs="Arial" w:eastAsia="Arial" w:hAnsi="Arial"/>
          <w:sz w:val="22"/>
          <w:szCs w:val="22"/>
          <w:color w:val="auto"/>
        </w:rPr>
      </w:pPr>
      <w:r>
        <w:rPr>
          <w:rFonts w:ascii="Arial" w:cs="Arial" w:eastAsia="Arial" w:hAnsi="Arial"/>
          <w:sz w:val="18"/>
          <w:szCs w:val="18"/>
          <w:color w:val="auto"/>
        </w:rPr>
        <w:t>manufacturing sufficient quantities of qualified materials under cGMPs, releasing product in accordance with specifications, and delivering product candidates for use in clinical trials.</w:t>
      </w:r>
    </w:p>
    <w:p>
      <w:pPr>
        <w:spacing w:after="0" w:line="20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could also encounter future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The FDA’s review of our data of our clinical trials may, depending on the data, also result in the delay, suspension or termination of one or more of our clinical trials, which would also delay or prevent the initiation of our other planned clinical trials.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Many of the factors that cause, or lead to, a delay in the commencement or completion of clinical trials may ultimately lead to the denial of regulatory approval of our product candidates.</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7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Because we are developing novel CAR T cell immunotherapy product candidates that are unique biological entities, the regulatory requirements that we will be subject to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For example, in the United States, the FDA has established the Office of Tissues and Advanced Therapies (OTAT), formerly known as the Office of Cellular, Tissue and Gene Therapies (OCTGT),</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within its Center for Biologics Evaluation and Research (CBER) to consolidate the review of gene therapy and related products, and the Cellular, Tissue and Gene Therapies Advisory Committee to advise CBER on its review. Gene therapy clinical trials are also subject to review and oversight by an institutional biosafety committee (IBC), a local institutional committee that reviews and oversees basic and clinical research conducted at the institution participating in the clinical trial. Although the FDA decides whether individual gene therapy protocols may proceed,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each clinical trial must be reviewed and approved by an independent IRB at or servicing each institution at which a clinical trial will be conducted. In addition, adverse developments in clinical trials of gene therapy products conducted by others may cause the FDA or other regulatory bodies to change the requirements for approval of any of our product candidates.</w:t>
      </w:r>
    </w:p>
    <w:p>
      <w:pPr>
        <w:spacing w:after="0" w:line="18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Complex regulatory environments exist in other jurisdictions in which we might consider seeking regulatory approvals for our product candidates, further complicating the regulatory landscape. For example, in the EU a special committee called the Committee for Advanced Therapies (CAT) was established within the EMA in accordance with Regulation (EC) No 1394/2007 on advanced-therapy medicinal products (ATMPs) to assess the quality, safety and efficacy of ATMPs, and to follow scientific developments in the field. ATMPs include gene therapy products as well as somatic cell therapy products and tissue engineered products. In this regard, on May 28, 2014, the EMA issued a recommendation that UCART19 be considered a gene therapy product under Regulation (EC) No 1394/2007 on ATMPs. We believe our other product candidates may receive a similar recommendation.</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Because the regulatory landscape for our CAR T 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19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Delay or failure to obtain, or unexpected costs in obtaining, the regulatory approval necessary to bring a potential product to market could decrease our ability to generate sufficient product revenue to maintain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may disagree with our regulatory plan and we may fail to obtain regulatory approval of our CAR T cell product candidates.</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If and when our Phase 1 clinical trials are completed and, assuming positive data, we expect to advance to potential registrational trials. The general approach for FDA approval of a new biologic or drug is for the sponsor to provide dispositive data from two well-controlled, Phase 3 clinical studies of the relevant biologic or drug in the relevant patient population. Phase 3 clinical studies typically involve hundreds of patients, have significant costs and take years to complete. We expect registrational trials for ALLO-501A and any other allogeneic CAR T product candidates to be designed to evaluate the efficacy of the product candidate in a pivotal, multicenter clinical trial in patients who have exhausted available treatment options. If the results are sufficiently compelling, we intend to discuss with the FDA submission of a BLA for the relevant product candidate. However, we do not have any agreement or guidance from the FDA that our regulatory development plans will be sufficient for advancing to a Phase 2 trial of ALLO-501A or submitting a BLA. For example, the FDA may require that we conduct a comparative trial against an approved therapy including potentially an approved autologous T cell therapy, which would significantly delay our development timelines and require substantially more resources. In addition, the FDA may only allow us to evaluate patients that have failed or who are ineligible for autologous therapy, which are extremely difficult patients to treat and patients with advanced and aggressive cancer, and our product candidates may fail to improve outcomes for such patients.</w:t>
      </w:r>
    </w:p>
    <w:p>
      <w:pPr>
        <w:spacing w:after="0" w:line="17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Given the molecular similarities between ALLO-501 and ALLO-501A, we may have additional difficulties progressing any clinical trial of ALLO-501A, if data from the clinical trial of ALLO-501 have safety or other issues.</w:t>
      </w:r>
    </w:p>
    <w:p>
      <w:pPr>
        <w:spacing w:after="0" w:line="170" w:lineRule="exact"/>
        <w:rPr>
          <w:sz w:val="20"/>
          <w:szCs w:val="20"/>
          <w:color w:val="auto"/>
        </w:rPr>
      </w:pPr>
    </w:p>
    <w:p>
      <w:pPr>
        <w:jc w:val="both"/>
        <w:ind w:right="100" w:firstLine="648"/>
        <w:spacing w:after="0" w:line="293" w:lineRule="auto"/>
        <w:rPr>
          <w:sz w:val="20"/>
          <w:szCs w:val="20"/>
          <w:color w:val="auto"/>
        </w:rPr>
      </w:pPr>
      <w:r>
        <w:rPr>
          <w:rFonts w:ascii="Arial" w:cs="Arial" w:eastAsia="Arial" w:hAnsi="Arial"/>
          <w:sz w:val="16"/>
          <w:szCs w:val="16"/>
          <w:color w:val="auto"/>
        </w:rPr>
        <w:t>The FDA may grant accelerated approval for our product candidates and, as a condition for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our accelerated approval strategy is warranted given the limited alternatives for patients with R/R cancers, but the FDA may ultimately require a Phase 3 clinical trial prior to approval, particularly since our product candidates represent a novel treatment. In addition, the standard of care may change with the approval of new products in the same indications that we are studying.</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This may result in the FDA or other regulatory agencies requesting additional studies to show that our product candidate is superior to the new products.</w:t>
      </w:r>
    </w:p>
    <w:p>
      <w:pPr>
        <w:spacing w:after="0" w:line="24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clinical trial results may also not support approval. In addition, our product candidates could fail to receive regulatory approval for many reasons, including the following:</w:t>
      </w:r>
    </w:p>
    <w:p>
      <w:pPr>
        <w:spacing w:after="0" w:line="53" w:lineRule="exact"/>
        <w:rPr>
          <w:sz w:val="20"/>
          <w:szCs w:val="20"/>
          <w:color w:val="auto"/>
        </w:rPr>
      </w:pPr>
    </w:p>
    <w:p>
      <w:pPr>
        <w:ind w:left="1140" w:hanging="484"/>
        <w:spacing w:after="0"/>
        <w:tabs>
          <w:tab w:leader="none" w:pos="1140" w:val="left"/>
        </w:tabs>
        <w:numPr>
          <w:ilvl w:val="0"/>
          <w:numId w:val="44"/>
        </w:numPr>
        <w:rPr>
          <w:rFonts w:ascii="Arial" w:cs="Arial" w:eastAsia="Arial" w:hAnsi="Arial"/>
          <w:sz w:val="22"/>
          <w:szCs w:val="22"/>
          <w:color w:val="auto"/>
        </w:rPr>
      </w:pPr>
      <w:r>
        <w:rPr>
          <w:rFonts w:ascii="Arial" w:cs="Arial" w:eastAsia="Arial" w:hAnsi="Arial"/>
          <w:sz w:val="18"/>
          <w:szCs w:val="18"/>
          <w:color w:val="auto"/>
        </w:rPr>
        <w:t>the inability to resolve any future clinical hold;</w:t>
      </w:r>
    </w:p>
    <w:p>
      <w:pPr>
        <w:spacing w:after="0" w:line="71" w:lineRule="exact"/>
        <w:rPr>
          <w:rFonts w:ascii="Arial" w:cs="Arial" w:eastAsia="Arial" w:hAnsi="Arial"/>
          <w:sz w:val="22"/>
          <w:szCs w:val="22"/>
          <w:color w:val="auto"/>
        </w:rPr>
      </w:pPr>
    </w:p>
    <w:p>
      <w:pPr>
        <w:ind w:left="1140" w:hanging="484"/>
        <w:spacing w:after="0"/>
        <w:tabs>
          <w:tab w:leader="none" w:pos="1140" w:val="left"/>
        </w:tabs>
        <w:numPr>
          <w:ilvl w:val="0"/>
          <w:numId w:val="44"/>
        </w:numPr>
        <w:rPr>
          <w:rFonts w:ascii="Arial" w:cs="Arial" w:eastAsia="Arial" w:hAnsi="Arial"/>
          <w:sz w:val="22"/>
          <w:szCs w:val="22"/>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3" w:lineRule="exact"/>
        <w:rPr>
          <w:rFonts w:ascii="Arial" w:cs="Arial" w:eastAsia="Arial" w:hAnsi="Arial"/>
          <w:sz w:val="22"/>
          <w:szCs w:val="22"/>
          <w:color w:val="auto"/>
        </w:rPr>
      </w:pPr>
    </w:p>
    <w:p>
      <w:pPr>
        <w:ind w:left="1140" w:right="20" w:hanging="484"/>
        <w:spacing w:after="0" w:line="218" w:lineRule="auto"/>
        <w:tabs>
          <w:tab w:leader="none" w:pos="1135" w:val="left"/>
        </w:tabs>
        <w:numPr>
          <w:ilvl w:val="0"/>
          <w:numId w:val="44"/>
        </w:numPr>
        <w:rPr>
          <w:rFonts w:ascii="Arial" w:cs="Arial" w:eastAsia="Arial" w:hAnsi="Arial"/>
          <w:sz w:val="22"/>
          <w:szCs w:val="22"/>
          <w:color w:val="auto"/>
        </w:rPr>
      </w:pPr>
      <w:r>
        <w:rPr>
          <w:rFonts w:ascii="Arial" w:cs="Arial" w:eastAsia="Arial" w:hAnsi="Arial"/>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81" w:lineRule="exact"/>
        <w:rPr>
          <w:rFonts w:ascii="Arial" w:cs="Arial" w:eastAsia="Arial" w:hAnsi="Arial"/>
          <w:sz w:val="22"/>
          <w:szCs w:val="22"/>
          <w:color w:val="auto"/>
        </w:rPr>
      </w:pPr>
    </w:p>
    <w:p>
      <w:pPr>
        <w:ind w:left="1140" w:right="720" w:hanging="484"/>
        <w:spacing w:after="0" w:line="218" w:lineRule="auto"/>
        <w:tabs>
          <w:tab w:leader="none" w:pos="1135" w:val="left"/>
        </w:tabs>
        <w:numPr>
          <w:ilvl w:val="0"/>
          <w:numId w:val="44"/>
        </w:numPr>
        <w:rPr>
          <w:rFonts w:ascii="Arial" w:cs="Arial" w:eastAsia="Arial" w:hAnsi="Arial"/>
          <w:sz w:val="22"/>
          <w:szCs w:val="22"/>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 including due to the heterogeneity of patient populations;</w:t>
      </w:r>
    </w:p>
    <w:p>
      <w:pPr>
        <w:spacing w:after="0" w:line="59" w:lineRule="exact"/>
        <w:rPr>
          <w:rFonts w:ascii="Arial" w:cs="Arial" w:eastAsia="Arial" w:hAnsi="Arial"/>
          <w:sz w:val="22"/>
          <w:szCs w:val="22"/>
          <w:color w:val="auto"/>
        </w:rPr>
      </w:pPr>
    </w:p>
    <w:p>
      <w:pPr>
        <w:ind w:left="1140" w:hanging="484"/>
        <w:spacing w:after="0"/>
        <w:tabs>
          <w:tab w:leader="none" w:pos="1140" w:val="left"/>
        </w:tabs>
        <w:numPr>
          <w:ilvl w:val="0"/>
          <w:numId w:val="44"/>
        </w:numPr>
        <w:rPr>
          <w:rFonts w:ascii="Arial" w:cs="Arial" w:eastAsia="Arial" w:hAnsi="Arial"/>
          <w:sz w:val="22"/>
          <w:szCs w:val="22"/>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93" w:lineRule="exact"/>
        <w:rPr>
          <w:rFonts w:ascii="Arial" w:cs="Arial" w:eastAsia="Arial" w:hAnsi="Arial"/>
          <w:sz w:val="22"/>
          <w:szCs w:val="22"/>
          <w:color w:val="auto"/>
        </w:rPr>
      </w:pPr>
    </w:p>
    <w:p>
      <w:pPr>
        <w:ind w:left="1140" w:hanging="484"/>
        <w:spacing w:after="0"/>
        <w:tabs>
          <w:tab w:leader="none" w:pos="1140" w:val="left"/>
        </w:tabs>
        <w:numPr>
          <w:ilvl w:val="0"/>
          <w:numId w:val="44"/>
        </w:numPr>
        <w:rPr>
          <w:rFonts w:ascii="Arial" w:cs="Arial" w:eastAsia="Arial" w:hAnsi="Arial"/>
          <w:sz w:val="19"/>
          <w:szCs w:val="19"/>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05" w:lineRule="exact"/>
        <w:rPr>
          <w:rFonts w:ascii="Arial" w:cs="Arial" w:eastAsia="Arial" w:hAnsi="Arial"/>
          <w:sz w:val="19"/>
          <w:szCs w:val="19"/>
          <w:color w:val="auto"/>
        </w:rPr>
      </w:pPr>
    </w:p>
    <w:p>
      <w:pPr>
        <w:jc w:val="both"/>
        <w:ind w:left="1140" w:right="200" w:hanging="484"/>
        <w:spacing w:after="0" w:line="214" w:lineRule="auto"/>
        <w:tabs>
          <w:tab w:leader="none" w:pos="1135" w:val="left"/>
        </w:tabs>
        <w:numPr>
          <w:ilvl w:val="0"/>
          <w:numId w:val="44"/>
        </w:numPr>
        <w:rPr>
          <w:rFonts w:ascii="Arial" w:cs="Arial" w:eastAsia="Arial" w:hAnsi="Arial"/>
          <w:sz w:val="22"/>
          <w:szCs w:val="22"/>
          <w:color w:val="auto"/>
        </w:rPr>
      </w:pPr>
      <w:r>
        <w:rPr>
          <w:rFonts w:ascii="Arial" w:cs="Arial" w:eastAsia="Arial" w:hAnsi="Arial"/>
          <w:sz w:val="18"/>
          <w:szCs w:val="18"/>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80" w:lineRule="exact"/>
        <w:rPr>
          <w:rFonts w:ascii="Arial" w:cs="Arial" w:eastAsia="Arial" w:hAnsi="Arial"/>
          <w:sz w:val="22"/>
          <w:szCs w:val="22"/>
          <w:color w:val="auto"/>
        </w:rPr>
      </w:pPr>
    </w:p>
    <w:p>
      <w:pPr>
        <w:ind w:left="1140" w:right="300" w:hanging="484"/>
        <w:spacing w:after="0" w:line="218" w:lineRule="auto"/>
        <w:tabs>
          <w:tab w:leader="none" w:pos="1135" w:val="left"/>
        </w:tabs>
        <w:numPr>
          <w:ilvl w:val="0"/>
          <w:numId w:val="44"/>
        </w:numPr>
        <w:rPr>
          <w:rFonts w:ascii="Arial" w:cs="Arial" w:eastAsia="Arial" w:hAnsi="Arial"/>
          <w:sz w:val="22"/>
          <w:szCs w:val="22"/>
          <w:color w:val="auto"/>
        </w:rPr>
      </w:pPr>
      <w:r>
        <w:rPr>
          <w:rFonts w:ascii="Arial" w:cs="Arial" w:eastAsia="Arial" w:hAnsi="Arial"/>
          <w:sz w:val="18"/>
          <w:szCs w:val="18"/>
          <w:color w:val="auto"/>
        </w:rPr>
        <w:t>the FDA or comparable foreign regulatory authorities will review our manufacturing process and inspect our commercial manufacturing facility and may not approve our manufacturing process or facility; and</w:t>
      </w:r>
    </w:p>
    <w:p>
      <w:pPr>
        <w:spacing w:after="0" w:line="81" w:lineRule="exact"/>
        <w:rPr>
          <w:rFonts w:ascii="Arial" w:cs="Arial" w:eastAsia="Arial" w:hAnsi="Arial"/>
          <w:sz w:val="22"/>
          <w:szCs w:val="22"/>
          <w:color w:val="auto"/>
        </w:rPr>
      </w:pPr>
    </w:p>
    <w:p>
      <w:pPr>
        <w:ind w:left="1140" w:right="720" w:hanging="484"/>
        <w:spacing w:after="0" w:line="218" w:lineRule="auto"/>
        <w:tabs>
          <w:tab w:leader="none" w:pos="1135" w:val="left"/>
        </w:tabs>
        <w:numPr>
          <w:ilvl w:val="0"/>
          <w:numId w:val="44"/>
        </w:numPr>
        <w:rPr>
          <w:rFonts w:ascii="Arial" w:cs="Arial" w:eastAsia="Arial" w:hAnsi="Arial"/>
          <w:sz w:val="22"/>
          <w:szCs w:val="22"/>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 unable to obtain regulatory approval for ALLO-647 in a timely manner or at all, which could delay any approval or commercialization of our allogeneic T cell product candidates.</w:t>
      </w:r>
    </w:p>
    <w:p>
      <w:pPr>
        <w:spacing w:after="0" w:line="6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As we are concurrently developing ALLO-647 to be used as part of the lymphodepletion regimen for our allogeneic CAR T cell product candidates, mapping a co-development path for dual approval of ALLO-647 and any of our CAR T cell product candidates and coordinating concurrent review with different divisions of the FDA create additional regulatory uncertainty for us and may delay the development of our product candidates. We expect the Center for Drug Evaluation and Research division of the FDA to exercise authority over the regulatory approval of ALLO-647 while the CBER division will oversee the regulatory approval of our allogeneic CAR T cell product candidates.</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we expect regulatory authorities will require us to demonstrate the safety of ALLO-647 and its contribution to the overall benefit to risk ratio of the lymphodepletion regimen through a randomized study with a cohort of patients that do not receive ALLO-647. If we are unable to meet any of the requirements of the regulatory authorities, we may be required to conduct additional clinical studies. We cannot be certain we will be able to successfully obtain regulatory approval of ALLO-647 in a timely manner or at all. Any delays to ALLO-647 approval could delay any approval or commercialization of our allogeneic CAR T cell product candidates.</w:t>
      </w:r>
    </w:p>
    <w:p>
      <w:pPr>
        <w:spacing w:after="0" w:line="18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Regenerative Medicine Advanced Therapy designation and Fast Track designation may not lead to a faster development or regulatory review or approval process and it does not increase the likelihood that our product candidates will receive marketing approval.</w:t>
      </w:r>
    </w:p>
    <w:p>
      <w:pPr>
        <w:spacing w:after="0" w:line="16"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We have received Regenerative Medicine Advanced Therapy (RMAT) designation for ALLO-715 and fast track designation (FTD) for ALLO-501A and ALLO-605. There is no assurance that we will be able to obtain RMAT designation or FTD for any of our additional product candidates. RMAT designation and FTD do not change the FDA’s standards for product approval, and there is no assurance that such designation will result in expedited review or approval or that the approved indication will not be narrower than the indication covered by the designation. Additionally, RMAT designation and FTD can be revoked if the criteria for eligibility cease to be met as clinical data emerges.</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plan to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In order to obtain orphan drug designation, the request must be made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 product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 same biologic (meaning, a product with the same principal molecular structural features)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we are unable to manufacture sufficient supply of our product or if a subsequent applicant demonstrates clinical superiority over our product.</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plan to seek orphan drug designation for some or all of our product candidates in specific orphan indications in which there is a medically plausible basis for the use of these products. Some of our product candidates target indications that are not orphan indications. In addition,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or if a subsequent applicant demonstrates clinical superiority over our products, if approved. In addition, although we may seek orphan drug designation for other product candidates, we may never receive such designations.</w:t>
      </w:r>
    </w:p>
    <w:p>
      <w:pPr>
        <w:spacing w:after="0" w:line="195"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Negative public opinion and increased regulatory scrutiny of genetic research and therapies involving gene editing may damage public perception of our product candidates or adversely affect our ability to conduct our business or obtain regulatory approvals for our product candidates.</w:t>
      </w:r>
    </w:p>
    <w:p>
      <w:pPr>
        <w:spacing w:after="0" w:line="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gene-editing technologies that we use are novel. Public perception may be influenced by claims that gene editing is unsafe, and products incorporating gene editing may not gain the acceptance of the public or the medical community. Given the previous clinical hold involved a chromosomal abnormality, our manufacturing or gene editing may be further scrutinized or may be viewed as unsafe, even though our investigation found that the abnormality was not related to our manufacturing or gene editing. In particular, our success will depend upon physicians specializing in our targeted diseases prescribing our product candidates as treatments in lieu of, or in addition to, existing, more familiar, treatments for which greater clinical data may be available. Any increase in negative perceptions of gene editing may result in fewer physicians prescribing our treatments or may reduce the willingness of patients to utilize our treatments or participate in clinical trials for our product candidates.</w:t>
      </w:r>
    </w:p>
    <w:p>
      <w:pPr>
        <w:spacing w:after="0" w:line="177"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In addition, given the novel nature of gene-editing and cell therapy technologies, governments may place import, export or other restrictions in order to retain control or limit the use of the technologies. For instance, any limits on exporting certain of our technology to China may adversely affect Allogene Overland Biopharm (CY) Limited (Allogene Overland), a joint venture established by us and Overland Pharmaceuticals (CY) Inc. Increased negative public opinion or more restrictive government regulations either in the United States or internationally, would have a negative effect on our business or financial condition and may delay or impair the development and commercialization of our product candidates or demand for such product candidates.</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expect the product candidates we develop will be regulated as biological products, or biologics, and therefore they may be subject to competition sooner than anticipated.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Biologics Price Competition and Innovation Act of 2009 (BPCIA) was enacted as part of the Patient Protection and Affordable Care Act, as</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amended by the Health Care and Education Reconciliation Act of 2010 (collectively, the Affordable Care Act) to establish an abbreviated pathway for the approval of biosimilar and interchangeable biological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and could have a material adverse effect on the future commercial prospects for our biological products.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use of engineered T cells as a potential cancer treatment is a recent development and may not become broadly accepted by physicians,</w:t>
      </w:r>
    </w:p>
    <w:p>
      <w:pPr>
        <w:spacing w:after="0" w:line="7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patients, hospitals, cancer treatment centers and others in the medical community. We expect physicians in the large bone marrow transplant centers to be particularly important to the market acceptance of our products and we may not be able to educate them on the benefits of using our product candidates for many reasons. For example, certain of the product candidates that we will be developing target a cell surface marker that may be present on cancer cells as well as non-cancerous cells. It is possible that our product candidates may kill these non-cancerous cells, which may result in unacceptable side effects, including death. Additional factors will influence whether our product candidates are accepted in the market, including:</w:t>
      </w:r>
    </w:p>
    <w:p>
      <w:pPr>
        <w:spacing w:after="0" w:line="44" w:lineRule="exact"/>
        <w:rPr>
          <w:sz w:val="20"/>
          <w:szCs w:val="20"/>
          <w:color w:val="auto"/>
        </w:rPr>
      </w:pPr>
    </w:p>
    <w:p>
      <w:pPr>
        <w:ind w:left="1140" w:hanging="484"/>
        <w:spacing w:after="0"/>
        <w:tabs>
          <w:tab w:leader="none" w:pos="11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the clinical indications for which our product candidates are approved;</w:t>
      </w:r>
    </w:p>
    <w:p>
      <w:pPr>
        <w:spacing w:after="0" w:line="82" w:lineRule="exact"/>
        <w:rPr>
          <w:rFonts w:ascii="Arial" w:cs="Arial" w:eastAsia="Arial" w:hAnsi="Arial"/>
          <w:sz w:val="22"/>
          <w:szCs w:val="22"/>
          <w:color w:val="auto"/>
        </w:rPr>
      </w:pPr>
    </w:p>
    <w:p>
      <w:pPr>
        <w:ind w:left="1140" w:hanging="484"/>
        <w:spacing w:after="0"/>
        <w:tabs>
          <w:tab w:leader="none" w:pos="1140" w:val="left"/>
        </w:tabs>
        <w:numPr>
          <w:ilvl w:val="0"/>
          <w:numId w:val="45"/>
        </w:numPr>
        <w:rPr>
          <w:rFonts w:ascii="Arial" w:cs="Arial" w:eastAsia="Arial" w:hAnsi="Arial"/>
          <w:sz w:val="21"/>
          <w:szCs w:val="21"/>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71" w:lineRule="exact"/>
        <w:rPr>
          <w:rFonts w:ascii="Arial" w:cs="Arial" w:eastAsia="Arial" w:hAnsi="Arial"/>
          <w:sz w:val="21"/>
          <w:szCs w:val="21"/>
          <w:color w:val="auto"/>
        </w:rPr>
      </w:pPr>
    </w:p>
    <w:p>
      <w:pPr>
        <w:ind w:left="1140" w:hanging="484"/>
        <w:spacing w:after="0"/>
        <w:tabs>
          <w:tab w:leader="none" w:pos="11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the potential and perceived advantages of our product candidates over alternative treatments;</w:t>
      </w:r>
    </w:p>
    <w:p>
      <w:pPr>
        <w:spacing w:after="0" w:line="71" w:lineRule="exact"/>
        <w:rPr>
          <w:rFonts w:ascii="Arial" w:cs="Arial" w:eastAsia="Arial" w:hAnsi="Arial"/>
          <w:sz w:val="22"/>
          <w:szCs w:val="22"/>
          <w:color w:val="auto"/>
        </w:rPr>
      </w:pPr>
    </w:p>
    <w:p>
      <w:pPr>
        <w:ind w:left="1140" w:hanging="484"/>
        <w:spacing w:after="0"/>
        <w:tabs>
          <w:tab w:leader="none" w:pos="11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the prevalence and severity of any side effects;</w:t>
      </w:r>
    </w:p>
    <w:p>
      <w:pPr>
        <w:spacing w:after="0" w:line="71" w:lineRule="exact"/>
        <w:rPr>
          <w:rFonts w:ascii="Arial" w:cs="Arial" w:eastAsia="Arial" w:hAnsi="Arial"/>
          <w:sz w:val="22"/>
          <w:szCs w:val="22"/>
          <w:color w:val="auto"/>
        </w:rPr>
      </w:pPr>
    </w:p>
    <w:p>
      <w:pPr>
        <w:ind w:left="1140" w:hanging="484"/>
        <w:spacing w:after="0"/>
        <w:tabs>
          <w:tab w:leader="none" w:pos="11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product labeling or product insert requirements of the FDA or other regulatory authorities;</w:t>
      </w:r>
    </w:p>
    <w:p>
      <w:pPr>
        <w:spacing w:after="0" w:line="71" w:lineRule="exact"/>
        <w:rPr>
          <w:rFonts w:ascii="Arial" w:cs="Arial" w:eastAsia="Arial" w:hAnsi="Arial"/>
          <w:sz w:val="22"/>
          <w:szCs w:val="22"/>
          <w:color w:val="auto"/>
        </w:rPr>
      </w:pPr>
    </w:p>
    <w:p>
      <w:pPr>
        <w:ind w:left="1140" w:hanging="484"/>
        <w:spacing w:after="0"/>
        <w:tabs>
          <w:tab w:leader="none" w:pos="11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limitations or warnings contained in the labeling approved by the FDA;</w:t>
      </w:r>
    </w:p>
    <w:p>
      <w:pPr>
        <w:spacing w:after="0" w:line="71" w:lineRule="exact"/>
        <w:rPr>
          <w:rFonts w:ascii="Arial" w:cs="Arial" w:eastAsia="Arial" w:hAnsi="Arial"/>
          <w:sz w:val="22"/>
          <w:szCs w:val="22"/>
          <w:color w:val="auto"/>
        </w:rPr>
      </w:pPr>
    </w:p>
    <w:p>
      <w:pPr>
        <w:ind w:left="1140" w:hanging="484"/>
        <w:spacing w:after="0"/>
        <w:tabs>
          <w:tab w:leader="none" w:pos="11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the timing of market introduction of our product candidates as well as competitive products;</w:t>
      </w:r>
    </w:p>
    <w:p>
      <w:pPr>
        <w:spacing w:after="0" w:line="71" w:lineRule="exact"/>
        <w:rPr>
          <w:rFonts w:ascii="Arial" w:cs="Arial" w:eastAsia="Arial" w:hAnsi="Arial"/>
          <w:sz w:val="22"/>
          <w:szCs w:val="22"/>
          <w:color w:val="auto"/>
        </w:rPr>
      </w:pPr>
    </w:p>
    <w:p>
      <w:pPr>
        <w:ind w:left="1140" w:hanging="484"/>
        <w:spacing w:after="0"/>
        <w:tabs>
          <w:tab w:leader="none" w:pos="11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the cost of treatment in relation to alternative treatments;</w:t>
      </w:r>
    </w:p>
    <w:p>
      <w:pPr>
        <w:spacing w:after="0" w:line="71" w:lineRule="exact"/>
        <w:rPr>
          <w:rFonts w:ascii="Arial" w:cs="Arial" w:eastAsia="Arial" w:hAnsi="Arial"/>
          <w:sz w:val="22"/>
          <w:szCs w:val="22"/>
          <w:color w:val="auto"/>
        </w:rPr>
      </w:pPr>
    </w:p>
    <w:p>
      <w:pPr>
        <w:ind w:left="1140" w:hanging="484"/>
        <w:spacing w:after="0"/>
        <w:tabs>
          <w:tab w:leader="none" w:pos="11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93" w:lineRule="exact"/>
        <w:rPr>
          <w:rFonts w:ascii="Arial" w:cs="Arial" w:eastAsia="Arial" w:hAnsi="Arial"/>
          <w:sz w:val="22"/>
          <w:szCs w:val="22"/>
          <w:color w:val="auto"/>
        </w:rPr>
      </w:pPr>
    </w:p>
    <w:p>
      <w:pPr>
        <w:ind w:left="1140" w:right="740" w:hanging="484"/>
        <w:spacing w:after="0" w:line="218" w:lineRule="auto"/>
        <w:tabs>
          <w:tab w:leader="none" w:pos="1135" w:val="left"/>
        </w:tabs>
        <w:numPr>
          <w:ilvl w:val="0"/>
          <w:numId w:val="45"/>
        </w:numPr>
        <w:rPr>
          <w:rFonts w:ascii="Arial" w:cs="Arial" w:eastAsia="Arial" w:hAnsi="Arial"/>
          <w:sz w:val="22"/>
          <w:szCs w:val="22"/>
          <w:color w:val="auto"/>
        </w:rPr>
      </w:pPr>
      <w:r>
        <w:rPr>
          <w:rFonts w:ascii="Arial" w:cs="Arial" w:eastAsia="Arial" w:hAnsi="Arial"/>
          <w:sz w:val="18"/>
          <w:szCs w:val="18"/>
          <w:color w:val="auto"/>
        </w:rPr>
        <w:t>the willingness of patients to pay out-of-pocket in the absence of coverage and adequate reimbursement by third-party payors and government authorities;</w:t>
      </w:r>
    </w:p>
    <w:p>
      <w:pPr>
        <w:spacing w:after="0" w:line="70" w:lineRule="exact"/>
        <w:rPr>
          <w:rFonts w:ascii="Arial" w:cs="Arial" w:eastAsia="Arial" w:hAnsi="Arial"/>
          <w:sz w:val="22"/>
          <w:szCs w:val="22"/>
          <w:color w:val="auto"/>
        </w:rPr>
      </w:pPr>
    </w:p>
    <w:p>
      <w:pPr>
        <w:ind w:left="1140" w:hanging="484"/>
        <w:spacing w:after="0"/>
        <w:tabs>
          <w:tab w:leader="none" w:pos="1140" w:val="left"/>
        </w:tabs>
        <w:numPr>
          <w:ilvl w:val="0"/>
          <w:numId w:val="45"/>
        </w:numPr>
        <w:rPr>
          <w:rFonts w:ascii="Arial" w:cs="Arial" w:eastAsia="Arial" w:hAnsi="Arial"/>
          <w:sz w:val="21"/>
          <w:szCs w:val="21"/>
          <w:color w:val="auto"/>
        </w:rPr>
      </w:pPr>
      <w:r>
        <w:rPr>
          <w:rFonts w:ascii="Arial" w:cs="Arial" w:eastAsia="Arial" w:hAnsi="Arial"/>
          <w:sz w:val="17"/>
          <w:szCs w:val="17"/>
          <w:color w:val="auto"/>
        </w:rPr>
        <w:t>relative convenience and ease of administration, including as compared to alternative treatments and competitive therapies; and</w:t>
      </w:r>
    </w:p>
    <w:p>
      <w:pPr>
        <w:spacing w:after="0" w:line="71" w:lineRule="exact"/>
        <w:rPr>
          <w:rFonts w:ascii="Arial" w:cs="Arial" w:eastAsia="Arial" w:hAnsi="Arial"/>
          <w:sz w:val="21"/>
          <w:szCs w:val="21"/>
          <w:color w:val="auto"/>
        </w:rPr>
      </w:pPr>
    </w:p>
    <w:p>
      <w:pPr>
        <w:ind w:left="1140" w:hanging="484"/>
        <w:spacing w:after="0"/>
        <w:tabs>
          <w:tab w:leader="none" w:pos="11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the effectiveness of our sales and marketing efforts.</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if approved, profitably.</w:t>
      </w:r>
    </w:p>
    <w:p>
      <w:pPr>
        <w:spacing w:after="0" w:line="6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Successful sales of our product candidates, if approved, depend on the availability of coverage and adequate reimbursement from third-party payors including governmental healthcare programs, such as Medicare and Medicaid, managed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8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146"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sell our product candidates, if approved, profitably.</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 Any reduction in reimbursement from Medicare or other government programs may result in a similar reduction in payments from private payors, which may adversely affect our future profitability.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6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dependent on patents, know-how and proprietary technology, both our own and licensed from others. We depend substantially on our license agreements with Pfizer, Servier and Cellectis. These licenses may be terminated upon certain conditions. Any termination of these licenses could result in the loss of significant rights and could harm our ability to commercialize our product candidates. For example, we are dependent on our license with Cellectis for gene-editing technology that is necessary to produce our engineered T cells. In addition, we are reliant on Servier in-licensing from Cellectis some of the intellectual property rights they are licensing to us, including certain intellectual property rights relating to ALLO-501 and ALLO-501A. To the extent these licensors fail to meet their obligations under their license agreements, which we are not in control of, we may lose the benefits of our license agreements with these licensors. For instance, Cellectis has and may in the future challenge certain performance by Servier, such as its development of products licensed under the Cellectis-Servier Agreement in ALL, and any failure by those parties to resolve such matters may have an adverse impact on us. In the future, we may also enter into additional license agreements that are material to the development of our product candidates.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Disputes may also arise between us and our licensors regarding intellectual property subject to a license agreement, including those related to:</w:t>
      </w:r>
    </w:p>
    <w:p>
      <w:pPr>
        <w:spacing w:after="0" w:line="140" w:lineRule="exact"/>
        <w:rPr>
          <w:sz w:val="20"/>
          <w:szCs w:val="20"/>
          <w:color w:val="auto"/>
        </w:rPr>
      </w:pPr>
    </w:p>
    <w:p>
      <w:pPr>
        <w:ind w:left="1140" w:hanging="484"/>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140" w:right="460" w:hanging="484"/>
        <w:spacing w:after="0" w:line="277" w:lineRule="auto"/>
        <w:tabs>
          <w:tab w:leader="none" w:pos="11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1140" w:right="320" w:hanging="484"/>
        <w:spacing w:after="0" w:line="277" w:lineRule="auto"/>
        <w:tabs>
          <w:tab w:leader="none" w:pos="11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62" w:lineRule="exact"/>
        <w:rPr>
          <w:rFonts w:ascii="Arial" w:cs="Arial" w:eastAsia="Arial" w:hAnsi="Arial"/>
          <w:sz w:val="18"/>
          <w:szCs w:val="18"/>
          <w:color w:val="auto"/>
        </w:rPr>
      </w:pPr>
    </w:p>
    <w:p>
      <w:pPr>
        <w:ind w:left="1140" w:right="180" w:hanging="484"/>
        <w:spacing w:after="0" w:line="277" w:lineRule="auto"/>
        <w:tabs>
          <w:tab w:leader="none" w:pos="11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If disputes over intellectual property that we have licensed, or license in the future, prevent or impair our ability to maintain our current licensing arrangements on acceptable terms, we may be unable to successfully develop and commercialize the affected product candidates.</w:t>
      </w:r>
    </w:p>
    <w:p>
      <w:pPr>
        <w:spacing w:after="0" w:line="146"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efforts to protect the proprietary nature of the intellectual property related to our technologies are not adequate, we may not be able to compete effectively in our market.</w:t>
      </w:r>
    </w:p>
    <w:p>
      <w:pPr>
        <w:spacing w:after="0" w:line="62"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We rely upon a combination of patents, trade secret protection and license agreements to protect the intellectual property related to our technologies. Any disclosure to or misappropriation by third parties of our confidential proprietary information could enable competitors to quickly duplicate or surpass our technological achievements, thus eroding our competitive position in our market.</w:t>
      </w:r>
    </w:p>
    <w:p>
      <w:pPr>
        <w:spacing w:after="0" w:line="16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have an exclusive collaboration with Servier to develop and commercialize certain anti-CD19 allogeneic T cell product candidates, including ALLO-501A, and we hold the commercial rights to these product candidates in the United States. We also have an exclusive worldwide license from Cellectis to its TALEN gene-editing technology for the development of allogeneic T cell product candidates directed against 15 different cancer antigens. Our collaboration with Servier gives us access to TALEN gene-editing technology for all product candidates under the Servier Agreement. Certain intellectual property which is covered by these agreements may have been developed with funding from the U.S. government. If so, our rights in this intellectual property may be subject to certain research and other rights of the government.</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Additional patent applications have been filed, and we anticipate additional patent applications will be filed, both in the United States and in other countries, as appropriate. However, we cannot predict:</w:t>
      </w:r>
    </w:p>
    <w:p>
      <w:pPr>
        <w:spacing w:after="0" w:line="62" w:lineRule="exact"/>
        <w:rPr>
          <w:sz w:val="20"/>
          <w:szCs w:val="20"/>
          <w:color w:val="auto"/>
        </w:rPr>
      </w:pPr>
    </w:p>
    <w:p>
      <w:pPr>
        <w:ind w:left="1140" w:hanging="484"/>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and when patents will issue;</w:t>
      </w:r>
    </w:p>
    <w:p>
      <w:pPr>
        <w:spacing w:after="0" w:line="117" w:lineRule="exact"/>
        <w:rPr>
          <w:rFonts w:ascii="Arial" w:cs="Arial" w:eastAsia="Arial" w:hAnsi="Arial"/>
          <w:sz w:val="18"/>
          <w:szCs w:val="18"/>
          <w:color w:val="auto"/>
        </w:rPr>
      </w:pPr>
    </w:p>
    <w:p>
      <w:pPr>
        <w:ind w:left="1140" w:right="220" w:hanging="484"/>
        <w:spacing w:after="0" w:line="277" w:lineRule="auto"/>
        <w:tabs>
          <w:tab w:leader="none" w:pos="11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degree and range of protection any issued patents will afford us against competitors including whether third parties will find ways to invalidate or otherwise circumvent our patents;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patents and patent applications; or</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which may be costly whether we win or lose.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Composition of matter patents for biological and pharmaceutical products such as CAR-based product candidates often provide a strong form of intellectual property protection for those types of products, as such patents provide protection without regard to any method of use. We cannot be certain that the claims in our pending patent applications covering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patentability, validity, enforceability or scope thereof, for example through inter partes review (IPR) post-grant review or ex parte reexamination before the USPTO or oppositions and other comparable proceedings in foreign jurisdictions, which may result in such patents being cancelled, narrowed, invalidated or held unenforceable. Furthermore, even if they are unchallenged, our patents and patent applications may not adequately protect our intellectual property or prevent others from designing their products to avoid being covered by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w:t>
      </w: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product candidates under patent protection would be reduced. United States patent applications containing or that at any time contained a claim not entitled to a priority date before March 16, 2013 are subject to the “first to file” system implemented by the America Invents Act (2011).</w:t>
      </w:r>
    </w:p>
    <w:p>
      <w:pPr>
        <w:spacing w:after="0" w:line="14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This first to file system will require us to be cognizant going forward of the time from invention to filing of a patent application. 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For United States applications containing a claim not entitled to priority before March 16, 2013, there is a greater level of uncertainty in the patent law in view of the passage of the America Invents Act, which brought into effect significant changes to the United States patent laws, including new procedures for challenging patent applications and issued patents.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Allogene Overland and third parties may not prevent unauthorized disclosure of trade secrets and other proprietary information.</w:t>
      </w:r>
    </w:p>
    <w:p>
      <w:pPr>
        <w:spacing w:after="0" w:line="6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Trade secrets, however, may be difficult to protect. Although we require all of our employees to assign their inventions to us, and require all of our employees and key consultants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For example, we plan to transfer technology to Allogene Overland or its affiliates in certain developing countries, and we cannot be certain that we or Allogene Overland or any of its affiliates will be able to protect or enforce any proprietary rights in these countries.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16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product discovery and development efforts and our ability to commercialize our product candidates.</w:t>
      </w:r>
    </w:p>
    <w:p>
      <w:pPr>
        <w:spacing w:after="0" w:line="6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involving patents and other intellectual property rights in the biotechnology and pharmaceutical industries.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Third parties may assert that we infringe their patents or are otherwise employing their proprietary technology without authorization and may sue us. We are aware of several U.S. patents held by third parties that may be considered by those third parties to be relevant to cell-based therapies. Generally, conducting clinical trials and other development activities in the United States is not considered an act of infringement. If and when any of our product candidates is approved by the FDA, third parties may then seek to enforce their patents by filing a patent infringement lawsuit against us. Patents issued in the United States by law enjoy a presumption of validity that can be rebutted only with evidence that is “clear and convincing,” a heightened standard of proof. We may not be able to prove in litigation that any patent enforced against us is invalid.</w:t>
      </w:r>
    </w:p>
    <w:p>
      <w:pPr>
        <w:spacing w:after="0" w:line="17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Additionally,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be alleged to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not infringed, unpatentable, invalid or unenforceable. Similarly, if any third-party patent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not infringed, unpatentable,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w:t>
      </w:r>
    </w:p>
    <w:p>
      <w:pPr>
        <w:spacing w:after="0" w:line="19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Presently we have rights to the intellectual property, through licenses from third parties and under patent applications that we own or will own, that we believe will facilitate the development of our product candidates. Because our programs may involve additional product candidates that may require the use of proprietary rights held by third parties, the growth of our business will likely depend in part on our ability to acquire, in-license or use these proprietary rights.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may be unable to acquire or in-license any compositions, methods of use, processes or other third-party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We may need to cease use of the compositions or methods covered by such third-party intellectual property rights.</w:t>
      </w:r>
    </w:p>
    <w:p>
      <w:pPr>
        <w:spacing w:after="0" w:line="188"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one or more of our pending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commercially reasonable terms.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biosimilar or generic medications.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products, our business and results of operations will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be subject to claims challenging the inventorship of our patents and other intellectual property.</w:t>
      </w:r>
    </w:p>
    <w:p>
      <w:pPr>
        <w:spacing w:after="0" w:line="117"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We or our licensors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or our licensors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or our licensors are successful in defending against such claims, litigation could result in substantial costs and be a distraction to management and other employees.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unpatentable, invalid or unenforceable if challenged in court or the USPTO.</w:t>
      </w:r>
    </w:p>
    <w:p>
      <w:pPr>
        <w:spacing w:after="0" w:line="14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IPR, ex parte re-examination and post grant review in the United States, and equivalent proceedings in foreign jurisdictions (e.g., opposition proceedings). Such proceedings could result in revocation or amendment to our patents in such a way that they no longer cover and protect our product candidates. The outcome following legal assertions of unpatentability,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unpatentability,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invalidity and/or unenforceability, we would lose at least part, and perhaps all, of the patent protection on our product candidates. Such a loss of patent protection could have a material adverse impact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2013 case, </w:t>
      </w:r>
      <w:r>
        <w:rPr>
          <w:rFonts w:ascii="Arial" w:cs="Arial" w:eastAsia="Arial" w:hAnsi="Arial"/>
          <w:sz w:val="17"/>
          <w:szCs w:val="17"/>
          <w:i w:val="1"/>
          <w:iCs w:val="1"/>
          <w:color w:val="auto"/>
        </w:rPr>
        <w:t>Assoc. for Molecular Pathology v. Myriad</w:t>
      </w:r>
      <w:r>
        <w:rPr>
          <w:rFonts w:ascii="Arial" w:cs="Arial" w:eastAsia="Arial" w:hAnsi="Arial"/>
          <w:sz w:val="17"/>
          <w:szCs w:val="17"/>
          <w:color w:val="auto"/>
        </w:rPr>
        <w:t xml:space="preserve"> </w:t>
      </w:r>
      <w:r>
        <w:rPr>
          <w:rFonts w:ascii="Arial" w:cs="Arial" w:eastAsia="Arial" w:hAnsi="Arial"/>
          <w:sz w:val="17"/>
          <w:szCs w:val="17"/>
          <w:i w:val="1"/>
          <w:iCs w:val="1"/>
          <w:color w:val="auto"/>
        </w:rPr>
        <w:t>Genetics, Inc.</w:t>
      </w:r>
      <w:r>
        <w:rPr>
          <w:rFonts w:ascii="Arial" w:cs="Arial" w:eastAsia="Arial" w:hAnsi="Arial"/>
          <w:sz w:val="17"/>
          <w:szCs w:val="17"/>
          <w:color w:val="auto"/>
        </w:rPr>
        <w:t>, the U.S. Supreme Court held that certain claims to DNA molecules are not patentable. While we do not believe that any of the patents</w:t>
      </w:r>
      <w:r>
        <w:rPr>
          <w:rFonts w:ascii="Arial" w:cs="Arial" w:eastAsia="Arial" w:hAnsi="Arial"/>
          <w:sz w:val="17"/>
          <w:szCs w:val="17"/>
          <w:i w:val="1"/>
          <w:iCs w:val="1"/>
          <w:color w:val="auto"/>
        </w:rPr>
        <w:t xml:space="preserve"> </w:t>
      </w:r>
      <w:r>
        <w:rPr>
          <w:rFonts w:ascii="Arial" w:cs="Arial" w:eastAsia="Arial" w:hAnsi="Arial"/>
          <w:sz w:val="17"/>
          <w:szCs w:val="17"/>
          <w:color w:val="auto"/>
        </w:rPr>
        <w:t>owned or licensed by us will be found invalid based on this decision, we cannot predict how future decisions by the courts, the U.S. Congress or the USPTO may impact the value of our patents.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may not be able to protect our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where Allogene Overland or its affiliates may do business, do not favor the enforcement of patents, trade secrets and other intellectual property protection, particularly those relating to biopharmaceutical products, which could make it difficult for us or Allogene Overland or any of its affiliates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has been and may continue to be volatile, and you could lose all or part of your investment.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trading price of our common stock following our IPO in October 2018 has been and is likely to continue to be highly volatile and could be subject to wide fluctuations in response to various factors, some of which are beyond our control, including limited trading volume. In addition to the factors discussed in this “Risk Factors” section, these factors include:</w:t>
      </w:r>
    </w:p>
    <w:p>
      <w:pPr>
        <w:spacing w:after="0" w:line="76" w:lineRule="exact"/>
        <w:rPr>
          <w:sz w:val="20"/>
          <w:szCs w:val="20"/>
          <w:color w:val="auto"/>
        </w:rPr>
      </w:pPr>
    </w:p>
    <w:p>
      <w:pPr>
        <w:ind w:left="1140" w:right="380" w:hanging="484"/>
        <w:spacing w:after="0" w:line="277" w:lineRule="auto"/>
        <w:tabs>
          <w:tab w:leader="none" w:pos="11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commencement, enrollment or results of our clinical trials of our product candidates or any future clinical trials we or Servier may conduct, or changes in the development status of our product candidates;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or Servier’s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117" w:lineRule="exact"/>
        <w:rPr>
          <w:rFonts w:ascii="Arial" w:cs="Arial" w:eastAsia="Arial" w:hAnsi="Arial"/>
          <w:sz w:val="18"/>
          <w:szCs w:val="18"/>
          <w:color w:val="auto"/>
        </w:rPr>
      </w:pPr>
    </w:p>
    <w:p>
      <w:pPr>
        <w:jc w:val="both"/>
        <w:ind w:left="1140" w:hanging="484"/>
        <w:spacing w:after="0" w:line="263" w:lineRule="auto"/>
        <w:tabs>
          <w:tab w:leader="none" w:pos="11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5"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1140" w:right="320" w:hanging="484"/>
        <w:spacing w:after="0" w:line="277" w:lineRule="auto"/>
        <w:tabs>
          <w:tab w:leader="none" w:pos="11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to advance to the Phase 2 portion of the ALPHA2 trial of ALLO-501A;</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including but not limited to clinical trial requirements for approvals;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developments concerning the manufacture or supply of our product candidates;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140" w:right="460" w:hanging="484"/>
        <w:spacing w:after="0" w:line="277" w:lineRule="auto"/>
        <w:tabs>
          <w:tab w:leader="none" w:pos="11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serious safety concerns related to immuno-oncology or related to the use of our product candidates or pre-conditioning regimen;</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changes in the status of one or more of our license or collaboration agreements, including any material amendments or terminations;</w:t>
      </w:r>
    </w:p>
    <w:p>
      <w:pPr>
        <w:spacing w:after="0" w:line="250" w:lineRule="exact"/>
        <w:rPr>
          <w:rFonts w:ascii="Arial" w:cs="Arial" w:eastAsia="Arial" w:hAnsi="Arial"/>
          <w:sz w:val="17"/>
          <w:szCs w:val="17"/>
          <w:color w:val="auto"/>
        </w:rPr>
      </w:pPr>
    </w:p>
    <w:p>
      <w:pPr>
        <w:ind w:left="1140" w:hanging="484"/>
        <w:spacing w:after="0"/>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15" w:lineRule="exact"/>
        <w:rPr>
          <w:rFonts w:ascii="Arial" w:cs="Arial" w:eastAsia="Arial" w:hAnsi="Arial"/>
          <w:sz w:val="17"/>
          <w:szCs w:val="17"/>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size and growth of our initial cancer target markets;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successfully treat additional types of cancers or at different stages;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1140" w:right="520" w:hanging="484"/>
        <w:spacing w:after="0" w:line="277" w:lineRule="auto"/>
        <w:tabs>
          <w:tab w:leader="none" w:pos="11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immunotherapy in particular,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ineffectiveness of our disclosure controls or internal controls;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disagreements with our auditor or termination of an auditor engagement;</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1140" w:right="100" w:hanging="484"/>
        <w:spacing w:after="0" w:line="277" w:lineRule="auto"/>
        <w:tabs>
          <w:tab w:leader="none" w:pos="11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business disruptions caused by natural or man-made disasters, such as the COVID-19 pandemic;</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19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Our failure to establish and maintain effective internal control over financial reporting could result in material misstatements in our financial statements, our failure to meet our reporting obligations and cause investors to lose confidence in our reported financial information, which in turn could cause the trading price of our common stock to decline</w:t>
      </w:r>
      <w:r>
        <w:rPr>
          <w:rFonts w:ascii="Arial" w:cs="Arial" w:eastAsia="Arial" w:hAnsi="Arial"/>
          <w:sz w:val="18"/>
          <w:szCs w:val="18"/>
          <w:color w:val="auto"/>
        </w:rPr>
        <w:t>.</w:t>
      </w:r>
    </w:p>
    <w:p>
      <w:pPr>
        <w:spacing w:after="0" w:line="7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Maintaining effective disclosure controls and procedures and internal controls over financial reporting are necessary for us to produce reliable financial statements. We are required, pursuant to Section 404 of the Sarbanes-Oxley Act of 2002, to furnish a report by management on, among other things, the effectiveness of our internal control over financial reporting. We are also required to have our auditors formally attest to the effectiveness of our internal control over financial reporting pursuant to Section 404 on an annual basis. Complying with Section 404 requires a rigorous compliance program as well as adequate time and resources. We may not be able to complete our internal control evaluation, testing and any required remediation in a timely fashion. Additionally, if we or our auditors identify one or more material weaknesses in our internal control over financial reporting, we will not be able to assert that our internal controls are effective.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4" w:lineRule="exact"/>
        <w:rPr>
          <w:sz w:val="20"/>
          <w:szCs w:val="20"/>
          <w:color w:val="auto"/>
        </w:rPr>
      </w:pPr>
    </w:p>
    <w:p>
      <w:pPr>
        <w:ind w:right="140" w:firstLine="648"/>
        <w:spacing w:after="0" w:line="228" w:lineRule="auto"/>
        <w:rPr>
          <w:sz w:val="20"/>
          <w:szCs w:val="20"/>
          <w:color w:val="auto"/>
        </w:rPr>
      </w:pPr>
      <w:r>
        <w:rPr>
          <w:rFonts w:ascii="Arial" w:cs="Arial" w:eastAsia="Arial" w:hAnsi="Arial"/>
          <w:sz w:val="18"/>
          <w:szCs w:val="18"/>
          <w:color w:val="auto"/>
        </w:rPr>
        <w:t>In 2021, we implemented a new enterprise resource planning (ERP) system, which required the investment of significant financial and human resources. We plan to continue to implement new ERP modules, which we also expect will require significant resources. Any failure to maintain or implement new or improved internal controls related to our ERP system or otherwise could result in material weaknesses, result in material misstatements in our consolidated financial statements and cause us to fail to meet our reporting obligations. This could cause us to lose public confidence and could cause the trading price of our common stock to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We currently anticipate that we will retain any future cash flow or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6" w:lineRule="exact"/>
        <w:rPr>
          <w:sz w:val="20"/>
          <w:szCs w:val="20"/>
          <w:color w:val="auto"/>
        </w:rPr>
      </w:pPr>
    </w:p>
    <w:p>
      <w:pPr>
        <w:ind w:left="1140" w:right="180" w:hanging="484"/>
        <w:spacing w:after="0" w:line="277" w:lineRule="auto"/>
        <w:tabs>
          <w:tab w:leader="none" w:pos="11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140" w:right="640" w:hanging="484"/>
        <w:spacing w:after="0" w:line="277" w:lineRule="auto"/>
        <w:tabs>
          <w:tab w:leader="none" w:pos="11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1140" w:right="100" w:hanging="484"/>
        <w:spacing w:after="0" w:line="277" w:lineRule="auto"/>
        <w:tabs>
          <w:tab w:leader="none" w:pos="11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 of the board of directors, the chief executive officer, or by a majority of the total number of authorized directors;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ind w:left="1140" w:right="60" w:hanging="484"/>
        <w:spacing w:after="0" w:line="263" w:lineRule="auto"/>
        <w:tabs>
          <w:tab w:leader="none" w:pos="11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5" w:lineRule="exact"/>
        <w:rPr>
          <w:rFonts w:ascii="Arial" w:cs="Arial" w:eastAsia="Arial" w:hAnsi="Arial"/>
          <w:sz w:val="18"/>
          <w:szCs w:val="18"/>
          <w:color w:val="auto"/>
        </w:rPr>
      </w:pPr>
    </w:p>
    <w:p>
      <w:pPr>
        <w:ind w:left="1140" w:right="400" w:hanging="484"/>
        <w:spacing w:after="0" w:line="277" w:lineRule="auto"/>
        <w:tabs>
          <w:tab w:leader="none" w:pos="11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1140" w:right="180" w:hanging="484"/>
        <w:spacing w:after="0" w:line="277" w:lineRule="auto"/>
        <w:tabs>
          <w:tab w:leader="none" w:pos="11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global credit and financial markets have experienced extreme volatility and disruptions in the past. These disruptions can result in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Our portfolio of corporate and government bonds would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140"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including by any of our directors, officers or larger shareholders,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or industry analysts issue an adverse or misleading opinion regarding our stock, our stock price and trading volume could decline.</w:t>
      </w:r>
    </w:p>
    <w:p>
      <w:pPr>
        <w:spacing w:after="0" w:line="14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trading market for our common stock could be influenced by the research and reports that industry or securities analysts publish about us or our business. If any of the analysts who cover us issue an adverse or misleading opinion regarding us, our business model, our intellectual property or our stock performance, or if the clinical trials and operating results fail to meet the expectations of analysts, our stock price would likely decline. If one or more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40" w:firstLine="810"/>
        <w:spacing w:after="0" w:line="279" w:lineRule="auto"/>
        <w:rPr>
          <w:sz w:val="20"/>
          <w:szCs w:val="20"/>
          <w:color w:val="auto"/>
        </w:rPr>
      </w:pPr>
      <w:r>
        <w:rPr>
          <w:rFonts w:ascii="Arial" w:cs="Arial" w:eastAsia="Arial" w:hAnsi="Arial"/>
          <w:sz w:val="17"/>
          <w:szCs w:val="17"/>
          <w:color w:val="auto"/>
        </w:rPr>
        <w:t>Our corporate headquarters are located in South San Francisco, California, which consists of approximately 68,072 square feet for office and laboratory space. Our lease for our headquarter space commenced on March 1, 2019. On December 10, 2021, we amended our lease for an additional 47,566 square feet of office and laboratory space as part of the same building as our headquarters. The lease relating to the expansion premises is expected to commence on April 1, 2022. The lease for both the existing and expansion premises will expire on March 31, 2032.</w:t>
      </w:r>
    </w:p>
    <w:p>
      <w:pPr>
        <w:spacing w:after="0" w:line="63" w:lineRule="exact"/>
        <w:rPr>
          <w:sz w:val="20"/>
          <w:szCs w:val="20"/>
          <w:color w:val="auto"/>
        </w:rPr>
      </w:pPr>
    </w:p>
    <w:p>
      <w:pPr>
        <w:jc w:val="both"/>
        <w:ind w:right="20" w:firstLine="810"/>
        <w:spacing w:after="0" w:line="342" w:lineRule="auto"/>
        <w:rPr>
          <w:sz w:val="20"/>
          <w:szCs w:val="20"/>
          <w:color w:val="auto"/>
        </w:rPr>
      </w:pPr>
      <w:r>
        <w:rPr>
          <w:rFonts w:ascii="Arial" w:cs="Arial" w:eastAsia="Arial" w:hAnsi="Arial"/>
          <w:sz w:val="16"/>
          <w:szCs w:val="16"/>
          <w:color w:val="auto"/>
        </w:rPr>
        <w:t>We entered into an additional lease in October 2018 for approximately 14,943 square feet of office and laboratory space in South San Francisco near our headquarters. On December 10, 2021, we amended our lease to extend the term of the lease to be co-terminus with our lease for our headquarters.</w:t>
      </w:r>
    </w:p>
    <w:p>
      <w:pPr>
        <w:spacing w:after="0" w:line="124"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In February 2019, we entered into a lease for approximately 118,000 square feet to develop a state-of-the-art cell therapy manufacturing facility in Newark, California. The lease commenced in November 2020 and has an initial term of 15 years and eight months.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believe that our existing facilities and other available properties will be sufficient for our needs for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810"/>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“ALLO” since October 11, 2018. Prior to that date, there was no public trading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of February 23, 2022, there were approximately 62 holders of record of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240" w:firstLine="810"/>
        <w:spacing w:after="0" w:line="308" w:lineRule="auto"/>
        <w:rPr>
          <w:sz w:val="20"/>
          <w:szCs w:val="20"/>
          <w:color w:val="auto"/>
        </w:rPr>
      </w:pPr>
      <w:r>
        <w:rPr>
          <w:rFonts w:ascii="Arial" w:cs="Arial" w:eastAsia="Arial" w:hAnsi="Arial"/>
          <w:sz w:val="17"/>
          <w:szCs w:val="17"/>
          <w:i w:val="1"/>
          <w:iCs w:val="1"/>
          <w:color w:val="auto"/>
        </w:rPr>
        <w:t>This performance graph shall not be deemed “filed” for purposes of Section 18 of the Exchange Act, or incorporated by reference into any of our filings under the Securities Act or the Exchange Act, except as shall be expressly set forth by specific reference in such filing.</w:t>
      </w:r>
    </w:p>
    <w:p>
      <w:pPr>
        <w:spacing w:after="0" w:line="146"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The following graph shows the value of an investment of $100 from October 11, 2018 (the date our common stock commenced trading on The Nasdaq Global Select Market) through December 31, 2021, in our common stock, the Standard &amp; Poor’s 500 Index (S&amp;P 500), the Nasdaq Biotechnology Index, and Nasdaq Composite Index. The historical stock price performance of our common stock shown in the performance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127635</wp:posOffset>
            </wp:positionV>
            <wp:extent cx="4714875" cy="2828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1487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Cumulative Total Return date ended</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26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4"/>
              </w:rPr>
              <w:t>10/11/2018</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12/31/2018</w:t>
            </w:r>
          </w:p>
        </w:tc>
        <w:tc>
          <w:tcPr>
            <w:tcW w:w="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6/30/2019</w:t>
            </w:r>
          </w:p>
        </w:tc>
        <w:tc>
          <w:tcPr>
            <w:tcW w:w="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6"/>
              </w:rPr>
              <w:t>12/31/2019</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12/31/2020</w:t>
            </w:r>
          </w:p>
        </w:tc>
        <w:tc>
          <w:tcPr>
            <w:tcW w:w="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6/30/2021</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4"/>
              </w:rPr>
              <w:t>12/31/2021</w:t>
            </w:r>
          </w:p>
        </w:tc>
      </w:tr>
      <w:tr>
        <w:trPr>
          <w:trHeight w:val="184"/>
        </w:trPr>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Allogene Therapeutics, Inc.</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122.41</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122.05</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118.09</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194.64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114.73</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118.55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67.82</w:t>
            </w: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S&amp;P 500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90.28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105.94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116.35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111.65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135.26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154.76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171.64</w:t>
            </w:r>
          </w:p>
        </w:tc>
      </w:tr>
      <w:tr>
        <w:trPr>
          <w:trHeight w:val="192"/>
        </w:trPr>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Nasdaq Biotechnology</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87.25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98.26</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108.54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123.19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136.42</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147.57</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135.56</w:t>
            </w:r>
          </w:p>
        </w:tc>
      </w:tr>
      <w:tr>
        <w:trPr>
          <w:trHeight w:val="182"/>
        </w:trPr>
        <w:tc>
          <w:tcPr>
            <w:tcW w:w="2600" w:type="dxa"/>
            <w:vAlign w:val="bottom"/>
          </w:tcPr>
          <w:p>
            <w:pPr>
              <w:ind w:left="20"/>
              <w:spacing w:after="0"/>
              <w:rPr>
                <w:sz w:val="20"/>
                <w:szCs w:val="20"/>
                <w:color w:val="auto"/>
              </w:rPr>
            </w:pPr>
            <w:r>
              <w:rPr>
                <w:rFonts w:ascii="Arial" w:cs="Arial" w:eastAsia="Arial" w:hAnsi="Arial"/>
                <w:sz w:val="14"/>
                <w:szCs w:val="14"/>
                <w:color w:val="auto"/>
              </w:rPr>
              <w:t>Nasdaq Composite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89.81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108.37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121.45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136.15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174.45</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196.32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211.76</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i w:val="1"/>
          <w:iCs w:val="1"/>
          <w:color w:val="auto"/>
        </w:rPr>
        <w:t>The following discussion contains management’s discussion and analysis of our financial condition and results of operations and should be read together with “Selected Financial Data” and the historical consolidated financial statements and the notes thereto included in “Financial Statements and Supplementary Data”. This discussion contains forward-looking statements that reflect our plans, estimates and beliefs and involve numerous risks and uncertainties, including but not limited to those described in the “Risk Factors” section of this Annual Report. Actual results may differ materially from those contained in any forward-looking statements. You should carefully read “Special Note Regarding Forward-Looking Statements” and “Risk Factors.”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a clinical-stage immuno-oncology company pioneering the development of genetically engineered allogeneic T cell therapies for the treatment of cancer. We are developing a pipeline of off-the-shelf T cell product candidates that are designed to target and kill cancer cells.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a deep pipeline of allogeneic chimeric antigen receptor (CAR) T cell product candidates targeting multiple promising antigens in a host of hematological malignancies and solid tumors. Pursuant to the Exclusive Collaboration and License Agreement with Servier (Servier Agreement), we have exclusive rights to ALLO-501 and ALLO-501A, CAR T cell product candidates targeting CD19, in the United States, while Servier retains exclusive rights for these product candidates for all other countries. ALLO-501 and ALLO-501A use Cellectis S.A. (Cellectis) technologies under which Servier holds an exclusive worldwide license from Cellectis.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conducting long-term follow-up in our Phase 1 clinical trial (the ALPHA trial) of ALLO-501 in patients with relapsed or refractory (R/R) non-Hodgkin lymphoma (NHL). We are also progressing the development of the second-generation version of ALLO-501, known as ALLO-501A. We have removed rituximab recognition domains in ALLO-501A, which we believe will potentially facilitate treatment of more patients, as rituximab is a typical part of a treatment regimen for a patient with NHL. We initiated a Phase 1/2 clinical trial for ALLO-501A (the ALPHA2 trial) in the second quarter of 2020. Subject to further patient follow-up and FDA discussion, we plan to proceed to the Phase 2 portion of the trial in adult patients with R/R large B-cell lymphoma in mid-2022.</w:t>
      </w:r>
    </w:p>
    <w:p>
      <w:pPr>
        <w:spacing w:after="0" w:line="19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are sponsoring two clinical trials in adult patients with R/R multiple myeloma, a Phase 1 clinical trial (the UNIVERSAL trial) of ALLO-715 and a Phase 1 clinical trial (the IGNITE trial) of ALLO-605, our first product candidate to incorporate our TurboCAR technology. TurboCAR technology allows cytokine signaling to be engineered selectively into CAR T cells and has shown the ability to improve the potency and persistence of the cells and to delay exhaustion of the cells in preclinical models. We also continue to advance the Phase 1 clinical trial (the TRAVERSE trial) of ALLO-316, an allogeneic CAR T cell product candidate targeting CD70, in adult patients with advanced or metastatic clear cell renal cell carcinoma (ccRCC).</w:t>
      </w:r>
    </w:p>
    <w:p>
      <w:pPr>
        <w:spacing w:after="0" w:line="18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Enrollment of patients and the ability to conduct patient follow-up has been adversely impacted by the COVID-19 pandemic. The exact timing of delays and overall impact of the COVID-19 pandemic to our business, preclinical studies and clinical trials is currently unknown, and we are monitoring the pandemic as it continues to rapidly evolve.</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Since inception, we have had significant operating losses. Our net loss was $257.0 million for the year ended December 31, 2021. As of December 31, 2021, we had an accumulated deficit of $903.3 million. As of December 31, 2021, we had $809.5 million in cash and cash equivalents and investments. We expect to continue to incur net losses for the foreseeable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future, and we expect our research and development expenses and general and administrative expenses will continue to increase.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Development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Contribution Agreement with Pfizer</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April 2018, we entered into an Asset Contribution Agreement (Pfizer Agreement) with Pfizer pursuant to which we acquired certain assets and assumed certain liabilities from Pfizer, including agreements with Cellectis and Servier as described below, and other intellectual property for the development and administration of CAR T cells for the treatment of cancer. See Notes 6 to our consolidated financial statements included elsewhere in this report for further description of the Pfizer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Cellectis</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June 2014, Pfizer entered into a Research Collaboration and License Agreement with Cellectis. In April 2018, Pfizer assigned the agreement to us pursuant to the Pfizer Agreement. In March 2019, we terminated the agreement with Cellectis and entered into a new license agreement with Cellectis. See Note 6 to our consolidated financial statements included elsewhere in this report for further descriptions of the prior agreement with Cellectis and the new license agreement with Cellectis.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and Collaboration Agreement with Servier</w:t>
      </w:r>
    </w:p>
    <w:p>
      <w:pPr>
        <w:spacing w:after="0" w:line="11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October 2015, Pfizer entered into an Exclusive License and Collaboration Agreement (Servier Agreement) with Servier to develop, manufacture and commercialize certain allogeneic anti-CD19 CAR products, including UCART19, in the United States with the option to obtain the rights over certain additional allogeneic anti-CD19 CAR product candidates and for allogeneic CAR T cell product candidates directed against one additional target. In April 2018, Pfizer assigned the agreement to us pursuant to the Pfizer Agreement. In October 2019, we agreed to waive our rights to the one additional target. See Note 6 to our consolidated financial statements included elsewhere in this report for further description of the Servier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 with Notch</w:t>
      </w:r>
    </w:p>
    <w:p>
      <w:pPr>
        <w:spacing w:after="0" w:line="117"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On November 1, 2019, we entered into a Collaboration and License Agreement (the Notch Agreement) with Notch Therapeutics Inc. (Notch), pursuant to which Notch granted us an exclusive, worldwide, royalty-bearing, sublicensable license under certain of Notch’s intellectual property to develop, make, use, sell, import, and otherwise commercialize therapeutic gene-edited T cell and/or natural killer cell products from induced pluripotent stem cells directed at certain CAR targets for initial application in NHL, ALL and multiple myeloma. In addition, Notch has granted us an option to add certain specified targets to our exclusive license in exchange for an agreed upon per-target option fee.</w:t>
      </w:r>
    </w:p>
    <w:p>
      <w:pPr>
        <w:spacing w:after="0" w:line="17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Notch Agreement includes a research collaboration to conduct research and pre-clinical development activities to generate engineered cells directed to our exclusive targets, which will be conducted in accordance with an agreed research plan and budget under the oversight of a joint development committee. In connection with the execution of the Notch Agreement, we made an upfront payment to Notch of $10.0 million. In addition, we made a $5.0 million investment in Notch’s series seed convertible preferred stock, resulting in us having a 25% ownership interest in Notch’s outstanding capital stock on a fully diluted basis immediately following the investment. In February 2021, we made an additional $15.9 million investment in Notch's Series A preferred stock. In October 2021, we made an additional $1.8 million investment in Notch's common stock. Immediately following this transaction, our share in Notch was 23.0% on a voting interest basis. See Note 6 to our consolidated financial statements included elsewhere in this report for further description of the Notch Agreement.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Alliance with The University of Texas MD Anderson Cancer Center</w:t>
      </w:r>
    </w:p>
    <w:p>
      <w:pPr>
        <w:spacing w:after="0" w:line="11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On October 6, 2020, we entered into a strategic five-year collaboration agreement with The University of Texas MD Anderson Cancer Center (MD Anderson) for the preclinical and clinical investigation of allogeneic CAR T cell product candidates. See Note 6 to our consolidated financial statements included elsewhere in this report for further description of the agreement with MD Anderson.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Allogene Overland Biopharm (CY) Limited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December 14, 2020, we entered into a License Agreement with Allogene Overland Biopharm (CY) Limited (Allogene Overland), a joint venture established by us and Overland Pharmaceuticals (CY) Inc. (Overland), pursuant to a Share Purchase Agreement, dated December 14, 2020, for the purpose of developing, manufacturing and commercializing certain allogeneic CAR T cell therapies for patients in greater China, Taiwan, South Korea and Singapore (the JV Territory). Allogene Overland subsequently assigned the License Agreement to a wholly-owned subsidiary, Allogene Overland BioPharm (HK) Limited (Allogene Overland HK). See Note 6 to our consolidated financial statements included elsewhere in this report for further description of the License Agreement and Share Purchase Agreement with Allogene Overland.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12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connection with the closing of the Pfizer Agreement, we entered into a Transition Services Agreement (TSA) with Pfizer in April 2018, pursuant to which we obtained from Pfizer certain (i) research and development services, including services relating to testing, studies, and clinical trials, project management services, laboratory equipment and operations services, animal care services, data storage services and regulatory strategy services, and (ii) general and administrative services, including business technology services, compliance services, finance/accounting services, and procurement, manufacturing and supply chain services, with respect to the assets that we purchased from Pfizer. Under the TSA, Pfizer also provided us with certain facilities and facility management services. The services were provided by certain employees of Pfizer as independent contractors of Allogene. We believe that it was helpful for Pfizer to provide such services to us under the TSA to help facilitate the efficient operation of our business after the asset purchase. Pfizer began providing the services in May 2018 and the TSA was terminated in September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December 31, 2021, our revenue has been exclusively generated from our collaboration and license agreement with Allogene Overland HK. See Notes 1 and 6 to our consolidated financial statements appearing elsewhere in this Annual Report for more information related to our recognition of revenue and the Allogene Overland HK agreement.</w:t>
      </w:r>
    </w:p>
    <w:p>
      <w:pPr>
        <w:spacing w:after="0" w:line="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future, we may generate revenue from a combination of product sales, government or other third-party funding, marketing and distribution arrangements and other collaborations, strategic alliances and licensing arrangements or a combination of these approaches. We expect that any revenue we generate will fluctuate from quarter to quarter as a result of the timing and amount of license fees, milestones and other payments, and the amount and timing of payments that we receive upon the sale of our products, to the extent any are successfully commercialized. If we fail to complete the development of our product candidates in a timely manner or obtain regulatory approval of them, our ability to generate future revenue, and our results of operations and financial position, will be materially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To date, our research and development expenses have related primarily to discovery efforts, preclinical and clinical development, and manufacturing of our product candidates. Research and development expenses for the year ended December 31, 2021 included costs associated with our clinical and preclinical stage pipeline candidates and research into newer technologies. The most significant research and development expenses for the year relate to costs incurred for the development of our most advanced product candidates and include:</w:t>
      </w:r>
    </w:p>
    <w:p>
      <w:pPr>
        <w:spacing w:after="0" w:line="63" w:lineRule="exact"/>
        <w:rPr>
          <w:sz w:val="20"/>
          <w:szCs w:val="20"/>
          <w:color w:val="auto"/>
        </w:rPr>
      </w:pPr>
    </w:p>
    <w:p>
      <w:pPr>
        <w:ind w:left="1300" w:hanging="482"/>
        <w:spacing w:after="0" w:line="277" w:lineRule="auto"/>
        <w:tabs>
          <w:tab w:leader="none" w:pos="1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incurred under agreements with our collaboration partners and third-party contract organizations, investigative clinical trial sites that conduct research and development activities on our behalf, and consultants;</w:t>
      </w:r>
    </w:p>
    <w:p>
      <w:pPr>
        <w:spacing w:after="0" w:line="62" w:lineRule="exact"/>
        <w:rPr>
          <w:rFonts w:ascii="Arial" w:cs="Arial" w:eastAsia="Arial" w:hAnsi="Arial"/>
          <w:sz w:val="18"/>
          <w:szCs w:val="18"/>
          <w:color w:val="auto"/>
        </w:rPr>
      </w:pPr>
    </w:p>
    <w:p>
      <w:pPr>
        <w:ind w:left="1300" w:hanging="48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related to the production of clinical materials, including fees paid for raw materials and to contract manufacturers;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preclinical and clinical trials;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w:t>
      </w:r>
    </w:p>
    <w:p>
      <w:pPr>
        <w:spacing w:after="0" w:line="117" w:lineRule="exact"/>
        <w:rPr>
          <w:rFonts w:ascii="Arial" w:cs="Arial" w:eastAsia="Arial" w:hAnsi="Arial"/>
          <w:sz w:val="18"/>
          <w:szCs w:val="18"/>
          <w:color w:val="auto"/>
        </w:rPr>
      </w:pPr>
    </w:p>
    <w:p>
      <w:pPr>
        <w:ind w:left="1300" w:right="220" w:hanging="482"/>
        <w:spacing w:after="0" w:line="277" w:lineRule="auto"/>
        <w:tabs>
          <w:tab w:leader="none" w:pos="1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facilities and other expenses, which include expenses for rent and maintenance of facilities, depreciation and amortization expense and other supplies; and</w:t>
      </w:r>
    </w:p>
    <w:p>
      <w:pPr>
        <w:spacing w:after="0" w:line="62" w:lineRule="exact"/>
        <w:rPr>
          <w:rFonts w:ascii="Arial" w:cs="Arial" w:eastAsia="Arial" w:hAnsi="Arial"/>
          <w:sz w:val="18"/>
          <w:szCs w:val="18"/>
          <w:color w:val="auto"/>
        </w:rPr>
      </w:pPr>
    </w:p>
    <w:p>
      <w:pPr>
        <w:ind w:left="1300" w:hanging="48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significant research and development costs including overhead costs.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expense all research and development costs in the periods in which they are incurred. We accrue for costs incurred as the services are being provided by monitoring the status of the project and the invoices received from our external service providers. We adjust our accrual as actual costs become known. Where contingent milestone payments are due to third parties under research and development arrangements or license agreements, milestone payment obligations are expensed when the milestone results are achieved.</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required to reimburse Servier for 60% of the costs associated with the prior development of UCART19, including for long-term follow-up of patients in the CALM and PALL clinical trials of UCART19. We accrue for costs incurred by monitoring the status of clinical trials and the invoices received from Servier. We adjust our accrual as actual costs become known. Servier is required to reimburse us for 40% of the costs associated with the development of ALLO-501 and ALLO-501A. Collaboration expenses and cost reimbursement are recorded on a net basis as a research and development expense in our consolidated statements of operations and comprehensive loss.</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in the future as our clinical programs progress and as we seek to initiate clinical trials of additional product candidates. The cost of advancing our manufacturing process as well as the cost of manufacturing product candidates for clinical trials are included in our research and development expense. We also expect to incur increased research and development expenses as we selectively identify and develop additional product candidates. However, it is difficult to determine with certainty the duration and completion costs of our current or future preclinical programs and clinical trials of our product candidates.</w:t>
      </w:r>
    </w:p>
    <w:p>
      <w:pPr>
        <w:spacing w:after="0" w:line="17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but are not limited to, the following:</w:t>
      </w:r>
    </w:p>
    <w:p>
      <w:pPr>
        <w:spacing w:after="0" w:line="62" w:lineRule="exact"/>
        <w:rPr>
          <w:sz w:val="20"/>
          <w:szCs w:val="20"/>
          <w:color w:val="auto"/>
        </w:rPr>
      </w:pPr>
    </w:p>
    <w:p>
      <w:pPr>
        <w:ind w:left="1300" w:hanging="48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biomarker analysis costs;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and timing of manufacturing for the trials;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total number of cells that patients receive;</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potential additional safety monitoring or other studies requested by regulatory agencies, including to resolve any future clinical hold;</w:t>
      </w:r>
    </w:p>
    <w:p>
      <w:pPr>
        <w:spacing w:after="0" w:line="128" w:lineRule="exact"/>
        <w:rPr>
          <w:rFonts w:ascii="Arial" w:cs="Arial" w:eastAsia="Arial" w:hAnsi="Arial"/>
          <w:sz w:val="17"/>
          <w:szCs w:val="17"/>
          <w:color w:val="auto"/>
        </w:rPr>
      </w:pPr>
    </w:p>
    <w:p>
      <w:pPr>
        <w:ind w:left="1300" w:hanging="48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safety, efficacy,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Because our product candidates are still in clinical and preclinical development and the outcome of these efforts is uncertain, we cannot estimate the actual amounts necessary to successfully complete the development and commercialization of product candidates or whether, or when, we may achieve profitability.</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staff-related costs, including stock-based compensation for options and restricted stock units granted. General and administrative expenses also include stock-based compensation expense related to the modification of shares of common stock issued to our founders to include vesting conditions. Other significant costs include costs relating to facilities and overhead costs, legal fees relating to corporate and</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patent matters, insurance, investor relations costs, fees for accounting and consulting services, information technology, costs and support for our board of directors and board committees, and other general and administrative costs. General and administrative costs are expensed as incurred, and we accrue for services provided by third parties related to the above expenses by monitoring the status of services provided and receiving estimates from our service providers, and adjusting our accruals as actual costs become known.</w:t>
      </w:r>
    </w:p>
    <w:p>
      <w:pPr>
        <w:spacing w:after="0" w:line="18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We expect our general and administrative expenses to increase over the next several years to support our continued research and development activities, manufacturing activities, potential commercialization of our product candidates and the increased costs of operating as a public company, including additional compliance-related expenses as a result of no longer being an emerging growth company. These increases are anticipated to include increased costs related to the hiring of additional personnel, developing infrastructure, fees to outside consultants, lawyers and accountants, and increased costs associated with being a public company such as expenses related to services associated with maintaining compliance with Nasdaq listing rules, corporate governance, SEC requirements, insurance and investor relations costs.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and other income, net consists of interest earned on our cash, cash equivalents and investments and gains and losses recognized during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 consists of non-operating expenses, including our share of equity investments' net losses for the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2020 and 2019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our results of operations for the years ended December 31, 2021, 2020, and 2019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2021 vs 2020</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2020 vs 2019</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 - related party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48,452</w:t>
            </w:r>
          </w:p>
        </w:tc>
      </w:tr>
      <w:tr>
        <w:trPr>
          <w:trHeight w:val="229"/>
        </w:trPr>
        <w:tc>
          <w:tcPr>
            <w:tcW w:w="45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7,783</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294,281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56,235</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(255,792)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(258,243)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(56,235)</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Interest and other income,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(8,187)</w:t>
            </w:r>
          </w:p>
        </w:tc>
      </w:tr>
      <w:tr>
        <w:trPr>
          <w:trHeight w:val="230"/>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(9,061)</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(257,005)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(65,296)</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Collaboration revenue - related party</w:t>
      </w:r>
    </w:p>
    <w:p>
      <w:pPr>
        <w:spacing w:after="0" w:line="239" w:lineRule="exact"/>
        <w:rPr>
          <w:sz w:val="20"/>
          <w:szCs w:val="20"/>
          <w:color w:val="auto"/>
        </w:rPr>
      </w:pPr>
    </w:p>
    <w:p>
      <w:pPr>
        <w:jc w:val="both"/>
        <w:ind w:right="420" w:firstLine="648"/>
        <w:spacing w:after="0" w:line="235" w:lineRule="auto"/>
        <w:rPr>
          <w:sz w:val="20"/>
          <w:szCs w:val="20"/>
          <w:color w:val="auto"/>
        </w:rPr>
      </w:pPr>
      <w:r>
        <w:rPr>
          <w:rFonts w:ascii="Arial" w:cs="Arial" w:eastAsia="Arial" w:hAnsi="Arial"/>
          <w:sz w:val="18"/>
          <w:szCs w:val="18"/>
          <w:color w:val="auto"/>
        </w:rPr>
        <w:t>Collaboration revenue was $38.5 million for the year ended December 31, 2021 and zero for each of the years ended December 31, 2020 and 2019. Revenue recognized in the year ended December 31, 2021 was related to grant of license and delivery of the know-how performance obligation under the License Agreement entered into with Allogene Overland in December 2020.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Research and development expenses were $220.2 million and $193.0 million for the years ended December 31, 2021 and 2020, respectively. The net increase of $27.2 million was primarily due to an increase in personnel related costs of $23.1 million, of which $8.3 million was increased stock-based compensation expense, an increase in allocated building rent and facilities costs of $10.8 million, offset by a decrease in external costs relating to the advancement of our product candidates of $9.4 million due to timing of process development activities and manufacturing runs.</w:t>
      </w:r>
    </w:p>
    <w:p>
      <w:pPr>
        <w:spacing w:after="0" w:line="15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Research and development expenses were $193.0 million and $144.5 million for the years ended December 31, 2020 and 2019, respectively. The net increase of $48.5 million was primarily due to an increase in personnel related costs of $28.9 million, of which $11.9 million was increased stock-based compensation expense, an increase in external costs relating to the advancement of our product candidates of $16.1 million, and an increase in allocated building rent and facilities costs of $5.3 million, offset by a decrease in TSA expenses of $1.2 million and a decrease in travel related costs of $1.0 million due to the impact of the COVID-19 pandemic.</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General and administrative expenses were $74.1 million and $65.3 million for the years ended December 31, 2021 and 2020, respectively. The net increase of $8.8 million was primarily due to an increase in personnel related costs of $10.0 million, of which $7.3 million was increased stock-based compensation expense, offset by a decrease in allocated building rent and facilities costs of $1.9 million.</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 and administrative expenses were $65.3 million and $57.5 million for the years ended December 31, 2020 and 2019, respectively. The net increase of $7.8 million was primarily due to an increase in personnel related costs of $8.4 million, of which $7.3 million was increased stock-based compensation expense, an increase in allocated building rent and facilities costs of $2.4 million, an increase in legal and professional services of $1.2 million, offset by a decrease in TSA expenses of $3.5 million and a decrease in travel related costs of $0.8 million due to the impact of the COVID-19 pandemic.</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Interest and other income, net was $1.7 million and $9.2 million for the years ended December 31, 2021 and 2020, respectively. The $7.5 million decrease was due to lower overall investment balance, lower yields and a corresponding reduction in the interest earned on our cash, cash equivalents and investments.</w:t>
      </w:r>
    </w:p>
    <w:p>
      <w:pPr>
        <w:spacing w:after="0" w:line="184"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Interest and other income, net was $9.2 million and $17.4 million for the years ended December 31, 2020 and 2019, respectively. The $8.2 million decrease was due to lower yields and a corresponding reduction in the interest earned on our cash, cash equivalents and investments.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Plan of Operations</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To date, we have incurred significant net losses and negative cash flows from operations. As of December 31, 2021, we had $809.5 million in cash, cash equivalents and investments. We believe that the aggregate of our current cash and cash equivalents and investments available for operations will be sufficient to fund our operations for at least the next 12 months from the date this Annual Report on Form 10-K is filed with the SEC.</w:t>
      </w:r>
    </w:p>
    <w:p>
      <w:pPr>
        <w:spacing w:after="0" w:line="176"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Our operations have been financed primarily by net proceeds from the sale and issuance of our convertible preferred stock, the issuance of convertible promissory notes, net proceeds from our IPO, our at-the-market (ATM) offerings, our June 2020 underwritten public offering, and upfront cash payment of $40.0 million received in December 2020 pursuant to our License Agreement with Allogene Overland. In connection with our IPO in 2018, we sold an aggregate of 20,700,000 shares of our common stock (inclusive of 2,700,000 shares of common stock pursuant to the over-allotment option granted to the underwriters) at a price of $18.00 per share and received approximately $343.3 million in net proceeds. In November 2019, we entered into a sales agreement with Cowen and Company, LLC (Cowen) under which we may from time to time issue and sell shares of our common stock through Cowen in ATM offerings for an aggregate offering price of up to $250.0 million. During the year ended December 31, 2020, we sold an aggregate of 848,663 shares of common stock in ATM offerings resulting in net proceeds of $26.2 million. As of December 31, 2021, $167.3 million remains available for sale under the sales agreement with Cowen.</w:t>
      </w:r>
    </w:p>
    <w:p>
      <w:pPr>
        <w:spacing w:after="0" w:line="184"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In June 2020, we sold 13,457,447 shares of our common stock, which included 1,755,319 shares sold pursuant to the full exercise of the underwriters' option to purchase additional shares, in an underwritten public offering at a price of $47.00 per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share, which resulted in net proceeds of approximately $595.7 million after deducting the underwriting discounts and commissions and other expenses.</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primary use of cash is for operating expenses, which consist primarily of clinical manufacturing and research and development expenditures related to our lead product candidates, other research efforts, and to a lesser extent, general and administrative expenditures. Cash used to fund operating expenses is impacted by the timing of when we pay these expenses, as reflected in the change in our outstanding accounts payable and accrued expenses and other current liabilities.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candidates are still in the early stages of clinical and preclinical development and the outcome of these efforts is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uncertain. Accordingly, we cannot estimate the actual amounts necessary to successfully complete the development and commercialization of our product candidates or whether, or when, we may achieve profitability. Until such time, if ever, as we can generate substantial product revenue, we expect to finance our cash needs through a combination of equity or debt financings and collaboration and license arrangements. If, and when,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when needed, we will need to delay, reduce or terminate planned activities to reduce costs. Doing so will likely harm our ability to execute our business plans.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center"/>
              <w:ind w:left="70"/>
              <w:spacing w:after="0"/>
              <w:rPr>
                <w:sz w:val="20"/>
                <w:szCs w:val="20"/>
                <w:color w:val="auto"/>
              </w:rPr>
            </w:pPr>
            <w:r>
              <w:rPr>
                <w:rFonts w:ascii="Arial" w:cs="Arial" w:eastAsia="Arial" w:hAnsi="Arial"/>
                <w:sz w:val="18"/>
                <w:szCs w:val="18"/>
                <w:b w:val="1"/>
                <w:bCs w:val="1"/>
                <w:color w:val="auto"/>
                <w:w w:val="90"/>
              </w:rPr>
              <w:t>Year Ended December 31,</w:t>
            </w: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8"/>
              </w:rPr>
              <w:t>(in thousands)</w:t>
            </w: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Net cash (used in) provided by:</w:t>
            </w:r>
          </w:p>
        </w:tc>
        <w:tc>
          <w:tcPr>
            <w:tcW w:w="10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880"/>
              <w:spacing w:after="0"/>
              <w:rPr>
                <w:sz w:val="20"/>
                <w:szCs w:val="20"/>
                <w:color w:val="auto"/>
              </w:rPr>
            </w:pPr>
            <w:r>
              <w:rPr>
                <w:rFonts w:ascii="Arial" w:cs="Arial" w:eastAsia="Arial" w:hAnsi="Arial"/>
                <w:sz w:val="18"/>
                <w:szCs w:val="18"/>
                <w:color w:val="auto"/>
              </w:rPr>
              <w:t>Operating activities</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(184,812)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(115,093)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(137,350)</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163,655</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(505,123)</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164,084</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Financing activities</w:t>
            </w:r>
          </w:p>
        </w:tc>
        <w:tc>
          <w:tcPr>
            <w:tcW w:w="10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w:t>
            </w:r>
          </w:p>
        </w:tc>
        <w:tc>
          <w:tcPr>
            <w:tcW w:w="1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633,591</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58,960</w:t>
            </w:r>
          </w:p>
        </w:tc>
        <w:tc>
          <w:tcPr>
            <w:tcW w:w="0" w:type="dxa"/>
            <w:vAlign w:val="bottom"/>
          </w:tcPr>
          <w:p>
            <w:pPr>
              <w:spacing w:after="0"/>
              <w:rPr>
                <w:sz w:val="1"/>
                <w:szCs w:val="1"/>
                <w:color w:val="auto"/>
              </w:rPr>
            </w:pPr>
          </w:p>
        </w:tc>
      </w:tr>
      <w:tr>
        <w:trPr>
          <w:trHeight w:val="155"/>
        </w:trPr>
        <w:tc>
          <w:tcPr>
            <w:tcW w:w="4320" w:type="dxa"/>
            <w:vAlign w:val="bottom"/>
            <w:shd w:val="clear" w:color="auto" w:fill="CFF0FC"/>
          </w:tcPr>
          <w:p>
            <w:pPr>
              <w:ind w:left="680"/>
              <w:spacing w:after="0" w:line="156" w:lineRule="exact"/>
              <w:rPr>
                <w:sz w:val="20"/>
                <w:szCs w:val="20"/>
                <w:color w:val="auto"/>
              </w:rPr>
            </w:pPr>
            <w:r>
              <w:rPr>
                <w:rFonts w:ascii="Arial" w:cs="Arial" w:eastAsia="Arial" w:hAnsi="Arial"/>
                <w:sz w:val="18"/>
                <w:szCs w:val="18"/>
                <w:color w:val="auto"/>
                <w:w w:val="90"/>
              </w:rPr>
              <w:t>Net increase (decrease) in cash, cash equivalents</w:t>
            </w:r>
          </w:p>
        </w:tc>
        <w:tc>
          <w:tcPr>
            <w:tcW w:w="102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(9,194)</w:t>
            </w:r>
          </w:p>
        </w:tc>
        <w:tc>
          <w:tcPr>
            <w:tcW w:w="10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13,375</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85,694</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and restricted cash</w:t>
            </w: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14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year ended December 31, 2021, cash used in operating activities of $184.8 million was attributable to a net loss of $257.0 million, substantially offset by non-cash charges of $104.3 million and a net change of $32.1 million in our net operating assets and liabilities. The non-cash charges consisted primarily of stock-based compensation of $80.8 million, depreciation and amortization of $10.5 million, net amortization and accretion on investment securities of $7.0 million, share of losses from equity method investments of $3.4 million, and non-cash rent expense of $2.6 million. The net change in operating assets and liabilities was primarily due to a $38.6 million decrease in deferred revenue within current liabilities, a $0.8 million decrease in accounts payable, and a $0.6 million increase in other long term assets, offset by a decrease in prepaid expenses and other current assets of $3.2 million and a decrease in accrued and other current liabilities of $3.7 million, and an increase in other-long term liabilities $1.0 million.</w:t>
      </w:r>
    </w:p>
    <w:p>
      <w:pPr>
        <w:spacing w:after="0" w:line="16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During the year ended December 31, 2020, cash used in operating activities of $115.1 million was attributable to a net loss of $250.2 million, substantially offset by non-cash charges of $81.2 million and a net change of $53.9 million in our net operating assets and liabilities. The non-cash charges consisted primarily of stock-based compensation of $65.3 million, depreciation and amortization of $7.4 million, non-cash rent expense of $4.0 million and net amortization and accretion on investment securities of $3.3 million. The net change in operating assets and liabilities was primarily due to a $39.0 million increase in deferred revenue within current liabilities, a $18.7 million increase in accrued and other current liabilities and $0.6 million increase in accounts payable, offset by an increase in prepaid expenses and other current assets of $3.2 million and a decrease in other-long term liabilities of $1.3 million.</w:t>
      </w:r>
    </w:p>
    <w:p>
      <w:pPr>
        <w:spacing w:after="0" w:line="19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During the year ended December 31, 2019, cash used in operating activities of $137.4 million was attributable to a net loss of $184.6 million, substantially offset by non-cash charges of $54.1 million and a net change of $6.9 million in our net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assets and liabilities. The non-cash charges consisted primarily of stock-based compensation of $46.1 million, non-cash rent expense of $6.8 million and depreciation and amortization of $4.4 million, offset by net amortization and accretion on investment securities of $3.6 million. The net change in operating assets and liabilities was primarily due to a $6.4 million increase in accrued and other current liabilities, offset by an increase in prepaid expenses and other current assets of $5.4 million, an increase in other long-term assets of $4.4 million and a decrease in other-long term liabilities of $2.4 million.</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During the year ended December 31, 2021, net cash provided by investing activities of $163.7 million was related to cash inflows from maturities of investments of $728.4 million, offset by the purchase of investments of $525.6 million, purchases of property and equipment of $21.4 million, and purchase of stock in equity method investment of $17.7 million.</w:t>
      </w:r>
    </w:p>
    <w:p>
      <w:pPr>
        <w:spacing w:after="0" w:line="184"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During the year ended December 31, 2020, net cash used by investing activities of $505.1 million was related to the purchase of investments of $1.0 billion and purchases of property and equipment of $66.0 million, offset by cash inflows from maturities of investments of $593.6 million and cash inflows from sales of investments of $4.8 million.</w:t>
      </w:r>
    </w:p>
    <w:p>
      <w:pPr>
        <w:spacing w:after="0" w:line="184"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During the year ended December 31, 2019, net cash provided by investing activities of $164.1 million was related to proceeds from investment maturities of $472.6 million, offset by cash used for investment purchases of $252.6 million, cash used in purchases of property and equipment of $50.8 million and cash used in connection with our investment in Notch’s series seed convertible preferred stock of $5.1 million, inclusive of transaction costs.</w:t>
      </w: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During the year ended December 31, 2021, net cash provided by financing activities of $12.0 million was related to proceeds from the issuance of common stock upon the exercise of stock options of $8.3 million and proceeds from the employee stock purchase plan of $3.6 million.</w:t>
      </w:r>
    </w:p>
    <w:p>
      <w:pPr>
        <w:spacing w:after="0" w:line="14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the year ended December 31, 2020, net cash provided by financing activities of $633.6 million was related to net proceeds from the issuance of common stock in ATM offerings and an underwritten public offering of $621.9 million, proceeds from the issuance of common stock upon the exercise of stock options of $8.8 million and proceeds from the employee stock purchase plan of $2.8 million.</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year ended December 31, 2019, net cash provided by financing activities of $59.0 million was related to net proceeds from the issuance of common stock in ATM offerings of $54.2 million, proceeds from the issuance of common stock upon the exercise of stock options of $3.0 million and proceeds from the employee stock purchase plan of $1.8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Material Cash Commitments and Requirements</w:t>
      </w:r>
    </w:p>
    <w:p>
      <w:pPr>
        <w:spacing w:after="0" w:line="11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commitments primarily consist of obligations under our agreements with Pfizer, Cellectis, Servier and Notch. Under these agreements we are required to make milestone payments upon successful completion of certain regulatory and sales milestones on a target-by-target and country-by-country basis. The payment obligations under the license agreements are contingent upon future events such as our achievement of specified development, regulatory and commercial milestones and we will be required to make development milestone payments and royalty payments in connection with the sale of products developed under these agreements. As of December 31, 2021, we were unable to estimate the timing or likelihood of achieving the milestones or making future product sales.</w:t>
      </w:r>
    </w:p>
    <w:p>
      <w:pPr>
        <w:spacing w:after="0" w:line="19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Additionally, we have entered into agreements with third-party contract manufacturers for the manufacture and processing of certain of our product candidates for clinical testing purposes, and we have entered and will enter into other contracts in the normal course of business with contract research organizations for clinical trials and other vendors for other services and products for operating purposes. These agreements generally provide for termination or cancellation, other than for costs already incurred. As of December 31, 2021, the Company had non-cancellable purchase commitments of $3.7 million.</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October 6, 2020, we announced we entered into a strategic five-year collaboration agreement with MD Anderson for the preclinical and clinical investigation of allogeneic CAR T cell product candidates. We and MD Anderson are collaborating on the design and conduct of preclinical and clinical studies with oversight from a joint steering committee. Under the terms of the agreement, we have committed up to $15.0 million of funding for the duration of the agreement. Payment of</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this funding is contingent on mutual agreement to study orders in order for any study to be included under the alliance. We made an upfront payment of $3.0 million to MD Anderson in the year ended December 31, 2020. We are obligated to make further payments to MD Anderson each year upon the anniversary of the agreement effective date through the duration of the agreement term. The agreement may be terminated by either party for material breach by the other party. Individual studies may be terminated for, among other things, material breach, health and safety concerns or where the institutional review board, the review board at the clinical site with oversight of the clinical study, requests termination of any study. Where any legal or regulatory authorization is finally withdrawn or terminated, the relevant study will also terminate automatically.</w:t>
      </w:r>
    </w:p>
    <w:p>
      <w:pPr>
        <w:spacing w:after="0" w:line="16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July 2020, we entered into a Solar Power Purchase and Energy Services Agreement for the installation and operation of a solar photovoltaic generating system and battery energy storage system at our manufacturing facility in Newark, California. The agreement has a term of 20 years and is expected to commence in the first half of 2022. We are obligated to pay for electricity generated from the system at an agreed rate for the duration of the agreement term. Termination of the agreement by us will result in a termination payment due of approximately $4.3 million. In connection with the agreement, we maintain a letter of credit for the benefit of the service provider in the amount of $4.3 million which is disclosed as restricted cash in the consolidated balance sheet as of December 31, 2021.</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also have a Change in Control and Severance Plan that require the funding of specific payments, if certain events occur, such as a change of control and the termination of employment without cause.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believe that the assumptions and estimates associated with accrued research and development expenditures, revenue recognition, research and development expenses, stock-based compensation and leases have the most significant impact on our consolidated financial statements. Therefore, we consider these to be our critical accounting policies and estimates.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accrue liabilities for estimated costs of research and development activities conducted by our collaboration partners and third-party service providers, which include the conduct of preclinical and clinical studies, and contract manufacturing activities. We recorded the estimated costs of research and development activities based upon the estimated amount of services provided but not yet invoiced, and includes these costs in the accrued and other current liabilities on the consolidated balance sheets and within research and development expense on the consolidated statements of operations and comprehensive loss.</w:t>
      </w:r>
    </w:p>
    <w:p>
      <w:pPr>
        <w:spacing w:after="0" w:line="188"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accrue for these costs based on factors such as estimates of the work completed in accordance with agreements established with our collaboration partners and third-party service providers. We make estimates in determining the accrued liabilities balance in each reporting period. As actual costs become known, we adjust its accrued liabilities. We have not experienced any material differences between accrued costs and actual costs incurred since our inception.</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40" w:firstLine="810"/>
        <w:spacing w:after="0" w:line="291" w:lineRule="auto"/>
        <w:rPr>
          <w:sz w:val="20"/>
          <w:szCs w:val="20"/>
          <w:color w:val="auto"/>
        </w:rPr>
      </w:pPr>
      <w:r>
        <w:rPr>
          <w:rFonts w:ascii="Arial" w:cs="Arial" w:eastAsia="Arial" w:hAnsi="Arial"/>
          <w:sz w:val="16"/>
          <w:szCs w:val="16"/>
          <w:color w:val="auto"/>
        </w:rPr>
        <w:t>Our revenue is generated through collaboration research and license agreements. The terms of these agreements may contain multiple deliverables which may include (i) grant of licenses, (ii) transfer of know-how, (iii) research and development activities, (iii) clinical manufacturing and,</w:t>
      </w:r>
    </w:p>
    <w:p>
      <w:pPr>
        <w:jc w:val="both"/>
        <w:ind w:right="280" w:firstLine="8"/>
        <w:spacing w:after="0" w:line="255" w:lineRule="auto"/>
        <w:tabs>
          <w:tab w:leader="none" w:pos="3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supply. The payment terms of these agreements may include nonrefundable upfront fees, payments for research and development activities, payments based upon the achievement of certain milestones, royalty payments based on product sales derived from the collaboration, and payments for supplying product.</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analyze our collaboration arrangements to assess whether they are within the scope of ASC 808, Collaborative Arrangements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we first determine which elements of the collaboration are deemed to be within the scope of ASC 808 and those that are more reflective of a vendor-customer relationship and, therefore, within the scope of Topic 606, Revenue from Contracts with Customers (ASC 606). For elements of collaboration arrangements that are accounted for pursuant to ASC 808, an appropriate recognition method is determined and applied consistently, generally by analogy to Topic 606.</w:t>
      </w:r>
    </w:p>
    <w:p>
      <w:pPr>
        <w:spacing w:after="0" w:line="219" w:lineRule="exact"/>
        <w:rPr>
          <w:sz w:val="20"/>
          <w:szCs w:val="20"/>
          <w:color w:val="auto"/>
        </w:rPr>
      </w:pPr>
    </w:p>
    <w:p>
      <w:pPr>
        <w:jc w:val="both"/>
        <w:ind w:firstLine="810"/>
        <w:spacing w:after="0" w:line="268" w:lineRule="auto"/>
        <w:rPr>
          <w:sz w:val="20"/>
          <w:szCs w:val="20"/>
          <w:color w:val="auto"/>
        </w:rPr>
      </w:pPr>
      <w:r>
        <w:rPr>
          <w:rFonts w:ascii="Arial" w:cs="Arial" w:eastAsia="Arial" w:hAnsi="Arial"/>
          <w:sz w:val="16"/>
          <w:szCs w:val="16"/>
          <w:color w:val="auto"/>
        </w:rPr>
        <w:t>For elements of those arrangements that we determine should be accounted for under ASC 606, we assess which activities in our collaboration agreements are performance obligations that should be accounted for separately and determine the transaction price of the arrangement, which includes the assessment of the probability of achievement of future milestones and other potential consideration. A performance obligation represents a promise in a contract to transfer a distinct good or service to a customer, which represents a unit of accounting in accordance with ASC 606.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 A portion of the consideration should be allocated to each distinct performance obligation and recognized as revenue when, or as, the performance obligation is satisfied. The total consideration which we expect to collect in exchange for our products is an estimate and may be fixed or variable. We constrain the estimated variable consideration when we assess it is probable that a significant reversal in the amount of cumulative revenue recognized may occur in future periods. The transaction price is re-evaluated, including the estimated variable consideration included in the transaction price and all constrained amounts, in each reporting period and as uncertain events are resolved or other changes in circumstances occur. The allocation of the transaction price is performed based on standalone selling prices, which are based on estimated amounts that we would charge for a performance obligation if it were sold separately. Revenue is recognized when, or as, performance obligations in the contracts are satisfied, in the amount reflecting the expected consideration to be received from the goods or services transferred to the customers. Funds received in advance are recorded as deferred revenue and are recognized as the related performance obligation is satisfied.</w:t>
      </w:r>
    </w:p>
    <w:p>
      <w:pPr>
        <w:spacing w:after="0" w:line="1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expense research and development costs as incurred. Acquired intangible assets are expensed as research and development costs if, at the time of payment, the technology is under development; is not approved by the FDA or other regulatory agencies for marketing; has not reached technical feasibility; or otherwise has no foreseeable alternative future use.</w:t>
      </w:r>
    </w:p>
    <w:p>
      <w:pPr>
        <w:spacing w:after="0" w:line="184" w:lineRule="exact"/>
        <w:rPr>
          <w:sz w:val="20"/>
          <w:szCs w:val="20"/>
          <w:color w:val="auto"/>
        </w:rPr>
      </w:pPr>
    </w:p>
    <w:p>
      <w:pPr>
        <w:jc w:val="both"/>
        <w:ind w:right="60" w:firstLine="648"/>
        <w:spacing w:after="0" w:line="301" w:lineRule="auto"/>
        <w:rPr>
          <w:sz w:val="20"/>
          <w:szCs w:val="20"/>
          <w:color w:val="auto"/>
        </w:rPr>
      </w:pPr>
      <w:r>
        <w:rPr>
          <w:rFonts w:ascii="Arial" w:cs="Arial" w:eastAsia="Arial" w:hAnsi="Arial"/>
          <w:sz w:val="16"/>
          <w:szCs w:val="16"/>
          <w:color w:val="auto"/>
        </w:rPr>
        <w:t>Research and development expenses also include costs incurred for internal and sponsored and collaborative research and development activities. Research and development costs consist of salaries and benefits, including associated stock-based compensation, and laboratory supplies and facility costs, as well as fees paid to other entities that conduct certain research and development activities on our behalf. Costs associated with co-development activities performed under the various license and collaboration agreements, including milestones achieved, are included in research and development expenses.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recognize compensation costs related to stock-based awards granted to employees and directors, including stock options, based on the estimated fair value of the awards on the date of grant. We estimate the grant date fair value, and the resulting stock-based compensation, using the Black-Scholes option-pricing model. The grant date fair value of the stock-based awards is generally recognized on a straight-line basis over the requisite service period, which is generally the vesting period of the respective awards.</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Black-Scholes option-pricing model requires the use of subjective assumptions to determine the fair value of stock-based awards. These assumptions include:</w:t>
      </w:r>
    </w:p>
    <w:p>
      <w:pPr>
        <w:spacing w:after="0" w:line="62" w:lineRule="exact"/>
        <w:rPr>
          <w:sz w:val="20"/>
          <w:szCs w:val="20"/>
          <w:color w:val="auto"/>
        </w:rPr>
      </w:pPr>
    </w:p>
    <w:p>
      <w:pPr>
        <w:ind w:left="1300" w:hanging="644"/>
        <w:spacing w:after="0" w:line="255" w:lineRule="auto"/>
        <w:tabs>
          <w:tab w:leader="none" w:pos="1162" w:val="left"/>
        </w:tabs>
        <w:numPr>
          <w:ilvl w:val="0"/>
          <w:numId w:val="55"/>
        </w:numPr>
        <w:rPr>
          <w:rFonts w:ascii="MS PGothic" w:cs="MS PGothic" w:eastAsia="MS PGothic" w:hAnsi="MS PGothic"/>
          <w:sz w:val="18"/>
          <w:szCs w:val="18"/>
          <w:i w:val="1"/>
          <w:iCs w:val="1"/>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—For grants before October 2018 when we were private and there was no public market for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fair value of our common stock underlying share-based awards was estimated on each grant date by our board of directors. In order to determine the fair value of our common stock underlying option grants, our board of directors considered, among other things, valuations of our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For all grants subsequent to our IPO in October 2018,</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fair value of common stock was determined by taking the closing price per share of common stock per Nasdaq.</w:t>
      </w:r>
    </w:p>
    <w:p>
      <w:pPr>
        <w:spacing w:after="0" w:line="117" w:lineRule="exact"/>
        <w:rPr>
          <w:sz w:val="20"/>
          <w:szCs w:val="20"/>
          <w:color w:val="auto"/>
        </w:rPr>
      </w:pPr>
    </w:p>
    <w:p>
      <w:pPr>
        <w:ind w:left="1300" w:right="120" w:hanging="644"/>
        <w:spacing w:after="0" w:line="263" w:lineRule="auto"/>
        <w:tabs>
          <w:tab w:leader="none" w:pos="1162" w:val="left"/>
        </w:tabs>
        <w:numPr>
          <w:ilvl w:val="0"/>
          <w:numId w:val="56"/>
        </w:numPr>
        <w:rPr>
          <w:rFonts w:ascii="MS PGothic" w:cs="MS PGothic" w:eastAsia="MS PGothic" w:hAnsi="MS PGothic"/>
          <w:sz w:val="18"/>
          <w:szCs w:val="18"/>
          <w:i w:val="1"/>
          <w:iCs w:val="1"/>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stock-based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grants is determined using the simplified method. The simplified method deems the term to be the average of the time-to-vesting and the contractual life of the stock-based awards.</w:t>
      </w:r>
    </w:p>
    <w:p>
      <w:pPr>
        <w:spacing w:after="0" w:line="75" w:lineRule="exact"/>
        <w:rPr>
          <w:rFonts w:ascii="MS PGothic" w:cs="MS PGothic" w:eastAsia="MS PGothic" w:hAnsi="MS PGothic"/>
          <w:sz w:val="18"/>
          <w:szCs w:val="18"/>
          <w:i w:val="1"/>
          <w:iCs w:val="1"/>
          <w:color w:val="auto"/>
        </w:rPr>
      </w:pPr>
    </w:p>
    <w:p>
      <w:pPr>
        <w:ind w:left="1300" w:right="100" w:hanging="644"/>
        <w:spacing w:after="0" w:line="257" w:lineRule="auto"/>
        <w:tabs>
          <w:tab w:leader="none" w:pos="1162" w:val="left"/>
        </w:tabs>
        <w:numPr>
          <w:ilvl w:val="0"/>
          <w:numId w:val="56"/>
        </w:numPr>
        <w:rPr>
          <w:rFonts w:ascii="MS PGothic" w:cs="MS PGothic" w:eastAsia="MS PGothic" w:hAnsi="MS PGothic"/>
          <w:sz w:val="18"/>
          <w:szCs w:val="18"/>
          <w:i w:val="1"/>
          <w:iCs w:val="1"/>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We use an average historical stock price volatility of comparable public companies within the biotechnology and</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 industry that were deemed to be representative of future stock price trends, in addition to some consideration to our own stock price volatility. We continue to utilize comparable public companies as part of this process as we do not have sufficient trading history for our common stock. We will continue to apply this process until a sufficient amount of historical information regarding the volatility of our own stock price becomes available.</w:t>
      </w:r>
    </w:p>
    <w:p>
      <w:pPr>
        <w:spacing w:after="0" w:line="79" w:lineRule="exact"/>
        <w:rPr>
          <w:rFonts w:ascii="MS PGothic" w:cs="MS PGothic" w:eastAsia="MS PGothic" w:hAnsi="MS PGothic"/>
          <w:sz w:val="18"/>
          <w:szCs w:val="18"/>
          <w:i w:val="1"/>
          <w:iCs w:val="1"/>
          <w:color w:val="auto"/>
        </w:rPr>
      </w:pPr>
    </w:p>
    <w:p>
      <w:pPr>
        <w:ind w:left="1300" w:right="40" w:hanging="644"/>
        <w:spacing w:after="0" w:line="277" w:lineRule="auto"/>
        <w:tabs>
          <w:tab w:leader="none" w:pos="1162" w:val="left"/>
        </w:tabs>
        <w:numPr>
          <w:ilvl w:val="0"/>
          <w:numId w:val="56"/>
        </w:numPr>
        <w:rPr>
          <w:rFonts w:ascii="MS PGothic" w:cs="MS PGothic" w:eastAsia="MS PGothic" w:hAnsi="MS PGothic"/>
          <w:sz w:val="18"/>
          <w:szCs w:val="18"/>
          <w:i w:val="1"/>
          <w:iCs w:val="1"/>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62" w:lineRule="exact"/>
        <w:rPr>
          <w:rFonts w:ascii="MS PGothic" w:cs="MS PGothic" w:eastAsia="MS PGothic" w:hAnsi="MS PGothic"/>
          <w:sz w:val="18"/>
          <w:szCs w:val="18"/>
          <w:i w:val="1"/>
          <w:iCs w:val="1"/>
          <w:color w:val="auto"/>
        </w:rPr>
      </w:pPr>
    </w:p>
    <w:p>
      <w:pPr>
        <w:ind w:left="1300" w:right="600" w:hanging="644"/>
        <w:spacing w:after="0" w:line="277" w:lineRule="auto"/>
        <w:tabs>
          <w:tab w:leader="none" w:pos="1162" w:val="left"/>
        </w:tabs>
        <w:numPr>
          <w:ilvl w:val="0"/>
          <w:numId w:val="56"/>
        </w:numPr>
        <w:rPr>
          <w:rFonts w:ascii="MS PGothic" w:cs="MS PGothic" w:eastAsia="MS PGothic" w:hAnsi="MS PGothic"/>
          <w:sz w:val="18"/>
          <w:szCs w:val="18"/>
          <w:i w:val="1"/>
          <w:iCs w:val="1"/>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its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For the years ended December 31, 2021, 2020 and 2019, stock-based compensation was $80.8 million, $65.3 million and $46.1 million, respectively. As of December 31, 2021 and 2020, we had $169.6 million and $149.4 million, respectively, of total unrecognized stock-based compensation relating to options, restricted stock units and founders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early adopted Accounting Standards Update (ASU) No. 2016-02, Leases as of January 1, 2018. For our long-term operating leases, we recognized right-of-use assets and lease liabilities on our consolidated balance sheet. The lease liabilities are determined as the present value of future lease payments using an estimated rate of interest that we would have to pay to borrow equivalent funds on a collateralized basis at the lease commencement date. The right-of-use assets are based on the liability adjusted for any prepaid or deferred rent. For each lease, the lease term at the commencement date is determined by considering whether renewal options and termination options are reasonably assured of exercise.</w:t>
      </w:r>
    </w:p>
    <w:p>
      <w:pPr>
        <w:spacing w:after="0" w:line="176"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Rent expense for the operating lease is recognized on a straight-line basis over the lease term and is included in operating expenses on the consolidated statements of operations and comprehensive loss. Variable lease payments include lease operating expenses.</w:t>
      </w:r>
    </w:p>
    <w:p>
      <w:pPr>
        <w:spacing w:after="0" w:line="12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elected to exclude from our consolidated balance sheets recognition of leases having a term of 12 months or less (short-term leases) and elected to not separate lease components and non-lease components for our long-term real estate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refer to Note 2 to our consolidated financial statements for a discussion of new accounting standards and updates that may impact us.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cash, cash equivalents and investments of $809.5 million as of December 31, 2021, consist of bank deposits, money market funds and available-for-sale securities. Such interest-earning instruments carry a degree of interest rate risk; however, historical fluctuations in interest income have not been significant for us. A 10% change in the interest rates in effect on December 31, 2021 would not have had a material effect on the fair market value of our cash equivalents and available-for-sale securities.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collaboration agreement with Servier requires collaboration payments for shared clinical development costs to be paid in euros, and thus 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adverse movement in foreign exchange rates could have an effect on payments due and made to our collaboration partner as well as other foreign suppliers and for license agreements. A 10% change in the applicable foreign exchange rates during the periods presented would not have had a material effect on our consolidated financial statements. As of December 31, 2021, we had $4.1 million of other receivables and $0.2 million of current liabilities denominated in foreign currency.</w:t>
      </w: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68" w:right="5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9620" w:type="dxa"/>
            <w:vAlign w:val="bottom"/>
            <w:gridSpan w:val="10"/>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871"/>
        </w:trPr>
        <w:tc>
          <w:tcPr>
            <w:tcW w:w="962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620" w:type="dxa"/>
            <w:vAlign w:val="bottom"/>
          </w:tcPr>
          <w:p>
            <w:pPr>
              <w:spacing w:after="0"/>
              <w:rPr>
                <w:sz w:val="24"/>
                <w:szCs w:val="24"/>
                <w:color w:val="auto"/>
              </w:rPr>
            </w:pPr>
          </w:p>
        </w:tc>
      </w:tr>
      <w:tr>
        <w:trPr>
          <w:trHeight w:val="54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60" w:type="dxa"/>
            <w:vAlign w:val="bottom"/>
            <w:gridSpan w:val="5"/>
          </w:tcPr>
          <w:p>
            <w:pPr>
              <w:ind w:left="160"/>
              <w:spacing w:after="0"/>
              <w:rPr>
                <w:sz w:val="20"/>
                <w:szCs w:val="20"/>
                <w:color w:val="auto"/>
              </w:rPr>
            </w:pPr>
            <w:r>
              <w:rPr>
                <w:rFonts w:ascii="Arial" w:cs="Arial" w:eastAsia="Arial" w:hAnsi="Arial"/>
                <w:sz w:val="18"/>
                <w:szCs w:val="18"/>
                <w:b w:val="1"/>
                <w:bCs w:val="1"/>
                <w:color w:val="auto"/>
              </w:rPr>
              <w:t>INDEX TO CONSOLIDATED FINANCIAL STATEMENTS</w:t>
            </w:r>
          </w:p>
        </w:tc>
        <w:tc>
          <w:tcPr>
            <w:tcW w:w="16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80" w:type="dxa"/>
            <w:vAlign w:val="bottom"/>
            <w:gridSpan w:val="4"/>
          </w:tcPr>
          <w:p>
            <w:pPr>
              <w:jc w:val="center"/>
              <w:ind w:right="2000"/>
              <w:spacing w:after="0"/>
              <w:rPr>
                <w:sz w:val="20"/>
                <w:szCs w:val="20"/>
                <w:color w:val="auto"/>
              </w:rPr>
            </w:pPr>
            <w:r>
              <w:rPr>
                <w:rFonts w:ascii="Arial" w:cs="Arial" w:eastAsia="Arial" w:hAnsi="Arial"/>
                <w:sz w:val="18"/>
                <w:szCs w:val="18"/>
                <w:color w:val="auto"/>
                <w:w w:val="88"/>
              </w:rPr>
              <w:t>For the years ended December 31, 2021 and 2020</w:t>
            </w:r>
          </w:p>
        </w:tc>
        <w:tc>
          <w:tcPr>
            <w:tcW w:w="16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9580" w:type="dxa"/>
            <w:vAlign w:val="bottom"/>
            <w:gridSpan w:val="9"/>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42)</w:t>
            </w:r>
          </w:p>
        </w:tc>
        <w:tc>
          <w:tcPr>
            <w:tcW w:w="162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91</w:t>
              </w:r>
            </w:hyperlink>
          </w:p>
        </w:tc>
      </w:tr>
      <w:tr>
        <w:trPr>
          <w:trHeight w:val="304"/>
        </w:trPr>
        <w:tc>
          <w:tcPr>
            <w:tcW w:w="40" w:type="dxa"/>
            <w:vAlign w:val="bottom"/>
          </w:tcPr>
          <w:p>
            <w:pPr>
              <w:spacing w:after="0"/>
              <w:rPr>
                <w:sz w:val="24"/>
                <w:szCs w:val="24"/>
                <w:color w:val="auto"/>
              </w:rPr>
            </w:pPr>
          </w:p>
        </w:tc>
        <w:tc>
          <w:tcPr>
            <w:tcW w:w="42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Consolidated Financial Statements:</w:t>
            </w:r>
          </w:p>
        </w:tc>
        <w:tc>
          <w:tcPr>
            <w:tcW w:w="536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0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94">
              <w:r>
                <w:rPr>
                  <w:rFonts w:ascii="Arial" w:cs="Arial" w:eastAsia="Arial" w:hAnsi="Arial"/>
                  <w:sz w:val="18"/>
                  <w:szCs w:val="18"/>
                  <w:color w:val="0000FF"/>
                  <w:w w:val="88"/>
                </w:rPr>
                <w:t>Consolidated Balance Sheets</w:t>
              </w:r>
            </w:hyperlink>
          </w:p>
        </w:tc>
        <w:tc>
          <w:tcPr>
            <w:tcW w:w="7040" w:type="dxa"/>
            <w:vAlign w:val="bottom"/>
            <w:gridSpan w:val="6"/>
          </w:tcPr>
          <w:p>
            <w:pPr>
              <w:spacing w:after="0"/>
              <w:rPr>
                <w:sz w:val="21"/>
                <w:szCs w:val="21"/>
                <w:color w:val="auto"/>
              </w:rPr>
            </w:pPr>
          </w:p>
        </w:tc>
        <w:tc>
          <w:tcPr>
            <w:tcW w:w="162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93</w:t>
              </w:r>
            </w:hyperlink>
          </w:p>
        </w:tc>
      </w:tr>
      <w:tr>
        <w:trPr>
          <w:trHeight w:val="209"/>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140" w:type="dxa"/>
            <w:vAlign w:val="bottom"/>
            <w:gridSpan w:val="8"/>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Consolidated Statements of Operations and Comprehensive Loss</w:t>
              </w:r>
            </w:hyperlink>
          </w:p>
        </w:tc>
        <w:tc>
          <w:tcPr>
            <w:tcW w:w="162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94</w:t>
              </w:r>
            </w:hyperlink>
          </w:p>
        </w:tc>
      </w:tr>
      <w:tr>
        <w:trPr>
          <w:trHeight w:val="210"/>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0"/>
              </w:rPr>
            </w:pPr>
            <w:hyperlink w:anchor="page96">
              <w:r>
                <w:rPr>
                  <w:rFonts w:ascii="Arial" w:cs="Arial" w:eastAsia="Arial" w:hAnsi="Arial"/>
                  <w:sz w:val="18"/>
                  <w:szCs w:val="18"/>
                  <w:color w:val="0000FF"/>
                  <w:w w:val="90"/>
                </w:rPr>
                <w:t>Consolidated Statements of Stockholders’ Equity</w:t>
              </w:r>
            </w:hyperlink>
          </w:p>
        </w:tc>
        <w:tc>
          <w:tcPr>
            <w:tcW w:w="1120" w:type="dxa"/>
            <w:vAlign w:val="bottom"/>
            <w:tcBorders>
              <w:top w:val="single" w:sz="8" w:color="0000FF"/>
            </w:tcBorders>
            <w:gridSpan w:val="2"/>
          </w:tcPr>
          <w:p>
            <w:pPr>
              <w:spacing w:after="0"/>
              <w:rPr>
                <w:sz w:val="18"/>
                <w:szCs w:val="18"/>
                <w:color w:val="auto"/>
              </w:rPr>
            </w:pPr>
          </w:p>
        </w:tc>
        <w:tc>
          <w:tcPr>
            <w:tcW w:w="4460" w:type="dxa"/>
            <w:vAlign w:val="bottom"/>
          </w:tcPr>
          <w:p>
            <w:pPr>
              <w:spacing w:after="0"/>
              <w:rPr>
                <w:sz w:val="18"/>
                <w:szCs w:val="18"/>
                <w:color w:val="auto"/>
              </w:rPr>
            </w:pPr>
          </w:p>
        </w:tc>
        <w:tc>
          <w:tcPr>
            <w:tcW w:w="162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95</w:t>
              </w:r>
            </w:hyperlink>
          </w:p>
        </w:tc>
      </w:tr>
      <w:tr>
        <w:trPr>
          <w:trHeight w:val="209"/>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8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Consolidated Statements of Cash Flows</w:t>
              </w:r>
            </w:hyperlink>
          </w:p>
        </w:tc>
        <w:tc>
          <w:tcPr>
            <w:tcW w:w="6260" w:type="dxa"/>
            <w:vAlign w:val="bottom"/>
            <w:gridSpan w:val="5"/>
          </w:tcPr>
          <w:p>
            <w:pPr>
              <w:spacing w:after="0"/>
              <w:rPr>
                <w:sz w:val="18"/>
                <w:szCs w:val="18"/>
                <w:color w:val="auto"/>
              </w:rPr>
            </w:pPr>
          </w:p>
        </w:tc>
        <w:tc>
          <w:tcPr>
            <w:tcW w:w="162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r>
      <w:tr>
        <w:trPr>
          <w:trHeight w:val="210"/>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Notes to Consolidated Financial Statements</w:t>
              </w:r>
            </w:hyperlink>
          </w:p>
        </w:tc>
        <w:tc>
          <w:tcPr>
            <w:tcW w:w="5980" w:type="dxa"/>
            <w:vAlign w:val="bottom"/>
            <w:gridSpan w:val="4"/>
          </w:tcPr>
          <w:p>
            <w:pPr>
              <w:spacing w:after="0"/>
              <w:rPr>
                <w:sz w:val="18"/>
                <w:szCs w:val="18"/>
                <w:color w:val="auto"/>
              </w:rPr>
            </w:pPr>
          </w:p>
        </w:tc>
        <w:tc>
          <w:tcPr>
            <w:tcW w:w="162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97</w:t>
              </w:r>
            </w:hyperlink>
          </w:p>
        </w:tc>
      </w:tr>
      <w:tr>
        <w:trPr>
          <w:trHeight w:val="1128"/>
        </w:trPr>
        <w:tc>
          <w:tcPr>
            <w:tcW w:w="9620" w:type="dxa"/>
            <w:vAlign w:val="bottom"/>
            <w:gridSpan w:val="10"/>
          </w:tcPr>
          <w:p>
            <w:pPr>
              <w:jc w:val="right"/>
              <w:ind w:right="3900"/>
              <w:spacing w:after="0"/>
              <w:rPr>
                <w:sz w:val="20"/>
                <w:szCs w:val="20"/>
                <w:color w:val="auto"/>
              </w:rPr>
            </w:pPr>
            <w:r>
              <w:rPr>
                <w:rFonts w:ascii="Arial" w:cs="Arial" w:eastAsia="Arial" w:hAnsi="Arial"/>
                <w:sz w:val="18"/>
                <w:szCs w:val="18"/>
                <w:color w:val="auto"/>
              </w:rPr>
              <w:t>90</w:t>
            </w:r>
          </w:p>
        </w:tc>
        <w:tc>
          <w:tcPr>
            <w:tcW w:w="16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Allogene Therapeutics,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We have audited the accompanying consolidated balance sheets of Allogene Therapeutics, Inc. (the Company) as of December 31, 2021 and 2020, the related consolidated statements of operations and comprehensive loss, statements of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75"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23, 2022 expressed an unqualified opinion thereon.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0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Accrued Clinical Trial Expenses</w:t>
      </w:r>
    </w:p>
    <w:p>
      <w:pPr>
        <w:sectPr>
          <w:pgSz w:w="11900" w:h="16838" w:orient="portrait"/>
          <w:cols w:equalWidth="0" w:num="1">
            <w:col w:w="11240"/>
          </w:cols>
          <w:pgMar w:left="320" w:top="368" w:right="339" w:bottom="1440" w:gutter="0" w:footer="0" w:header="0"/>
        </w:sectPr>
      </w:pPr>
    </w:p>
    <w:p>
      <w:pPr>
        <w:spacing w:after="0" w:line="354" w:lineRule="exact"/>
        <w:rPr>
          <w:sz w:val="20"/>
          <w:szCs w:val="20"/>
          <w:color w:val="auto"/>
        </w:rPr>
      </w:pPr>
    </w:p>
    <w:p>
      <w:pPr>
        <w:ind w:left="20"/>
        <w:spacing w:after="0" w:line="261"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As discussed in Note 1 liabilities are recorded for estimated unpaid costs of research and development activities conducted by the Company and its third-party service providers, which include the conduct of preclinical and clinical studies, and contract manufacturing activities. Accrued research and development expenses were $13.5 million as of December 31, 2021 and includes the estimated costs of accrued clinical trial expenses incurred but not yet invoiced under agreements with investigative clinical trial sites that conduct research and development activities on behalf of the Company (“Accrued Clinical Trial Expenses”). The accrual for these Accrued Clinical Trial Expenses is determined after consideration of several factors, including estimates of the work completed. Auditing these Accrued Clinical Trial Expenses was complex due to the required analysis of extensive data in determining the estimated unpaid expenses.</w:t>
      </w:r>
    </w:p>
    <w:p>
      <w:pPr>
        <w:spacing w:after="0" w:line="120" w:lineRule="exact"/>
        <w:rPr>
          <w:sz w:val="20"/>
          <w:szCs w:val="20"/>
          <w:color w:val="auto"/>
        </w:rPr>
      </w:pPr>
    </w:p>
    <w:p>
      <w:pPr>
        <w:sectPr>
          <w:pgSz w:w="11900" w:h="16838" w:orient="portrait"/>
          <w:cols w:equalWidth="0" w:num="2">
            <w:col w:w="1320" w:space="320"/>
            <w:col w:w="9600"/>
          </w:cols>
          <w:pgMar w:left="320" w:top="368"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i w:val="1"/>
                <w:iCs w:val="1"/>
                <w:color w:val="auto"/>
                <w:w w:val="93"/>
              </w:rPr>
              <w:t>How We Addressed</w:t>
            </w:r>
          </w:p>
        </w:tc>
        <w:tc>
          <w:tcPr>
            <w:tcW w:w="9420" w:type="dxa"/>
            <w:vAlign w:val="bottom"/>
          </w:tcPr>
          <w:p>
            <w:pPr>
              <w:ind w:left="120"/>
              <w:spacing w:after="0"/>
              <w:rPr>
                <w:sz w:val="20"/>
                <w:szCs w:val="20"/>
                <w:color w:val="auto"/>
              </w:rPr>
            </w:pPr>
            <w:r>
              <w:rPr>
                <w:rFonts w:ascii="Arial" w:cs="Arial" w:eastAsia="Arial" w:hAnsi="Arial"/>
                <w:sz w:val="18"/>
                <w:szCs w:val="18"/>
                <w:color w:val="auto"/>
                <w:w w:val="96"/>
              </w:rPr>
              <w:t>We obtained an understanding, evaluated the design, and tested the operating effectiveness of relevant controls over the</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i w:val="1"/>
                <w:iCs w:val="1"/>
                <w:color w:val="auto"/>
              </w:rPr>
              <w:t>the Matter in Our</w:t>
            </w:r>
          </w:p>
        </w:tc>
        <w:tc>
          <w:tcPr>
            <w:tcW w:w="9420" w:type="dxa"/>
            <w:vAlign w:val="bottom"/>
          </w:tcPr>
          <w:p>
            <w:pPr>
              <w:ind w:left="120"/>
              <w:spacing w:after="0" w:line="202" w:lineRule="exact"/>
              <w:rPr>
                <w:sz w:val="20"/>
                <w:szCs w:val="20"/>
                <w:color w:val="auto"/>
              </w:rPr>
            </w:pPr>
            <w:r>
              <w:rPr>
                <w:rFonts w:ascii="Arial" w:cs="Arial" w:eastAsia="Arial" w:hAnsi="Arial"/>
                <w:sz w:val="18"/>
                <w:szCs w:val="18"/>
                <w:color w:val="auto"/>
              </w:rPr>
              <w:t>Company’s determination of Accrued Clinical Trial Expenses, including controls over the determination of significant</w:t>
            </w:r>
          </w:p>
        </w:tc>
      </w:tr>
      <w:tr>
        <w:trPr>
          <w:trHeight w:val="257"/>
        </w:trPr>
        <w:tc>
          <w:tcPr>
            <w:tcW w:w="1500" w:type="dxa"/>
            <w:vAlign w:val="bottom"/>
          </w:tcPr>
          <w:p>
            <w:pPr>
              <w:spacing w:after="0"/>
              <w:rPr>
                <w:sz w:val="20"/>
                <w:szCs w:val="20"/>
                <w:color w:val="auto"/>
              </w:rPr>
            </w:pPr>
            <w:r>
              <w:rPr>
                <w:rFonts w:ascii="Arial" w:cs="Arial" w:eastAsia="Arial" w:hAnsi="Arial"/>
                <w:sz w:val="18"/>
                <w:szCs w:val="18"/>
                <w:i w:val="1"/>
                <w:iCs w:val="1"/>
                <w:color w:val="auto"/>
              </w:rPr>
              <w:t>Audit</w:t>
            </w:r>
          </w:p>
        </w:tc>
        <w:tc>
          <w:tcPr>
            <w:tcW w:w="9420" w:type="dxa"/>
            <w:vAlign w:val="bottom"/>
          </w:tcPr>
          <w:p>
            <w:pPr>
              <w:ind w:left="120"/>
              <w:spacing w:after="0"/>
              <w:rPr>
                <w:sz w:val="20"/>
                <w:szCs w:val="20"/>
                <w:color w:val="auto"/>
              </w:rPr>
            </w:pPr>
            <w:r>
              <w:rPr>
                <w:rFonts w:ascii="Arial" w:cs="Arial" w:eastAsia="Arial" w:hAnsi="Arial"/>
                <w:sz w:val="18"/>
                <w:szCs w:val="18"/>
                <w:color w:val="auto"/>
              </w:rPr>
              <w:t>assumptions and the completeness and accuracy of the data used in determining these accrued costs.</w:t>
            </w:r>
          </w:p>
        </w:tc>
      </w:tr>
      <w:tr>
        <w:trPr>
          <w:trHeight w:val="323"/>
        </w:trPr>
        <w:tc>
          <w:tcPr>
            <w:tcW w:w="1500" w:type="dxa"/>
            <w:vAlign w:val="bottom"/>
          </w:tcPr>
          <w:p>
            <w:pPr>
              <w:spacing w:after="0"/>
              <w:rPr>
                <w:sz w:val="24"/>
                <w:szCs w:val="24"/>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w w:val="89"/>
              </w:rPr>
              <w:t>Our audit procedures included, among others, testing the accuracy and completeness of the inputs used in management’s analysis</w:t>
            </w:r>
          </w:p>
        </w:tc>
      </w:tr>
      <w:tr>
        <w:trPr>
          <w:trHeight w:val="189"/>
        </w:trPr>
        <w:tc>
          <w:tcPr>
            <w:tcW w:w="1500" w:type="dxa"/>
            <w:vAlign w:val="bottom"/>
          </w:tcPr>
          <w:p>
            <w:pPr>
              <w:spacing w:after="0"/>
              <w:rPr>
                <w:sz w:val="16"/>
                <w:szCs w:val="16"/>
                <w:color w:val="auto"/>
              </w:rPr>
            </w:pPr>
          </w:p>
        </w:tc>
        <w:tc>
          <w:tcPr>
            <w:tcW w:w="9420" w:type="dxa"/>
            <w:vAlign w:val="bottom"/>
          </w:tcPr>
          <w:p>
            <w:pPr>
              <w:ind w:left="120"/>
              <w:spacing w:after="0" w:line="189" w:lineRule="exact"/>
              <w:rPr>
                <w:sz w:val="20"/>
                <w:szCs w:val="20"/>
                <w:color w:val="auto"/>
              </w:rPr>
            </w:pPr>
            <w:r>
              <w:rPr>
                <w:rFonts w:ascii="Arial" w:cs="Arial" w:eastAsia="Arial" w:hAnsi="Arial"/>
                <w:sz w:val="18"/>
                <w:szCs w:val="18"/>
                <w:color w:val="auto"/>
                <w:w w:val="90"/>
              </w:rPr>
              <w:t>to determine Accrued Clinical Trial Expenses. We verified that the accrued amounts were in accordance the terms and conditions</w:t>
            </w:r>
          </w:p>
        </w:tc>
      </w:tr>
      <w:tr>
        <w:trPr>
          <w:trHeight w:val="189"/>
        </w:trPr>
        <w:tc>
          <w:tcPr>
            <w:tcW w:w="1500" w:type="dxa"/>
            <w:vAlign w:val="bottom"/>
          </w:tcPr>
          <w:p>
            <w:pPr>
              <w:spacing w:after="0"/>
              <w:rPr>
                <w:sz w:val="16"/>
                <w:szCs w:val="16"/>
                <w:color w:val="auto"/>
              </w:rPr>
            </w:pPr>
          </w:p>
        </w:tc>
        <w:tc>
          <w:tcPr>
            <w:tcW w:w="9420" w:type="dxa"/>
            <w:vAlign w:val="bottom"/>
          </w:tcPr>
          <w:p>
            <w:pPr>
              <w:ind w:left="120"/>
              <w:spacing w:after="0" w:line="189" w:lineRule="exact"/>
              <w:rPr>
                <w:sz w:val="20"/>
                <w:szCs w:val="20"/>
                <w:color w:val="auto"/>
              </w:rPr>
            </w:pPr>
            <w:r>
              <w:rPr>
                <w:rFonts w:ascii="Arial" w:cs="Arial" w:eastAsia="Arial" w:hAnsi="Arial"/>
                <w:sz w:val="18"/>
                <w:szCs w:val="18"/>
                <w:color w:val="auto"/>
                <w:w w:val="92"/>
              </w:rPr>
              <w:t>of the underlying agreements and the information provided by third-party service providers. We also evaluated management’s</w:t>
            </w:r>
          </w:p>
        </w:tc>
      </w:tr>
      <w:tr>
        <w:trPr>
          <w:trHeight w:val="189"/>
        </w:trPr>
        <w:tc>
          <w:tcPr>
            <w:tcW w:w="1500" w:type="dxa"/>
            <w:vAlign w:val="bottom"/>
          </w:tcPr>
          <w:p>
            <w:pPr>
              <w:spacing w:after="0"/>
              <w:rPr>
                <w:sz w:val="16"/>
                <w:szCs w:val="16"/>
                <w:color w:val="auto"/>
              </w:rPr>
            </w:pPr>
          </w:p>
        </w:tc>
        <w:tc>
          <w:tcPr>
            <w:tcW w:w="9420" w:type="dxa"/>
            <w:vAlign w:val="bottom"/>
          </w:tcPr>
          <w:p>
            <w:pPr>
              <w:ind w:left="120"/>
              <w:spacing w:after="0" w:line="189" w:lineRule="exact"/>
              <w:rPr>
                <w:sz w:val="20"/>
                <w:szCs w:val="20"/>
                <w:color w:val="auto"/>
              </w:rPr>
            </w:pPr>
            <w:r>
              <w:rPr>
                <w:rFonts w:ascii="Arial" w:cs="Arial" w:eastAsia="Arial" w:hAnsi="Arial"/>
                <w:sz w:val="18"/>
                <w:szCs w:val="18"/>
                <w:color w:val="auto"/>
                <w:w w:val="94"/>
              </w:rPr>
              <w:t>estimates of the progress of the clinical trials by making direct inquiries of the Company’s personnel that oversee the clinical</w:t>
            </w:r>
          </w:p>
        </w:tc>
      </w:tr>
      <w:tr>
        <w:trPr>
          <w:trHeight w:val="230"/>
        </w:trPr>
        <w:tc>
          <w:tcPr>
            <w:tcW w:w="150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trials.</w:t>
            </w:r>
          </w:p>
        </w:tc>
      </w:tr>
    </w:tbl>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82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9"/>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980" w:type="dxa"/>
            <w:vAlign w:val="bottom"/>
          </w:tcPr>
          <w:p>
            <w:pPr>
              <w:jc w:val="center"/>
              <w:ind w:left="1610"/>
              <w:spacing w:after="0"/>
              <w:rPr>
                <w:sz w:val="20"/>
                <w:szCs w:val="20"/>
                <w:color w:val="auto"/>
              </w:rPr>
            </w:pPr>
            <w:r>
              <w:rPr>
                <w:rFonts w:ascii="Arial" w:cs="Arial" w:eastAsia="Arial" w:hAnsi="Arial"/>
                <w:sz w:val="18"/>
                <w:szCs w:val="18"/>
                <w:b w:val="1"/>
                <w:bCs w:val="1"/>
                <w:color w:val="auto"/>
              </w:rPr>
              <w:t>ALLOGENE THERAPEUTICS, INC.</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980" w:type="dxa"/>
            <w:vAlign w:val="bottom"/>
          </w:tcPr>
          <w:p>
            <w:pPr>
              <w:jc w:val="center"/>
              <w:ind w:left="1610"/>
              <w:spacing w:after="0"/>
              <w:rPr>
                <w:sz w:val="20"/>
                <w:szCs w:val="20"/>
                <w:color w:val="auto"/>
              </w:rPr>
            </w:pPr>
            <w:r>
              <w:rPr>
                <w:rFonts w:ascii="Arial" w:cs="Arial" w:eastAsia="Arial" w:hAnsi="Arial"/>
                <w:sz w:val="18"/>
                <w:szCs w:val="18"/>
                <w:b w:val="1"/>
                <w:bCs w:val="1"/>
                <w:color w:val="auto"/>
                <w:w w:val="87"/>
              </w:rPr>
              <w:t>Consolidated Balance Sheets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98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7"/>
                <w:szCs w:val="17"/>
                <w:color w:val="auto"/>
              </w:rPr>
            </w:pP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283,988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644,559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ind w:left="4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471,323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845,130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58,030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Equity method investment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and other 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Lease liability, noncurrent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69,929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50,809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(Notes 6, 7 and 8)</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4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w w:val="91"/>
              </w:rPr>
              <w:t>Preferred stock, $0.001 par value: 10,000,000 authorized as of December 31, 2021 and December 31, 2020;</w:t>
            </w: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no shares were issued and outstanding as of December 31, 2021 and December 31, 2020</w:t>
            </w: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40" w:type="dxa"/>
            <w:vAlign w:val="bottom"/>
            <w:gridSpan w:val="2"/>
          </w:tcPr>
          <w:p>
            <w:pPr>
              <w:ind w:left="260"/>
              <w:spacing w:after="0" w:line="176" w:lineRule="exact"/>
              <w:rPr>
                <w:sz w:val="20"/>
                <w:szCs w:val="20"/>
                <w:color w:val="auto"/>
              </w:rPr>
            </w:pPr>
            <w:r>
              <w:rPr>
                <w:rFonts w:ascii="Arial" w:cs="Arial" w:eastAsia="Arial" w:hAnsi="Arial"/>
                <w:sz w:val="18"/>
                <w:szCs w:val="18"/>
                <w:color w:val="auto"/>
                <w:w w:val="91"/>
              </w:rPr>
              <w:t>Common stock, $0.001 par value: 200,000,000 authorized as of December 31, 2021 and December 31, 2020;</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40" w:type="dxa"/>
            <w:vAlign w:val="bottom"/>
            <w:gridSpan w:val="2"/>
          </w:tcPr>
          <w:p>
            <w:pPr>
              <w:ind w:left="500"/>
              <w:spacing w:after="0" w:line="176" w:lineRule="exact"/>
              <w:rPr>
                <w:sz w:val="20"/>
                <w:szCs w:val="20"/>
                <w:color w:val="auto"/>
              </w:rPr>
            </w:pPr>
            <w:r>
              <w:rPr>
                <w:rFonts w:ascii="Arial" w:cs="Arial" w:eastAsia="Arial" w:hAnsi="Arial"/>
                <w:sz w:val="18"/>
                <w:szCs w:val="18"/>
                <w:color w:val="auto"/>
                <w:w w:val="90"/>
              </w:rPr>
              <w:t>142,623,065 and 140,474,305 shares issued and outstanding as of December 31, 2021 and December 31,</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ind w:left="500"/>
              <w:spacing w:after="0"/>
              <w:rPr>
                <w:sz w:val="20"/>
                <w:szCs w:val="20"/>
                <w:color w:val="auto"/>
              </w:rPr>
            </w:pPr>
            <w:r>
              <w:rPr>
                <w:rFonts w:ascii="Arial" w:cs="Arial" w:eastAsia="Arial" w:hAnsi="Arial"/>
                <w:sz w:val="18"/>
                <w:szCs w:val="18"/>
                <w:color w:val="auto"/>
              </w:rPr>
              <w:t>2020, respectively</w:t>
            </w: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1,822,179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(903,348)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(646,343)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916,406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1,079,617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Collaboration revenue - related party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480" w:right="260"/>
        <w:spacing w:after="0" w:line="319" w:lineRule="auto"/>
        <w:rPr>
          <w:sz w:val="20"/>
          <w:szCs w:val="20"/>
          <w:color w:val="auto"/>
        </w:rPr>
      </w:pPr>
      <w:r>
        <w:rPr>
          <w:rFonts w:ascii="Arial" w:cs="Arial" w:eastAsia="Arial" w:hAnsi="Arial"/>
          <w:sz w:val="15"/>
          <w:szCs w:val="15"/>
          <w:color w:val="auto"/>
        </w:rPr>
        <w:t>Research and development General and administrative</w:t>
      </w:r>
    </w:p>
    <w:p>
      <w:pPr>
        <w:ind w:left="20"/>
        <w:spacing w:after="0"/>
        <w:rPr>
          <w:sz w:val="20"/>
          <w:szCs w:val="20"/>
          <w:color w:val="auto"/>
        </w:rPr>
      </w:pPr>
      <w:r>
        <w:rPr>
          <w:rFonts w:ascii="Arial" w:cs="Arial" w:eastAsia="Arial" w:hAnsi="Arial"/>
          <w:sz w:val="18"/>
          <w:szCs w:val="18"/>
          <w:color w:val="auto"/>
        </w:rPr>
        <w:t>Total operating expenses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from operations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(expense), net:</w:t>
      </w:r>
    </w:p>
    <w:p>
      <w:pPr>
        <w:spacing w:after="0" w:line="23" w:lineRule="exact"/>
        <w:rPr>
          <w:sz w:val="20"/>
          <w:szCs w:val="20"/>
          <w:color w:val="auto"/>
        </w:rPr>
      </w:pPr>
    </w:p>
    <w:p>
      <w:pPr>
        <w:ind w:left="220" w:right="300"/>
        <w:spacing w:after="0" w:line="277" w:lineRule="auto"/>
        <w:rPr>
          <w:sz w:val="20"/>
          <w:szCs w:val="20"/>
          <w:color w:val="auto"/>
        </w:rPr>
      </w:pPr>
      <w:r>
        <w:rPr>
          <w:rFonts w:ascii="Arial" w:cs="Arial" w:eastAsia="Arial" w:hAnsi="Arial"/>
          <w:sz w:val="18"/>
          <w:szCs w:val="18"/>
          <w:color w:val="auto"/>
        </w:rPr>
        <w:t>Interest and other income, net Other expenses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3120"/>
        <w:spacing w:after="0" w:line="266" w:lineRule="auto"/>
        <w:rPr>
          <w:sz w:val="20"/>
          <w:szCs w:val="20"/>
          <w:color w:val="auto"/>
        </w:rPr>
      </w:pPr>
      <w:r>
        <w:rPr>
          <w:rFonts w:ascii="Arial" w:cs="Arial" w:eastAsia="Arial" w:hAnsi="Arial"/>
          <w:sz w:val="18"/>
          <w:szCs w:val="18"/>
          <w:b w:val="1"/>
          <w:bCs w:val="1"/>
          <w:color w:val="auto"/>
        </w:rPr>
        <w:t>ALLOGENE THERAPEUTICS, INC. Consolidated Statements of Operations and Comprehensive Loss (In thousands, except share and per share amounts)</w:t>
      </w:r>
    </w:p>
    <w:p>
      <w:pPr>
        <w:ind w:left="44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2800" w:type="dxa"/>
        <w:tblCellMar>
          <w:top w:w="0" w:type="dxa"/>
          <w:left w:w="0" w:type="dxa"/>
          <w:bottom w:w="0" w:type="dxa"/>
          <w:right w:w="0" w:type="dxa"/>
        </w:tblCellMar>
      </w:tblP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4"/>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38,489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7"/>
        </w:trPr>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220,176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192,987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144,535</w:t>
            </w:r>
          </w:p>
        </w:tc>
      </w:tr>
      <w:tr>
        <w:trPr>
          <w:trHeight w:val="230"/>
        </w:trPr>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74,105</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65,256</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57,473</w:t>
            </w:r>
          </w:p>
        </w:tc>
      </w:tr>
      <w:tr>
        <w:trPr>
          <w:trHeight w:val="223"/>
        </w:trPr>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294,281</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258,243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202,008</w:t>
            </w:r>
          </w:p>
        </w:tc>
      </w:tr>
      <w:tr>
        <w:trPr>
          <w:trHeight w:val="224"/>
        </w:trPr>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(255,792)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(258,243)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(202,008)</w:t>
            </w:r>
          </w:p>
        </w:tc>
      </w:tr>
      <w:tr>
        <w:trPr>
          <w:trHeight w:val="457"/>
        </w:trPr>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17,351</w:t>
            </w:r>
          </w:p>
        </w:tc>
      </w:tr>
      <w:tr>
        <w:trPr>
          <w:trHeight w:val="230"/>
        </w:trPr>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(2,927)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-1336675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-1036320</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-744855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-436245</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-144780</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680" w:space="460"/>
            <w:col w:w="810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94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other income (expense), net</w:t>
            </w:r>
          </w:p>
        </w:tc>
        <w:tc>
          <w:tcPr>
            <w:tcW w:w="4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(1,213)</w:t>
            </w:r>
          </w:p>
        </w:tc>
        <w:tc>
          <w:tcPr>
            <w:tcW w:w="8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8,022</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17,083</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(184,925)</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4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(257,005)</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(250,221)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(184,594)</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gain on available-for-sale investments, net of tax</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Net comprehensive loss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(259,840)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(251,098)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(183,755)</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Weighted-average number of shares used in computing net loss per</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9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135,820,386</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120,370,177</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101,061,149</w:t>
            </w: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share, basic and diluted</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ALLOGENE THERAPEUTICS, INC.</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7"/>
                <w:szCs w:val="17"/>
                <w:color w:val="auto"/>
              </w:rPr>
            </w:pPr>
          </w:p>
        </w:tc>
        <w:tc>
          <w:tcPr>
            <w:tcW w:w="9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6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620" w:type="dxa"/>
            <w:vAlign w:val="bottom"/>
            <w:tcBorders>
              <w:bottom w:val="single" w:sz="8" w:color="auto"/>
            </w:tcBorders>
            <w:gridSpan w:val="3"/>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7"/>
                <w:szCs w:val="17"/>
                <w:b w:val="1"/>
                <w:bCs w:val="1"/>
                <w:color w:val="auto"/>
                <w:w w:val="98"/>
              </w:rPr>
              <w:t>Paid-in</w:t>
            </w:r>
          </w:p>
        </w:tc>
        <w:tc>
          <w:tcPr>
            <w:tcW w:w="1180" w:type="dxa"/>
            <w:vAlign w:val="bottom"/>
            <w:gridSpan w:val="3"/>
          </w:tcPr>
          <w:p>
            <w:pPr>
              <w:ind w:left="40"/>
              <w:spacing w:after="0" w:line="149" w:lineRule="exact"/>
              <w:rPr>
                <w:sz w:val="20"/>
                <w:szCs w:val="20"/>
                <w:color w:val="auto"/>
              </w:rPr>
            </w:pPr>
            <w:r>
              <w:rPr>
                <w:rFonts w:ascii="Arial" w:cs="Arial" w:eastAsia="Arial" w:hAnsi="Arial"/>
                <w:sz w:val="17"/>
                <w:szCs w:val="17"/>
                <w:b w:val="1"/>
                <w:bCs w:val="1"/>
                <w:color w:val="auto"/>
              </w:rPr>
              <w:t>Accumulated</w:t>
            </w:r>
          </w:p>
        </w:tc>
        <w:tc>
          <w:tcPr>
            <w:tcW w:w="1320" w:type="dxa"/>
            <w:vAlign w:val="bottom"/>
            <w:gridSpan w:val="3"/>
          </w:tcPr>
          <w:p>
            <w:pPr>
              <w:ind w:left="20"/>
              <w:spacing w:after="0" w:line="149" w:lineRule="exact"/>
              <w:rPr>
                <w:sz w:val="20"/>
                <w:szCs w:val="20"/>
                <w:color w:val="auto"/>
              </w:rPr>
            </w:pPr>
            <w:r>
              <w:rPr>
                <w:rFonts w:ascii="Arial" w:cs="Arial" w:eastAsia="Arial" w:hAnsi="Arial"/>
                <w:sz w:val="17"/>
                <w:szCs w:val="17"/>
                <w:b w:val="1"/>
                <w:bCs w:val="1"/>
                <w:color w:val="auto"/>
              </w:rPr>
              <w:t>Comprehensive</w:t>
            </w:r>
          </w:p>
        </w:tc>
        <w:tc>
          <w:tcPr>
            <w:tcW w:w="1180" w:type="dxa"/>
            <w:vAlign w:val="bottom"/>
            <w:gridSpan w:val="2"/>
          </w:tcPr>
          <w:p>
            <w:pPr>
              <w:jc w:val="center"/>
              <w:spacing w:after="0" w:line="149" w:lineRule="exact"/>
              <w:rPr>
                <w:sz w:val="20"/>
                <w:szCs w:val="20"/>
                <w:color w:val="auto"/>
              </w:rPr>
            </w:pPr>
            <w:r>
              <w:rPr>
                <w:rFonts w:ascii="Arial" w:cs="Arial" w:eastAsia="Arial" w:hAnsi="Arial"/>
                <w:sz w:val="17"/>
                <w:szCs w:val="17"/>
                <w:b w:val="1"/>
                <w:bCs w:val="1"/>
                <w:color w:val="auto"/>
                <w:w w:val="94"/>
              </w:rPr>
              <w:t>Stockholders’</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280" w:type="dxa"/>
            <w:vAlign w:val="bottom"/>
            <w:gridSpan w:val="2"/>
          </w:tcPr>
          <w:p>
            <w:pPr>
              <w:ind w:left="34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2018</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121,482,671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914,265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(211,528)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703,164</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w w:val="99"/>
              </w:rPr>
              <w:t>Issuance of common stock upon exercise of stock</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711,623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2,958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options and vesting of RSU's</w:t>
            </w: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early exercised common stock</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46,063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w w:val="94"/>
              </w:rPr>
              <w:t>Issuance of common stock from ATM offering, net of</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1,965,082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54,217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54,219</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commissions and offering costs of $1.6 million</w:t>
            </w: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(184,594)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(184,594)</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w w:val="93"/>
              </w:rPr>
              <w:t>Net unrealized gain on available-for-sale investments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2019</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124,267,358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1,023,876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(396,122)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629,023</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w w:val="99"/>
              </w:rPr>
              <w:t>Issuance of common stock upon exercise of stock</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1,725,695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8,813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8,815</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options and vesting of RSU's</w:t>
            </w: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early exercised common stock</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65,261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w w:val="94"/>
              </w:rPr>
              <w:t>Issuance of common stock from ATM offering, net of</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848,663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26,202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26,203</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commissions and offering costs of $0.6 million</w:t>
            </w: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Issuance of common stock from public offering, net of</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13,457,447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595,717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595,730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 and offering costs of $36.8 million</w:t>
            </w: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w w:val="93"/>
              </w:rPr>
              <w:t>(250,221)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(250,221)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unrealized loss on available-for-sale investments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Balance — December 31, 2020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140,474,305</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140</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1,725,552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3"/>
              </w:rPr>
              <w:t>(646,343)</w:t>
            </w:r>
          </w:p>
        </w:tc>
        <w:tc>
          <w:tcPr>
            <w:tcW w:w="8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1,079,617</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Issuance of common stock upon exercise of stock</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1,961,554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and vesting of RSU's</w:t>
            </w: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Vesting of early exercised common stock</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80,818</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color w:val="auto"/>
              </w:rPr>
              <w:t>187,206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(257,005)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w w:val="94"/>
              </w:rPr>
              <w:t>Net unrealized loss on available-for-sale investments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48"/>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142,623,065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1,822,179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(903,348)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916,406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ALLOGENE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170"/>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6740" w:type="dxa"/>
            <w:vAlign w:val="bottom"/>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(257,005)</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(250,221)</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(184,594)</w:t>
            </w:r>
          </w:p>
        </w:tc>
      </w:tr>
      <w:tr>
        <w:trPr>
          <w:trHeight w:val="19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674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80,818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65,261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46,063</w:t>
            </w:r>
          </w:p>
        </w:tc>
      </w:tr>
      <w:tr>
        <w:trPr>
          <w:trHeight w:val="192"/>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other intangible assets acquired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r>
      <w:tr>
        <w:trPr>
          <w:trHeight w:val="186"/>
        </w:trPr>
        <w:tc>
          <w:tcPr>
            <w:tcW w:w="67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10,454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4,424</w:t>
            </w:r>
          </w:p>
        </w:tc>
      </w:tr>
      <w:tr>
        <w:trPr>
          <w:trHeight w:val="192"/>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amortization/accretion on investment securities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r>
      <w:tr>
        <w:trPr>
          <w:trHeight w:val="186"/>
        </w:trPr>
        <w:tc>
          <w:tcPr>
            <w:tcW w:w="6740" w:type="dxa"/>
            <w:vAlign w:val="bottom"/>
          </w:tcPr>
          <w:p>
            <w:pPr>
              <w:ind w:left="220"/>
              <w:spacing w:after="0"/>
              <w:rPr>
                <w:sz w:val="20"/>
                <w:szCs w:val="20"/>
                <w:color w:val="auto"/>
              </w:rPr>
            </w:pPr>
            <w:r>
              <w:rPr>
                <w:rFonts w:ascii="Arial" w:cs="Arial" w:eastAsia="Arial" w:hAnsi="Arial"/>
                <w:sz w:val="14"/>
                <w:szCs w:val="14"/>
                <w:color w:val="auto"/>
              </w:rPr>
              <w:t>Non-cash rent expense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6,777</w:t>
            </w:r>
          </w:p>
        </w:tc>
      </w:tr>
      <w:tr>
        <w:trPr>
          <w:trHeight w:val="192"/>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 benefit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r>
      <w:tr>
        <w:trPr>
          <w:trHeight w:val="186"/>
        </w:trPr>
        <w:tc>
          <w:tcPr>
            <w:tcW w:w="6740" w:type="dxa"/>
            <w:vAlign w:val="bottom"/>
          </w:tcPr>
          <w:p>
            <w:pPr>
              <w:ind w:left="220"/>
              <w:spacing w:after="0"/>
              <w:rPr>
                <w:sz w:val="20"/>
                <w:szCs w:val="20"/>
                <w:color w:val="auto"/>
              </w:rPr>
            </w:pPr>
            <w:r>
              <w:rPr>
                <w:rFonts w:ascii="Arial" w:cs="Arial" w:eastAsia="Arial" w:hAnsi="Arial"/>
                <w:sz w:val="14"/>
                <w:szCs w:val="14"/>
                <w:color w:val="auto"/>
              </w:rPr>
              <w:t>Share of losses from equity method investments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3,444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192"/>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6740" w:type="dxa"/>
            <w:vAlign w:val="bottom"/>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3,199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(5,445)</w:t>
            </w:r>
          </w:p>
        </w:tc>
      </w:tr>
      <w:tr>
        <w:trPr>
          <w:trHeight w:val="192"/>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long-term 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(4,374)</w:t>
            </w:r>
          </w:p>
        </w:tc>
      </w:tr>
      <w:tr>
        <w:trPr>
          <w:trHeight w:val="186"/>
        </w:trPr>
        <w:tc>
          <w:tcPr>
            <w:tcW w:w="674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(985)</w:t>
            </w:r>
          </w:p>
        </w:tc>
      </w:tr>
      <w:tr>
        <w:trPr>
          <w:trHeight w:val="192"/>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Accrued and other current 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6,351</w:t>
            </w:r>
          </w:p>
        </w:tc>
      </w:tr>
      <w:tr>
        <w:trPr>
          <w:trHeight w:val="186"/>
        </w:trPr>
        <w:tc>
          <w:tcPr>
            <w:tcW w:w="6740" w:type="dxa"/>
            <w:vAlign w:val="bottom"/>
          </w:tcPr>
          <w:p>
            <w:pPr>
              <w:ind w:left="480"/>
              <w:spacing w:after="0"/>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(38,569)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38,992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long-term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(2,425)</w:t>
            </w:r>
          </w:p>
        </w:tc>
      </w:tr>
      <w:tr>
        <w:trPr>
          <w:trHeight w:val="179"/>
        </w:trPr>
        <w:tc>
          <w:tcPr>
            <w:tcW w:w="6740" w:type="dxa"/>
            <w:vAlign w:val="bottom"/>
          </w:tcPr>
          <w:p>
            <w:pPr>
              <w:ind w:left="680"/>
              <w:spacing w:after="0"/>
              <w:rPr>
                <w:sz w:val="20"/>
                <w:szCs w:val="20"/>
                <w:color w:val="auto"/>
              </w:rPr>
            </w:pPr>
            <w:r>
              <w:rPr>
                <w:rFonts w:ascii="Arial" w:cs="Arial" w:eastAsia="Arial" w:hAnsi="Arial"/>
                <w:sz w:val="14"/>
                <w:szCs w:val="14"/>
                <w:color w:val="auto"/>
              </w:rPr>
              <w:t>Net cash used in operating activities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(184,812)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(115,093)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(137,350)</w:t>
            </w:r>
          </w:p>
        </w:tc>
      </w:tr>
      <w:tr>
        <w:trPr>
          <w:trHeight w:val="19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6740" w:type="dxa"/>
            <w:vAlign w:val="bottom"/>
          </w:tcPr>
          <w:p>
            <w:pPr>
              <w:ind w:left="22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(21,446)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(65,958)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(50,791)</w:t>
            </w:r>
          </w:p>
        </w:tc>
      </w:tr>
      <w:tr>
        <w:trPr>
          <w:trHeight w:val="192"/>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stock in equity method investment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(5,075)</w:t>
            </w:r>
          </w:p>
        </w:tc>
      </w:tr>
      <w:tr>
        <w:trPr>
          <w:trHeight w:val="186"/>
        </w:trPr>
        <w:tc>
          <w:tcPr>
            <w:tcW w:w="6740" w:type="dxa"/>
            <w:vAlign w:val="bottom"/>
          </w:tcPr>
          <w:p>
            <w:pPr>
              <w:ind w:left="220"/>
              <w:spacing w:after="0"/>
              <w:rPr>
                <w:sz w:val="20"/>
                <w:szCs w:val="20"/>
                <w:color w:val="auto"/>
              </w:rPr>
            </w:pPr>
            <w:r>
              <w:rPr>
                <w:rFonts w:ascii="Arial" w:cs="Arial" w:eastAsia="Arial" w:hAnsi="Arial"/>
                <w:sz w:val="14"/>
                <w:szCs w:val="14"/>
                <w:color w:val="auto"/>
              </w:rPr>
              <w:t>Proceeds from sales of investments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of investments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728,394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593,627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472,578</w:t>
            </w:r>
          </w:p>
        </w:tc>
      </w:tr>
      <w:tr>
        <w:trPr>
          <w:trHeight w:val="186"/>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Purchase of investments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(525,583)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(1,037,591)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(252,628)</w:t>
            </w:r>
          </w:p>
        </w:tc>
      </w:tr>
      <w:tr>
        <w:trPr>
          <w:trHeight w:val="186"/>
        </w:trPr>
        <w:tc>
          <w:tcPr>
            <w:tcW w:w="67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163,655</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(505,123)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164,084</w:t>
            </w:r>
          </w:p>
        </w:tc>
      </w:tr>
      <w:tr>
        <w:trPr>
          <w:trHeight w:val="168"/>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common stock from ATM offering, net of commissions and issuance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54,219</w:t>
            </w:r>
          </w:p>
        </w:tc>
      </w:tr>
      <w:tr>
        <w:trPr>
          <w:trHeight w:val="186"/>
        </w:trPr>
        <w:tc>
          <w:tcPr>
            <w:tcW w:w="6740" w:type="dxa"/>
            <w:vAlign w:val="bottom"/>
          </w:tcPr>
          <w:p>
            <w:pPr>
              <w:ind w:left="220"/>
              <w:spacing w:after="0"/>
              <w:rPr>
                <w:sz w:val="20"/>
                <w:szCs w:val="20"/>
                <w:color w:val="auto"/>
              </w:rPr>
            </w:pPr>
            <w:r>
              <w:rPr>
                <w:rFonts w:ascii="Arial" w:cs="Arial" w:eastAsia="Arial" w:hAnsi="Arial"/>
                <w:sz w:val="14"/>
                <w:szCs w:val="14"/>
                <w:color w:val="auto"/>
              </w:rPr>
              <w:t>Proceeds from issuance of common stock from public offering, net of commissions and issuance costs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595,730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common stock and upon exercise of stock options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w:t>
            </w:r>
          </w:p>
        </w:tc>
      </w:tr>
      <w:tr>
        <w:trPr>
          <w:trHeight w:val="186"/>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Proceeds from issuance of common stock under the employee stock purchase plan</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1,783</w:t>
            </w:r>
          </w:p>
        </w:tc>
      </w:tr>
      <w:tr>
        <w:trPr>
          <w:trHeight w:val="186"/>
        </w:trPr>
        <w:tc>
          <w:tcPr>
            <w:tcW w:w="67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11,963</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633,591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58,960</w:t>
            </w:r>
          </w:p>
        </w:tc>
      </w:tr>
      <w:tr>
        <w:trPr>
          <w:trHeight w:val="179"/>
        </w:trPr>
        <w:tc>
          <w:tcPr>
            <w:tcW w:w="674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(9,194)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85,694</w:t>
            </w:r>
          </w:p>
        </w:tc>
      </w:tr>
      <w:tr>
        <w:trPr>
          <w:trHeight w:val="19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192,800</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179,425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93,731</w:t>
            </w:r>
          </w:p>
        </w:tc>
      </w:tr>
      <w:tr>
        <w:trPr>
          <w:trHeight w:val="179"/>
        </w:trPr>
        <w:tc>
          <w:tcPr>
            <w:tcW w:w="67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183,606</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192,800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179,425</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9"/>
        </w:trPr>
        <w:tc>
          <w:tcPr>
            <w:tcW w:w="67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Non-cash operating, investing and financing activities: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6"/>
        </w:trPr>
        <w:tc>
          <w:tcPr>
            <w:tcW w:w="6740" w:type="dxa"/>
            <w:vAlign w:val="bottom"/>
          </w:tcPr>
          <w:p>
            <w:pPr>
              <w:ind w:left="220"/>
              <w:spacing w:after="0"/>
              <w:rPr>
                <w:sz w:val="20"/>
                <w:szCs w:val="20"/>
                <w:color w:val="auto"/>
              </w:rPr>
            </w:pPr>
            <w:r>
              <w:rPr>
                <w:rFonts w:ascii="Arial" w:cs="Arial" w:eastAsia="Arial" w:hAnsi="Arial"/>
                <w:sz w:val="14"/>
                <w:szCs w:val="14"/>
                <w:color w:val="auto"/>
              </w:rPr>
              <w:t>Right-of-use asset obtained in exchange for lease liability</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20,079</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13,827</w:t>
            </w:r>
          </w:p>
        </w:tc>
      </w:tr>
      <w:tr>
        <w:trPr>
          <w:trHeight w:val="192"/>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purchases in accounts payable and accrued and other current liabilities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4,668</w:t>
            </w:r>
          </w:p>
        </w:tc>
      </w:tr>
      <w:tr>
        <w:trPr>
          <w:trHeight w:val="186"/>
        </w:trPr>
        <w:tc>
          <w:tcPr>
            <w:tcW w:w="6740" w:type="dxa"/>
            <w:vAlign w:val="bottom"/>
          </w:tcPr>
          <w:p>
            <w:pPr>
              <w:ind w:left="220"/>
              <w:spacing w:after="0"/>
              <w:rPr>
                <w:sz w:val="20"/>
                <w:szCs w:val="20"/>
                <w:color w:val="auto"/>
              </w:rPr>
            </w:pPr>
            <w:r>
              <w:rPr>
                <w:rFonts w:ascii="Arial" w:cs="Arial" w:eastAsia="Arial" w:hAnsi="Arial"/>
                <w:sz w:val="14"/>
                <w:szCs w:val="14"/>
                <w:color w:val="auto"/>
              </w:rPr>
              <w:t>Capitalized cloud computing costs included in accounts payable and accrued and other current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offering costs included in accounts payable and accrued and other current liabilities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88"/>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0"/>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(6,013)</w:t>
            </w: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(3,563)</w:t>
            </w:r>
          </w:p>
        </w:tc>
      </w:tr>
      <w:tr>
        <w:trPr>
          <w:trHeight w:val="182"/>
        </w:trPr>
        <w:tc>
          <w:tcPr>
            <w:tcW w:w="6740" w:type="dxa"/>
            <w:vAlign w:val="bottom"/>
          </w:tcPr>
          <w:p>
            <w:pPr>
              <w:ind w:left="220"/>
              <w:spacing w:after="0"/>
              <w:rPr>
                <w:sz w:val="20"/>
                <w:szCs w:val="20"/>
                <w:color w:val="auto"/>
              </w:rPr>
            </w:pPr>
            <w:r>
              <w:rPr>
                <w:rFonts w:ascii="Arial" w:cs="Arial" w:eastAsia="Arial" w:hAnsi="Arial"/>
                <w:sz w:val="14"/>
                <w:szCs w:val="14"/>
                <w:color w:val="auto"/>
              </w:rPr>
              <w:t>Cash received for amounts related to tenant improvement allowances from lessors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1,111</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2,809</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4,473</w:t>
            </w: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ALLOGENE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Summary of Significant Accounting Policies</w:t>
      </w:r>
    </w:p>
    <w:p>
      <w:pPr>
        <w:spacing w:after="0" w:line="12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Allogene Therapeutics, Inc. (the Company or Allogene) was incorporated on November 30, 2017 in the State of Delaware and is headquartered in South San Francisco, California. Allogene is a clinical-stage immuno-oncology company pioneering the development of genetically engineered allogeneic T cell therapies for the treatment of cancer. The Company is developing a pipeline of off-the-shelf T cell product candidates that are designed to target and kill cancer cells.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November 2019, the Company entered into a sales agreement with Cowen and Company, LLC (Cowen), under which the Company may from time to time issue and sell shares of its common stock through Cowen in at-the-market (ATM) offerings for an aggregate offering price of up to</w:t>
      </w:r>
    </w:p>
    <w:p>
      <w:pPr>
        <w:jc w:val="both"/>
        <w:ind w:right="160"/>
        <w:spacing w:after="0" w:line="255" w:lineRule="auto"/>
        <w:rPr>
          <w:sz w:val="20"/>
          <w:szCs w:val="20"/>
          <w:color w:val="auto"/>
        </w:rPr>
      </w:pPr>
      <w:r>
        <w:rPr>
          <w:rFonts w:ascii="Arial" w:cs="Arial" w:eastAsia="Arial" w:hAnsi="Arial"/>
          <w:sz w:val="18"/>
          <w:szCs w:val="18"/>
          <w:color w:val="auto"/>
        </w:rPr>
        <w:t>$250.0 million. The aggregate compensation payable to Cowen as the Company's sales agent equals up to 3.0% of the gross sales price of the shares sold through it pursuant to the sales agreement. During the year ended December 31, 2020, we sold an aggregate of 848,663 shares of common stock in ATM offerings resulting in net proceeds of $26.2 million.</w:t>
      </w:r>
    </w:p>
    <w:p>
      <w:pPr>
        <w:spacing w:after="0" w:line="190"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In June 2020, the Company sold 13,457,447 shares of its common stock, which included 1,755,319 shares sold pursuant to the full exercise of the underwriters' option to purchase additional shares, in an underwritten public offering at a price of $47.00 per share, which resulted in gross proceeds of approximately $632.5 million. Net proceeds to the Company after deducting the underwriting discounts and commissions and other expenses were approximately $595.7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1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 has sustained operating losses and expects to continue to generate operating losses for the foreseeable future. The Company’s ultimate success depends on the outcome of its research and development activities as well as the ability to commercialize the Company’s product candidates. The Company had cash, cash equivalents and investments of $809.5 million as of December 31, 2021. Since inception through December 31, 2021, the Company has incurred cumulative net losses of $903.3 million. Management expects to incur additional losses in the future to fund its operations and conduct product research and development and recognizes the need to raise additional capital to fully implement its business plan.</w:t>
      </w:r>
    </w:p>
    <w:p>
      <w:pPr>
        <w:spacing w:after="0" w:line="188"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The Company intends to raise additional capital through the issuance of equity securities, debt financings or other sources in order to further implement its business plan. However, if such financing is not available at adequate levels, the Company will need to reevaluate its operating plan and may be required to delay the development of its product candidates. The Company expects that its cash and cash equivalents and investments will be sufficient to fund its operations for at least the next 12 months from the date the Company’s Annual Report on Form 10-K is filed with the Securities and Exchange Commission (SEC).</w:t>
      </w:r>
    </w:p>
    <w:p>
      <w:pPr>
        <w:spacing w:after="0" w:line="216"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The Company cannot at this time predict the specific extent, duration, or full impact that the ongoing COVID-19 pandemic will have on its financial condition and operations, including ongoing and planned clinical trials. The impact of the COVID-19 pandemic on the financial performance of the Company will depend on future developments, including the duration and spread of the pandemic and related governmental advisories and restrictions. These developments and the impact of the COVID-19 pandemic on the financial markets and the overall economy are highly uncertain. If business conditions, financial markets and/or the overall economy are impacted for an extended period, the Company’s results may be adversely affected.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w:t>
      </w:r>
    </w:p>
    <w:p>
      <w:pPr>
        <w:spacing w:after="0" w:line="6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June 2020, the Company formed a wholly-owned, Netherlands-based subsidiary, Allogene Therapeutics, B.V., to help prepare for and assist with the Company's activities in Europe. The consolidated financial statements include the accounts of the Company and its wholly-owned subsidiary. All material intercompany balances and transactions have been eliminated during consolidation.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80" w:firstLine="810"/>
        <w:spacing w:after="0" w:line="293"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consolidated financial statements and the reported amounts of expenses during the reporting period. Significant estimates and assumptions made in the accompanying consolidated financial statements include but are not limited to the fair value of common stock, the fair value of stock options, the fair value of investments, income tax uncertainties, and certain accruals. The Company evaluates its estimates and assumptions on an ongoing basis using historical experience and other factors and adjusts those estimates and assumptions when facts and circumstances change. Actual results could differ from those estimates.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 and Uncertainties</w:t>
      </w:r>
    </w:p>
    <w:p>
      <w:pPr>
        <w:spacing w:after="0" w:line="117" w:lineRule="exact"/>
        <w:rPr>
          <w:sz w:val="20"/>
          <w:szCs w:val="20"/>
          <w:color w:val="auto"/>
        </w:rPr>
      </w:pPr>
    </w:p>
    <w:p>
      <w:pPr>
        <w:ind w:right="380" w:firstLine="810"/>
        <w:spacing w:after="0" w:line="286" w:lineRule="auto"/>
        <w:rPr>
          <w:sz w:val="20"/>
          <w:szCs w:val="20"/>
          <w:color w:val="auto"/>
        </w:rPr>
      </w:pPr>
      <w:r>
        <w:rPr>
          <w:rFonts w:ascii="Arial" w:cs="Arial" w:eastAsia="Arial" w:hAnsi="Arial"/>
          <w:sz w:val="17"/>
          <w:szCs w:val="17"/>
          <w:color w:val="auto"/>
        </w:rPr>
        <w:t>Financial instruments, which potentially subject the Company to significant concentrations of credit risk, consist primarily of cash and cash equivalents and investments. The primary objectives for the Company’s investment portfolio are the preservation of capital and the maintenance of liquidity. The Company does not enter into any investment transaction for trading or speculative purposes.</w:t>
      </w:r>
    </w:p>
    <w:p>
      <w:pPr>
        <w:spacing w:after="0" w:line="165"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The Company’s investment policy limits investments to certain types of instruments such as certificates of deposit, commercial paper, money market instruments, obligations issued by the U.S. government and U.S. government agencies as well as corporate debt securities, and places restrictions on maturities and concentration by type and issuer. The Company maintains cash balances in excess of amounts insured by the FDIC and concentrated within a limited number of financial institutions. The accounts are monitored by management and management believes that the financial institutions are financially sound, and, accordingly, minimal credit risk exists with respect to these financial institutions. As of December 31, 2021 and 2020, the Company has not experienced any credit losses in such accounts or investments.</w:t>
      </w:r>
    </w:p>
    <w:p>
      <w:pPr>
        <w:spacing w:after="0" w:line="178"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 Company is subject to a number of risks common for early-stage biopharmaceutical companies including, but not limited to, dependency on the clinical and commercial success of its product candidates, ability to obtain regulatory approval of its product candidates, the need for substantial additional financing to achieve its goals, uncertainty of broad adoption of its approved products, if any, by physicians and patients, significant competition and untested manufacturing capabilities.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140" w:firstLine="810"/>
        <w:spacing w:after="0" w:line="311" w:lineRule="auto"/>
        <w:rPr>
          <w:sz w:val="20"/>
          <w:szCs w:val="20"/>
          <w:color w:val="auto"/>
        </w:rPr>
      </w:pPr>
      <w:r>
        <w:rPr>
          <w:rFonts w:ascii="Arial" w:cs="Arial" w:eastAsia="Arial" w:hAnsi="Arial"/>
          <w:sz w:val="16"/>
          <w:szCs w:val="16"/>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300" w:firstLine="810"/>
        <w:spacing w:after="0" w:line="308" w:lineRule="auto"/>
        <w:rPr>
          <w:sz w:val="20"/>
          <w:szCs w:val="20"/>
          <w:color w:val="auto"/>
        </w:rPr>
      </w:pPr>
      <w:r>
        <w:rPr>
          <w:rFonts w:ascii="Arial" w:cs="Arial" w:eastAsia="Arial" w:hAnsi="Arial"/>
          <w:sz w:val="17"/>
          <w:szCs w:val="17"/>
          <w:color w:val="auto"/>
        </w:rPr>
        <w:t>The Company considers all highly liquid investments purchased with original maturities of three months or less from the purchase date to be cash equivalents. Cash equivalents consist primarily of amounts invested in bank money market accounts and money market mutual funds.</w:t>
      </w:r>
    </w:p>
    <w:p>
      <w:pPr>
        <w:spacing w:after="0" w:line="146" w:lineRule="exact"/>
        <w:rPr>
          <w:sz w:val="20"/>
          <w:szCs w:val="20"/>
          <w:color w:val="auto"/>
        </w:rPr>
      </w:pPr>
    </w:p>
    <w:p>
      <w:pPr>
        <w:ind w:right="60" w:firstLine="810"/>
        <w:spacing w:after="0" w:line="342" w:lineRule="auto"/>
        <w:rPr>
          <w:sz w:val="20"/>
          <w:szCs w:val="20"/>
          <w:color w:val="auto"/>
        </w:rPr>
      </w:pPr>
      <w:r>
        <w:rPr>
          <w:rFonts w:ascii="Arial" w:cs="Arial" w:eastAsia="Arial" w:hAnsi="Arial"/>
          <w:sz w:val="16"/>
          <w:szCs w:val="16"/>
          <w:color w:val="auto"/>
        </w:rPr>
        <w:t>The Company has issued letters of credit under separate lease and other agreements which have been collateralized by restricted cash. This cash is classified as long-term restricted cash on the accompanying consolidated balance sheets based on the terms of the underlying agreements.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00" w:firstLine="810"/>
        <w:spacing w:after="0" w:line="254" w:lineRule="auto"/>
        <w:rPr>
          <w:sz w:val="20"/>
          <w:szCs w:val="20"/>
          <w:color w:val="auto"/>
        </w:rPr>
      </w:pPr>
      <w:r>
        <w:rPr>
          <w:rFonts w:ascii="Arial" w:cs="Arial" w:eastAsia="Arial" w:hAnsi="Arial"/>
          <w:sz w:val="18"/>
          <w:szCs w:val="18"/>
          <w:color w:val="auto"/>
        </w:rPr>
        <w:t>Investments are available-for-sale and are carried at estimated fair value. The Company’s valuations of marketable securities are generally derived from independent pricing services based upon quoted prices in active markets for similar securities, with prices adjusted for yield and number of days to maturity, or based on industry models using data inputs, such as interest rates and prices that can be directly observed or corroborated in active markets. Management determines the appropriate classification of its investments in debt securities at the time of purchase and at the end of each reporting period. Investments with original maturities of less than three months at the date of purchase are classified as cash and cash equivalents. Investments with original maturities beyond three months at the date of purchase and which mature at, or less than twelve months from the consolidated balance sheet date are classified as current.</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Unrealized gains and losses are excluded from earnings and are reported as a component of other comprehensive income.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Additionally, the Company assesses whether it has plans to sell the security or it is more likely than not it will be required to sell any available-for-sale securities before recovery of its amortized cost basis. Realized gains and losses and declines in fair value judged to be other than temporary, if any, on available-for-sale securities are included in interest and other income, net. The cost of investments sold is based on the specific-identification method. Interest income on investments is included in interest and other income, net.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right="140" w:firstLine="810"/>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8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29" w:lineRule="exact"/>
        <w:rPr>
          <w:sz w:val="20"/>
          <w:szCs w:val="20"/>
          <w:color w:val="auto"/>
        </w:rPr>
      </w:pPr>
    </w:p>
    <w:p>
      <w:pPr>
        <w:ind w:right="20" w:firstLine="810"/>
        <w:spacing w:after="0" w:line="342" w:lineRule="auto"/>
        <w:rPr>
          <w:sz w:val="20"/>
          <w:szCs w:val="20"/>
          <w:color w:val="auto"/>
        </w:rPr>
      </w:pPr>
      <w:r>
        <w:rPr>
          <w:rFonts w:ascii="Arial" w:cs="Arial" w:eastAsia="Arial" w:hAnsi="Arial"/>
          <w:sz w:val="16"/>
          <w:szCs w:val="16"/>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on a straight-line basis over the estimated useful lives of the related assets, generally three to seven years. Maintenance and repairs are charged to operations as incurred. Upon sale or retirement of assets, the cost and related accumulated depreciation are removed from the consolidated balance sheet and the resulting gain or loss is reflected in other expense.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820"/>
              <w:spacing w:after="0"/>
              <w:rPr>
                <w:sz w:val="20"/>
                <w:szCs w:val="20"/>
                <w:color w:val="auto"/>
              </w:rPr>
            </w:pPr>
            <w:r>
              <w:rPr>
                <w:rFonts w:ascii="Arial" w:cs="Arial" w:eastAsia="Arial" w:hAnsi="Arial"/>
                <w:sz w:val="18"/>
                <w:szCs w:val="18"/>
                <w:color w:val="auto"/>
              </w:rPr>
              <w:t>The Company has determined the estimated life of assets to be as follows:</w:t>
            </w:r>
          </w:p>
        </w:tc>
        <w:tc>
          <w:tcPr>
            <w:tcW w:w="3780" w:type="dxa"/>
            <w:vAlign w:val="bottom"/>
          </w:tcPr>
          <w:p>
            <w:pPr>
              <w:spacing w:after="0"/>
              <w:rPr>
                <w:sz w:val="20"/>
                <w:szCs w:val="20"/>
                <w:color w:val="auto"/>
              </w:rPr>
            </w:pPr>
          </w:p>
        </w:tc>
      </w:tr>
      <w:tr>
        <w:trPr>
          <w:trHeight w:val="243"/>
        </w:trPr>
        <w:tc>
          <w:tcPr>
            <w:tcW w:w="7440" w:type="dxa"/>
            <w:vAlign w:val="bottom"/>
          </w:tcPr>
          <w:p>
            <w:pPr>
              <w:spacing w:after="0"/>
              <w:rPr>
                <w:sz w:val="21"/>
                <w:szCs w:val="21"/>
                <w:color w:val="auto"/>
              </w:rPr>
            </w:pPr>
          </w:p>
        </w:tc>
        <w:tc>
          <w:tcPr>
            <w:tcW w:w="3780" w:type="dxa"/>
            <w:vAlign w:val="bottom"/>
          </w:tcPr>
          <w:p>
            <w:pPr>
              <w:spacing w:after="0"/>
              <w:rPr>
                <w:sz w:val="21"/>
                <w:szCs w:val="21"/>
                <w:color w:val="auto"/>
              </w:rPr>
            </w:pPr>
          </w:p>
        </w:tc>
      </w:tr>
      <w:tr>
        <w:trPr>
          <w:trHeight w:val="230"/>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3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Computer equipment and purchased software</w:t>
            </w:r>
          </w:p>
        </w:tc>
        <w:tc>
          <w:tcPr>
            <w:tcW w:w="37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30"/>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Fixtures and furniture</w:t>
            </w:r>
          </w:p>
        </w:tc>
        <w:tc>
          <w:tcPr>
            <w:tcW w:w="3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years</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780" w:type="dxa"/>
            <w:vAlign w:val="bottom"/>
          </w:tcPr>
          <w:p>
            <w:pPr>
              <w:jc w:val="right"/>
              <w:spacing w:after="0"/>
              <w:rPr>
                <w:sz w:val="20"/>
                <w:szCs w:val="20"/>
                <w:color w:val="auto"/>
              </w:rPr>
            </w:pPr>
            <w:r>
              <w:rPr>
                <w:rFonts w:ascii="Arial" w:cs="Arial" w:eastAsia="Arial" w:hAnsi="Arial"/>
                <w:sz w:val="18"/>
                <w:szCs w:val="18"/>
                <w:color w:val="auto"/>
              </w:rPr>
              <w:t>Shorter of lease term or useful life</w:t>
            </w:r>
          </w:p>
        </w:tc>
      </w:tr>
    </w:tbl>
    <w:p>
      <w:pPr>
        <w:spacing w:after="0" w:line="200" w:lineRule="exact"/>
        <w:rPr>
          <w:sz w:val="20"/>
          <w:szCs w:val="20"/>
          <w:color w:val="auto"/>
        </w:rPr>
      </w:pPr>
    </w:p>
    <w:p>
      <w:pPr>
        <w:spacing w:after="0" w:line="203"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The Company adopted Accounting Standards Update ("ASU") No. 2018-15, </w:t>
      </w:r>
      <w:r>
        <w:rPr>
          <w:rFonts w:ascii="Arial" w:cs="Arial" w:eastAsia="Arial" w:hAnsi="Arial"/>
          <w:sz w:val="16"/>
          <w:szCs w:val="16"/>
          <w:i w:val="1"/>
          <w:iCs w:val="1"/>
          <w:color w:val="auto"/>
        </w:rPr>
        <w:t>Intangibles – Goodwill and other – Internal-Use Software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350-40) </w:t>
      </w:r>
      <w:r>
        <w:rPr>
          <w:rFonts w:ascii="Arial" w:cs="Arial" w:eastAsia="Arial" w:hAnsi="Arial"/>
          <w:sz w:val="16"/>
          <w:szCs w:val="16"/>
          <w:color w:val="auto"/>
        </w:rPr>
        <w:t>on January 1, 2020 on a prospective basis. The Company capitalizes implementation costs associated with internal use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in alignment with ASC 350-40 internal-use software. Costs incurred in preliminary project stage and post implementation stage are expensed as incurred. Costs incurred during the application development stage of implementation are capitalized in other long term assets on the consolidated balance sheet. Capitalized implementation costs from cloud computing arrangements are amortized over the term of the cloud-based service arrangement.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140" w:firstLine="810"/>
        <w:spacing w:after="0" w:line="259" w:lineRule="auto"/>
        <w:rPr>
          <w:sz w:val="20"/>
          <w:szCs w:val="20"/>
          <w:color w:val="auto"/>
        </w:rPr>
      </w:pPr>
      <w:r>
        <w:rPr>
          <w:rFonts w:ascii="Arial" w:cs="Arial" w:eastAsia="Arial" w:hAnsi="Arial"/>
          <w:sz w:val="18"/>
          <w:szCs w:val="18"/>
          <w:color w:val="auto"/>
        </w:rPr>
        <w:t xml:space="preserve">The Company early adopted ASU No. 2016-2,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2018. For its long-term operating leases, the Company recognizes a right-of-use asset and a lease liability on its consolidated balance sheets. The lease liability is determined as the present value of future lease payments using an estimated rate of interest that the Company would pay to borrow equivalent funds on a collateralized basis at the lease commencement date. The right-of-use asset is based on the liability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adjusted for any prepaid or deferred rent. The lease term at the commencement date is determined by considering whether renewal options and termination options are reasonably assured of exercise.</w:t>
      </w:r>
    </w:p>
    <w:p>
      <w:pPr>
        <w:spacing w:after="0" w:line="170" w:lineRule="exact"/>
        <w:rPr>
          <w:sz w:val="20"/>
          <w:szCs w:val="20"/>
          <w:color w:val="auto"/>
        </w:rPr>
      </w:pPr>
    </w:p>
    <w:p>
      <w:pPr>
        <w:ind w:right="500" w:firstLine="810"/>
        <w:spacing w:after="0" w:line="308" w:lineRule="auto"/>
        <w:rPr>
          <w:sz w:val="20"/>
          <w:szCs w:val="20"/>
          <w:color w:val="auto"/>
        </w:rPr>
      </w:pPr>
      <w:r>
        <w:rPr>
          <w:rFonts w:ascii="Arial" w:cs="Arial" w:eastAsia="Arial" w:hAnsi="Arial"/>
          <w:sz w:val="17"/>
          <w:szCs w:val="17"/>
          <w:color w:val="auto"/>
        </w:rPr>
        <w:t>Rent expense for the operating lease is recognized on a straight-line basis over the lease term and is included in operating expenses on the consolidated statements of operations and comprehensive loss. Variable lease payments include lease operating expenses.</w:t>
      </w:r>
    </w:p>
    <w:p>
      <w:pPr>
        <w:spacing w:after="0" w:line="146" w:lineRule="exact"/>
        <w:rPr>
          <w:sz w:val="20"/>
          <w:szCs w:val="20"/>
          <w:color w:val="auto"/>
        </w:rPr>
      </w:pPr>
    </w:p>
    <w:p>
      <w:pPr>
        <w:ind w:right="480" w:firstLine="810"/>
        <w:spacing w:after="0" w:line="277" w:lineRule="auto"/>
        <w:rPr>
          <w:sz w:val="20"/>
          <w:szCs w:val="20"/>
          <w:color w:val="auto"/>
        </w:rPr>
      </w:pPr>
      <w:r>
        <w:rPr>
          <w:rFonts w:ascii="Arial" w:cs="Arial" w:eastAsia="Arial" w:hAnsi="Arial"/>
          <w:sz w:val="18"/>
          <w:szCs w:val="18"/>
          <w:color w:val="auto"/>
        </w:rPr>
        <w:t>The Company elected to exclude from its consolidated balance sheets recognition of leases having a term of 12 months or less (short-term leases) and elected to not separate lease components and non-lease components for its long-term real-estate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uses the equity method of accounting for equity investments in companies if the investment provides the ability to exercise significant influence, but not control, over operating and financial policies of the investee. The Company's proportionate share of the net income or loss of these companies is included in other expenses in the consolidated statement of operations. Judgment regarding the level of influence over each equity method investment includes considering key factors such as our ownership interest, representation on the board of directors, participation in policy-making decisions and material purchase and sale transactions.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evaluates equity method investments for impairment whenever events or changes in circumstances indicate that the carrying amount of the investment might not be recoverable. Factors considered when reviewing an equity method investment for impairment include the length of time (duration) and the extent (severity) to which the fair value of the equity method investment has been less than cost, the investee’s financial condition and near-term prospects and the intent and ability to hold the investment for a period of time sufficient to allow for anticipated recovery. An impairment that is other-than-temporary is recognized in the period identified.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For entities in which the Company has variable interests, the Company focuses on identifying if one of the entities is the primary beneficiary through having the power to direct the activities that most significantly impact the variable interest entity’s economic performance and having the obligation to absorb losses or the right to receive benefits from the variable interest entity. If the Company is the primary beneficiary of a variable interest entity, the assets, liabilities, and results of operations of the variable interest entity will be included in the Company’s consolidated financial statements. The Company did not consolidate any variable interest entities in any of the periods presented because the Company determined that it was not the primary beneficiary.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The Company records accrued liabilities for estimated costs of research and development activities conducted by collaboration partners and third-party service providers, which include the conduct of preclinical studies and clinical trials, and contract manufacturing activities. The Company records the estimated costs of research and development activities based upon the estimated amount of services provided but not yet invoiced and includes these costs in accrued and other current liabilities on the consolidated balance sheets and within research and development expenses on the consolidated statements of operations and comprehensive loss.</w:t>
      </w:r>
    </w:p>
    <w:p>
      <w:pPr>
        <w:spacing w:after="0" w:line="188" w:lineRule="exact"/>
        <w:rPr>
          <w:sz w:val="20"/>
          <w:szCs w:val="20"/>
          <w:color w:val="auto"/>
        </w:rPr>
      </w:pPr>
    </w:p>
    <w:p>
      <w:pPr>
        <w:ind w:right="160" w:firstLine="810"/>
        <w:spacing w:after="0" w:line="279" w:lineRule="auto"/>
        <w:rPr>
          <w:sz w:val="20"/>
          <w:szCs w:val="20"/>
          <w:color w:val="auto"/>
        </w:rPr>
      </w:pPr>
      <w:r>
        <w:rPr>
          <w:rFonts w:ascii="Arial" w:cs="Arial" w:eastAsia="Arial" w:hAnsi="Arial"/>
          <w:sz w:val="17"/>
          <w:szCs w:val="17"/>
          <w:color w:val="auto"/>
        </w:rPr>
        <w:t>The Company accrues for these costs based on factors such as estimates of the work completed and in accordance with agreements established with its collaboration partners and third-party service providers. The Company makes significant judgments and estimates in determining the accrued liabilities balance at the end of each reporting period. As actual costs become known, the Company adjusts its accrued liabilities. The Company has not experienced any material differences between accrued costs and actual costs incurred since its inception.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Management makes an assessment of the likelihood that the resulting deferred tax assets will be realized. A valuation allowance is provided when it is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more likely than not that some portion or all of a deferred tax asset will not be realized. Due to the Company’s historical operating performance and net losses, the net deferred tax assets have been fully offset by a valuation allowance.</w:t>
      </w:r>
    </w:p>
    <w:p>
      <w:pPr>
        <w:spacing w:after="0" w:line="170"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taxes as a component of the provision for income taxes.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The Company measures its stock-based awards granted to employees, consultants and directors based on the estimated fair values of the awards and recognizes the compensation over the requisite service period. The Company uses the Black-Scholes option-pricing model to estimate the fair value of its stock-based awards. Stock-based compensation is recognized using the straight-line method. As the stock compensation expense is based on awards ultimately expected to vest, it is reduced by forfeitures. The Company accounts for forfeitures as they occur.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potential dilutive shares of common stock. Since the Company was in a loss position for all periods presented, basic net loss per share is the same as diluted net loss per share since the effects of potentially dilutive securities are antidilutive. Shares of common stock subject to repurchase are excluded from the weighted-average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780" w:firstLine="810"/>
        <w:spacing w:after="0" w:line="308" w:lineRule="auto"/>
        <w:rPr>
          <w:sz w:val="20"/>
          <w:szCs w:val="20"/>
          <w:color w:val="auto"/>
        </w:rPr>
      </w:pPr>
      <w:r>
        <w:rPr>
          <w:rFonts w:ascii="Arial" w:cs="Arial" w:eastAsia="Arial" w:hAnsi="Arial"/>
          <w:sz w:val="17"/>
          <w:szCs w:val="17"/>
          <w:color w:val="auto"/>
        </w:rPr>
        <w:t>Comprehensive loss includes net loss and certain changes in stockholders’ equity that are excluded from net loss. For the years ended December 31, 2021, 2020 and 2019 this was comprised of unrealized gains and losses, net of tax, on the Company’s investments.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Long-lived assets are reviewed annually for impairment or whenever events or changes in circumstances indicate that the carrying amount of an asset may not be recoverable. Recoverability is measured by comparison of the carrying amount of an asset group to the future net undiscounted cash flows that the assets are expected to generate. If such assets are considered to be impaired, the impairment to be recognized is measured by the amount by which the carrying amount of the assets exceeds the projected discounted future net cash flows arising from the asset. There were impairment losses related to equipment disposals of less than $0.1 million and $0.2 million for the years ended December 31, 2021 and 2019, respectively. There were no impairment losses related to equipment disposals for the year ended December 31,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The Company’s revenue has been generated through collaboration research and license agreements. The terms of these agreements may contain multiple deliverables which may include (i) grant of licenses, (ii) transfer of know-how, (iii) research and development activities, (iii) clinical manufacturing and, (iv) product supply. The payment terms of these agreements may include nonrefundable upfront fees, payments for research and development activities, payments based upon the achievement of certain milestones, royalty payments based on product sales derived from the collaboration, and payments for supplying product.</w:t>
      </w:r>
    </w:p>
    <w:p>
      <w:pPr>
        <w:spacing w:after="0" w:line="188"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The Company analyzes its collaboration arrangements to assess whether they are within the scope of ASC 808, Collaborative Arrangements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Topic 606, Revenue</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from Contracts with Customers (ASC 606). For elements of collaboration arrangements that are accounted for pursuant to ASC 808, an appropriate recognition method is determined and applied consistently, generally by analogy to Topic 606.</w:t>
      </w:r>
    </w:p>
    <w:p>
      <w:pPr>
        <w:spacing w:after="0" w:line="197" w:lineRule="exact"/>
        <w:rPr>
          <w:sz w:val="20"/>
          <w:szCs w:val="20"/>
          <w:color w:val="auto"/>
        </w:rPr>
      </w:pPr>
    </w:p>
    <w:p>
      <w:pPr>
        <w:jc w:val="both"/>
        <w:ind w:firstLine="810"/>
        <w:spacing w:after="0" w:line="268" w:lineRule="auto"/>
        <w:rPr>
          <w:sz w:val="20"/>
          <w:szCs w:val="20"/>
          <w:color w:val="auto"/>
        </w:rPr>
      </w:pPr>
      <w:r>
        <w:rPr>
          <w:rFonts w:ascii="Arial" w:cs="Arial" w:eastAsia="Arial" w:hAnsi="Arial"/>
          <w:sz w:val="16"/>
          <w:szCs w:val="16"/>
          <w:color w:val="auto"/>
        </w:rPr>
        <w:t>For elements of those arrangements that the Company determines should be accounted for under ASC 606, the Company assesses which activities in the collaboration agreements are performance obligations that should be accounted for separately and determine the transaction price of the arrangement, which includes the assessment of the probability of achievement of future milestones and other potential consideration. A performance obligation represents a promise in a contract to transfer a distinct good or service to a customer, which represents a unit of accounting in accordance with ASC 606.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the Company has transferred control of a good or service to the customer, meaning the customer has the ability to use and obtain the benefit of the good or service. A portion of the consideration should be allocated to each distinct performance obligation and recognized as revenue when, or as, the performance obligation is satisfied. The total consideration which the Company expects to collect in exchange for the Company’s products is an estimate and may be fixed or variable. The Company constrains the estimated variable consideration when it assesses it is probable that a significant reversal in the amount of cumulative revenue recognized may occur in future periods. The transaction price is re-evaluated, including the estimated variable consideration included in the transaction price and all constrained amounts, in each reporting period and as uncertain events are resolved or other changes in circumstances occur. The allocation of the transaction price is performed based on standalone selling prices, which are based on estimated amounts that the Company would charge for a performance obligation if it were sold separately. Revenue is recognized when, or as, performance obligations in the contracts are satisfied, in the amount reflecting the expected consideration to be received from the goods or services transferred to the customers. Funds received in advance are recorded as deferred revenue and are recognized as the related performance obligation is satisfied.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Research and development costs are expensed as incurred and consist of salaries and benefits, including associated stock-based compensation, and laboratory supplies and facility costs, as well as fees paid to other entities that conduct certain research and development activities on the Company’s behalf. Research and development expenses also include costs incurred for internal and sponsored collaborative research and development activities. Costs associated with co-development activities performed under the various license and collaboration agreements are included in research and development expenses.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capitalized and then expensed as the related goods are delivered or the services are performed.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Guidance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January 2020, the FASB issued Accounting Standard Update No. 2020-01, Investments – Equity Securities (Topic 321), Investments – Equity Method and Joint Ventures (Topic 323), which clarifies the interactions between Topics 321 and 323 in applying or discontinuing the equity method of accounting for investments. This guidance is effective for fiscal years beginning after December 15, 2020, with early adoption permitted. The Company adopted this standard on January 1, 2021 on a prospective basis. Adoption of the new guidance had no significant impact on the Company's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continues to monitor new accounting pronouncements issued by the FASB and does not believe any accounting pronouncements issued through the date of this report will have a material impact on the Company's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follows authoritative accounting guidance,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measures and reports its cash equivalents, restricted cash, and investments at fair value.</w:t>
      </w:r>
    </w:p>
    <w:p>
      <w:pPr>
        <w:spacing w:after="0" w:line="22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Money market funds are measured at fair value on a recurring basis using quoted prices and are classified as Level 1. Investments are measured at fair value based on inputs other than quoted prices that are derived from observable market data and are classified as Level 2 inputs, except for investments in U.S. treasury securities which are classified as Level 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Level 3 assets or liabilities at December 31, 2021 or 2020.</w:t>
      </w:r>
    </w:p>
    <w:p>
      <w:pPr>
        <w:spacing w:after="0" w:line="225"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Financial assets subject to fair value measurements on a recurring basis and the level of inputs used in such measurements by major security type as of December 31, 2021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December 31, 2021</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5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23"/>
        </w:trPr>
        <w:tc>
          <w:tcPr>
            <w:tcW w:w="5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8"/>
                <w:szCs w:val="18"/>
                <w:color w:val="auto"/>
              </w:rPr>
              <w:t>Money market funds ¹</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115,867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115,867</w:t>
            </w:r>
          </w:p>
        </w:tc>
      </w:tr>
      <w:tr>
        <w:trPr>
          <w:trHeight w:val="229"/>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58,976</w:t>
            </w: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223,474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223,474</w:t>
            </w:r>
          </w:p>
        </w:tc>
      </w:tr>
      <w:tr>
        <w:trPr>
          <w:trHeight w:val="229"/>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303,016</w:t>
            </w:r>
          </w:p>
        </w:tc>
      </w:tr>
      <w:tr>
        <w:trPr>
          <w:trHeight w:val="229"/>
        </w:trPr>
        <w:tc>
          <w:tcPr>
            <w:tcW w:w="5640" w:type="dxa"/>
            <w:vAlign w:val="bottom"/>
          </w:tcPr>
          <w:p>
            <w:pPr>
              <w:ind w:left="22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50,701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50,701</w:t>
            </w:r>
          </w:p>
        </w:tc>
      </w:tr>
      <w:tr>
        <w:trPr>
          <w:trHeight w:val="248"/>
        </w:trPr>
        <w:tc>
          <w:tcPr>
            <w:tcW w:w="56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752,034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¹ Included within cash and cash equivalents on the Company’s consolidated balance sheet</w:t>
      </w:r>
    </w:p>
    <w:p>
      <w:pPr>
        <w:spacing w:after="0" w:line="225"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Financial assets subject to fair value measurements on a recurring basis and the level of inputs used in such measurements by major security type as of December 31, 2020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 2020</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23"/>
        </w:trPr>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580" w:type="dxa"/>
            <w:vAlign w:val="bottom"/>
          </w:tcPr>
          <w:p>
            <w:pPr>
              <w:ind w:left="220"/>
              <w:spacing w:after="0"/>
              <w:rPr>
                <w:sz w:val="20"/>
                <w:szCs w:val="20"/>
                <w:color w:val="auto"/>
              </w:rPr>
            </w:pPr>
            <w:r>
              <w:rPr>
                <w:rFonts w:ascii="Arial" w:cs="Arial" w:eastAsia="Arial" w:hAnsi="Arial"/>
                <w:sz w:val="18"/>
                <w:szCs w:val="18"/>
                <w:color w:val="auto"/>
              </w:rPr>
              <w:t>Money market funds ¹</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102,039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102,039</w:t>
            </w:r>
          </w:p>
        </w:tc>
      </w:tr>
      <w:tr>
        <w:trPr>
          <w:trHeight w:val="229"/>
        </w:trPr>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58,975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58,975</w:t>
            </w:r>
          </w:p>
        </w:tc>
      </w:tr>
      <w:tr>
        <w:trPr>
          <w:trHeight w:val="230"/>
        </w:trPr>
        <w:tc>
          <w:tcPr>
            <w:tcW w:w="55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262,757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262,757</w:t>
            </w:r>
          </w:p>
        </w:tc>
      </w:tr>
      <w:tr>
        <w:trPr>
          <w:trHeight w:val="230"/>
        </w:trPr>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446,996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446,996</w:t>
            </w:r>
          </w:p>
        </w:tc>
      </w:tr>
      <w:tr>
        <w:trPr>
          <w:trHeight w:val="230"/>
        </w:trPr>
        <w:tc>
          <w:tcPr>
            <w:tcW w:w="5580" w:type="dxa"/>
            <w:vAlign w:val="bottom"/>
          </w:tcPr>
          <w:p>
            <w:pPr>
              <w:ind w:left="22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80,039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80,039</w:t>
            </w:r>
          </w:p>
        </w:tc>
      </w:tr>
      <w:tr>
        <w:trPr>
          <w:trHeight w:val="24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950,806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¹ Included within cash and cash equivalents on the Company’s consolidated balance sheet</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carrying amounts of accounts payable and accrued liabilities approximate their fair values due to their short-term maturities. The Company’s Level 2 securities are valued using third-party pricing sources. The pricing services utilize industry standard valuation models, including both income and market-based approaches, for which all significant inputs are observable, either directly or indirectly.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of assets between the fair value measurement levels during the years ended December 31, 2021 or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12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fair value and amortized cost of cash equivalents and available-for-sale securities by major security type as of December 31, 2021 are presented in the following table: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5"/>
        </w:trPr>
        <w:tc>
          <w:tcPr>
            <w:tcW w:w="1280" w:type="dxa"/>
            <w:vAlign w:val="bottom"/>
            <w:tcBorders>
              <w:top w:val="single" w:sz="8" w:color="0000FF"/>
            </w:tcBorders>
          </w:tcPr>
          <w:p>
            <w:pPr>
              <w:spacing w:after="0"/>
              <w:rPr>
                <w:sz w:val="24"/>
                <w:szCs w:val="24"/>
                <w:color w:val="auto"/>
              </w:rPr>
            </w:pPr>
          </w:p>
        </w:tc>
        <w:tc>
          <w:tcPr>
            <w:tcW w:w="4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90"/>
              </w:rPr>
              <w:t>December 31, 2021</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Amortized Cost</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4"/>
                <w:szCs w:val="14"/>
                <w:color w:val="auto"/>
              </w:rPr>
            </w:pPr>
          </w:p>
        </w:tc>
        <w:tc>
          <w:tcPr>
            <w:tcW w:w="11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115,867</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58,976</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223,474</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U.S. treasury securities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303,016</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50,701</w:t>
            </w:r>
          </w:p>
        </w:tc>
        <w:tc>
          <w:tcPr>
            <w:tcW w:w="0" w:type="dxa"/>
            <w:vAlign w:val="bottom"/>
          </w:tcPr>
          <w:p>
            <w:pPr>
              <w:spacing w:after="0"/>
              <w:rPr>
                <w:sz w:val="1"/>
                <w:szCs w:val="1"/>
                <w:color w:val="auto"/>
              </w:rPr>
            </w:pPr>
          </w:p>
        </w:tc>
      </w:tr>
      <w:tr>
        <w:trPr>
          <w:trHeight w:val="223"/>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Total cash equivalents and investments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754,157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752,034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Classified as:</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115,867</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283,988</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352,179</w:t>
            </w:r>
          </w:p>
        </w:tc>
        <w:tc>
          <w:tcPr>
            <w:tcW w:w="0" w:type="dxa"/>
            <w:vAlign w:val="bottom"/>
          </w:tcPr>
          <w:p>
            <w:pPr>
              <w:spacing w:after="0"/>
              <w:rPr>
                <w:sz w:val="1"/>
                <w:szCs w:val="1"/>
                <w:color w:val="auto"/>
              </w:rPr>
            </w:pPr>
          </w:p>
        </w:tc>
      </w:tr>
      <w:tr>
        <w:trPr>
          <w:trHeight w:val="22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Total cash equivalents, and investments</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752,034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fair value and amortized cost of cash equivalents and available-for-sale securities by major security type as of December 31, 2020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88"/>
              </w:rPr>
              <w:t>December 31, 2020</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Amortized Cost</w:t>
            </w:r>
          </w:p>
        </w:tc>
        <w:tc>
          <w:tcPr>
            <w:tcW w:w="180" w:type="dxa"/>
            <w:vAlign w:val="bottom"/>
          </w:tcPr>
          <w:p>
            <w:pPr>
              <w:spacing w:after="0"/>
              <w:rPr>
                <w:sz w:val="14"/>
                <w:szCs w:val="14"/>
                <w:color w:val="auto"/>
              </w:rPr>
            </w:pPr>
          </w:p>
        </w:tc>
        <w:tc>
          <w:tcPr>
            <w:tcW w:w="12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Unrealized</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4"/>
                <w:szCs w:val="14"/>
                <w:color w:val="auto"/>
              </w:rPr>
            </w:pPr>
          </w:p>
        </w:tc>
        <w:tc>
          <w:tcPr>
            <w:tcW w:w="11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19"/>
                <w:szCs w:val="19"/>
                <w:color w:val="auto"/>
              </w:rPr>
            </w:pPr>
          </w:p>
        </w:tc>
        <w:tc>
          <w:tcPr>
            <w:tcW w:w="140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Gains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102,039</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58,975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262,757</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446,726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446,996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80,012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80,039</w:t>
            </w:r>
          </w:p>
        </w:tc>
        <w:tc>
          <w:tcPr>
            <w:tcW w:w="0" w:type="dxa"/>
            <w:vAlign w:val="bottom"/>
          </w:tcPr>
          <w:p>
            <w:pPr>
              <w:spacing w:after="0"/>
              <w:rPr>
                <w:sz w:val="1"/>
                <w:szCs w:val="1"/>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Total cash equivalents and investments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950,095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950,806</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Classified as: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102,039</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644,559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204,208</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cash equivalents, and investments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950,806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believes that it is more likely than not that investments in an unrealized loss position will be held until maturity and all interest and principal will be received. The Company does not intend to sell these investments and it is more likely than not that the Company will not be required to sell the investment before recovery of its amortized cost basis.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values of available-for-sale debt investments by contractual maturity as of December 31, 2021 and 2020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r>
      <w:tr>
        <w:trPr>
          <w:trHeight w:val="223"/>
        </w:trPr>
        <w:tc>
          <w:tcPr>
            <w:tcW w:w="624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6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8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tcPr>
          <w:p>
            <w:pPr>
              <w:spacing w:after="0"/>
              <w:rPr>
                <w:sz w:val="19"/>
                <w:szCs w:val="19"/>
                <w:color w:val="auto"/>
              </w:rPr>
            </w:pPr>
          </w:p>
        </w:tc>
      </w:tr>
      <w:tr>
        <w:trPr>
          <w:trHeight w:val="229"/>
        </w:trPr>
        <w:tc>
          <w:tcPr>
            <w:tcW w:w="6240" w:type="dxa"/>
            <w:vAlign w:val="bottom"/>
            <w:shd w:val="clear" w:color="auto" w:fill="CFF0FC"/>
          </w:tcPr>
          <w:p>
            <w:pPr>
              <w:ind w:left="680"/>
              <w:spacing w:after="0"/>
              <w:rPr>
                <w:sz w:val="20"/>
                <w:szCs w:val="20"/>
                <w:color w:val="auto"/>
              </w:rPr>
            </w:pPr>
            <w:r>
              <w:rPr>
                <w:rFonts w:ascii="Arial" w:cs="Arial" w:eastAsia="Arial" w:hAnsi="Arial"/>
                <w:sz w:val="18"/>
                <w:szCs w:val="18"/>
                <w:color w:val="auto"/>
              </w:rPr>
              <w:t>Due in 1 year or less</w:t>
            </w:r>
          </w:p>
        </w:tc>
        <w:tc>
          <w:tcPr>
            <w:tcW w:w="176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283,988</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644,559</w:t>
            </w:r>
          </w:p>
        </w:tc>
      </w:tr>
      <w:tr>
        <w:trPr>
          <w:trHeight w:val="230"/>
        </w:trPr>
        <w:tc>
          <w:tcPr>
            <w:tcW w:w="6240" w:type="dxa"/>
            <w:vAlign w:val="bottom"/>
          </w:tcPr>
          <w:p>
            <w:pPr>
              <w:ind w:left="680"/>
              <w:spacing w:after="0"/>
              <w:rPr>
                <w:sz w:val="20"/>
                <w:szCs w:val="20"/>
                <w:color w:val="auto"/>
              </w:rPr>
            </w:pPr>
            <w:r>
              <w:rPr>
                <w:rFonts w:ascii="Arial" w:cs="Arial" w:eastAsia="Arial" w:hAnsi="Arial"/>
                <w:sz w:val="18"/>
                <w:szCs w:val="18"/>
                <w:color w:val="auto"/>
              </w:rPr>
              <w:t>Due in 1 - 2 years</w:t>
            </w:r>
          </w:p>
        </w:tc>
        <w:tc>
          <w:tcPr>
            <w:tcW w:w="1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314,130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148,211</w:t>
            </w:r>
          </w:p>
        </w:tc>
      </w:tr>
      <w:tr>
        <w:trPr>
          <w:trHeight w:val="229"/>
        </w:trPr>
        <w:tc>
          <w:tcPr>
            <w:tcW w:w="6240" w:type="dxa"/>
            <w:vAlign w:val="bottom"/>
            <w:shd w:val="clear" w:color="auto" w:fill="CFF0FC"/>
          </w:tcPr>
          <w:p>
            <w:pPr>
              <w:ind w:left="680"/>
              <w:spacing w:after="0"/>
              <w:rPr>
                <w:sz w:val="20"/>
                <w:szCs w:val="20"/>
                <w:color w:val="auto"/>
              </w:rPr>
            </w:pPr>
            <w:r>
              <w:rPr>
                <w:rFonts w:ascii="Arial" w:cs="Arial" w:eastAsia="Arial" w:hAnsi="Arial"/>
                <w:sz w:val="18"/>
                <w:szCs w:val="18"/>
                <w:color w:val="auto"/>
              </w:rPr>
              <w:t>Due in 3 years</w:t>
            </w:r>
          </w:p>
        </w:tc>
        <w:tc>
          <w:tcPr>
            <w:tcW w:w="17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38,049</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55,997</w:t>
            </w:r>
          </w:p>
        </w:tc>
      </w:tr>
      <w:tr>
        <w:trPr>
          <w:trHeight w:val="230"/>
        </w:trPr>
        <w:tc>
          <w:tcPr>
            <w:tcW w:w="624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Instruments not due at a single maturity date</w:t>
            </w:r>
          </w:p>
        </w:tc>
        <w:tc>
          <w:tcPr>
            <w:tcW w:w="1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115,867</w:t>
            </w:r>
          </w:p>
        </w:tc>
        <w:tc>
          <w:tcPr>
            <w:tcW w:w="1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102,039</w:t>
            </w:r>
          </w:p>
        </w:tc>
      </w:tr>
      <w:tr>
        <w:trPr>
          <w:trHeight w:val="248"/>
        </w:trPr>
        <w:tc>
          <w:tcPr>
            <w:tcW w:w="6240" w:type="dxa"/>
            <w:vAlign w:val="bottom"/>
            <w:tcBorders>
              <w:bottom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cash equivalents and investments</w:t>
            </w:r>
          </w:p>
        </w:tc>
        <w:tc>
          <w:tcPr>
            <w:tcW w:w="176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752,034</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950,806</w:t>
            </w:r>
          </w:p>
        </w:tc>
      </w:tr>
      <w:tr>
        <w:trPr>
          <w:trHeight w:val="20"/>
        </w:trPr>
        <w:tc>
          <w:tcPr>
            <w:tcW w:w="624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As of December 31, 2021 and 2020, the remaining contractual maturities of available-for-sale securities were less than three years. There have been no significant realized losses on available-for-sale securities for the years ended December 31, 2021, 2020 and 2019. As of December 31, 2021 and 2020, unrealized losses on available-for-sale securities are not attributed to credit risk. The Company believes that it is more likely than not that investments in an unrealized loss position will be held until maturity and all interest and principal will be received. The Company believes that an allowance for credit losses is unnecessary because the unrealized losses on certain of the Company’s available-for-sale securities are due to market factors. As of December 31, 2021 and 2020, securities with a fair value of zero and $5.0 million, respectively, were in a continuous net unrealized loss position for more than 12 months. To date, the Company has not recorded any impairment charges on available-for-sale securities.</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December 31, 2021 and 2020, the Company recognized $1.9 million and $2.8 million of accrued interest receivable from available-for-sale securities within prepaid expenses and other current assets on the consolidated balance sheets.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Note 5. Balance Sheet Components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24"/>
        </w:trPr>
        <w:tc>
          <w:tcPr>
            <w:tcW w:w="81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8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2"/>
                <w:szCs w:val="22"/>
                <w:color w:val="auto"/>
              </w:rPr>
            </w:pPr>
          </w:p>
        </w:tc>
      </w:tr>
      <w:tr>
        <w:trPr>
          <w:trHeight w:val="223"/>
        </w:trPr>
        <w:tc>
          <w:tcPr>
            <w:tcW w:w="8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8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19"/>
                <w:szCs w:val="19"/>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31,518</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23,810</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equipment and purchased software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68,944</w:t>
            </w:r>
          </w:p>
        </w:tc>
      </w:tr>
      <w:tr>
        <w:trPr>
          <w:trHeight w:val="223"/>
        </w:trPr>
        <w:tc>
          <w:tcPr>
            <w:tcW w:w="8100" w:type="dxa"/>
            <w:vAlign w:val="bottom"/>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146,351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131,748</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(12,908)</w:t>
            </w:r>
          </w:p>
        </w:tc>
      </w:tr>
      <w:tr>
        <w:trPr>
          <w:trHeight w:val="223"/>
        </w:trPr>
        <w:tc>
          <w:tcPr>
            <w:tcW w:w="810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122,990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118,840</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Depreciation expense for the years ended December 31, 2021, 2020 and 2019 was $10.5 million, $7.4 million and $4.6 million respectively. Disposals of property and equipment were less than $0.1 million, zero and $0.2 million for the years ended December 31, 2021, 2020 and 2019,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871"/>
        </w:trPr>
        <w:tc>
          <w:tcPr>
            <w:tcW w:w="6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6800" w:type="dxa"/>
            <w:vAlign w:val="bottom"/>
            <w:gridSpan w:val="2"/>
          </w:tcPr>
          <w:p>
            <w:pPr>
              <w:ind w:left="660"/>
              <w:spacing w:after="0"/>
              <w:rPr>
                <w:sz w:val="20"/>
                <w:szCs w:val="20"/>
                <w:color w:val="auto"/>
              </w:rPr>
            </w:pPr>
            <w:r>
              <w:rPr>
                <w:rFonts w:ascii="Arial" w:cs="Arial" w:eastAsia="Arial" w:hAnsi="Arial"/>
                <w:sz w:val="18"/>
                <w:szCs w:val="18"/>
                <w:color w:val="auto"/>
              </w:rPr>
              <w:t>Accrued liabilities consist of the following:</w:t>
            </w: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128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12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19"/>
                <w:szCs w:val="19"/>
                <w:color w:val="auto"/>
              </w:rPr>
            </w:pPr>
          </w:p>
        </w:tc>
      </w:tr>
      <w:tr>
        <w:trPr>
          <w:trHeight w:val="230"/>
        </w:trPr>
        <w:tc>
          <w:tcPr>
            <w:tcW w:w="6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Accrued compensation and related benefits</w:t>
            </w:r>
          </w:p>
        </w:tc>
        <w:tc>
          <w:tcPr>
            <w:tcW w:w="15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16,126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15,943</w:t>
            </w:r>
          </w:p>
        </w:tc>
      </w:tr>
      <w:tr>
        <w:trPr>
          <w:trHeight w:val="229"/>
        </w:trPr>
        <w:tc>
          <w:tcPr>
            <w:tcW w:w="6800" w:type="dxa"/>
            <w:vAlign w:val="bottom"/>
            <w:gridSpan w:val="2"/>
          </w:tcPr>
          <w:p>
            <w:pPr>
              <w:ind w:left="680"/>
              <w:spacing w:after="0"/>
              <w:rPr>
                <w:sz w:val="20"/>
                <w:szCs w:val="20"/>
                <w:color w:val="auto"/>
              </w:rPr>
            </w:pPr>
            <w:r>
              <w:rPr>
                <w:rFonts w:ascii="Arial" w:cs="Arial" w:eastAsia="Arial" w:hAnsi="Arial"/>
                <w:sz w:val="18"/>
                <w:szCs w:val="18"/>
                <w:color w:val="auto"/>
              </w:rPr>
              <w:t>Accrued research and development expenses</w:t>
            </w:r>
          </w:p>
        </w:tc>
        <w:tc>
          <w:tcPr>
            <w:tcW w:w="1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13,521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13,887</w:t>
            </w:r>
          </w:p>
        </w:tc>
      </w:tr>
      <w:tr>
        <w:trPr>
          <w:trHeight w:val="230"/>
        </w:trPr>
        <w:tc>
          <w:tcPr>
            <w:tcW w:w="6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Accrued property and equipment</w:t>
            </w:r>
          </w:p>
        </w:tc>
        <w:tc>
          <w:tcPr>
            <w:tcW w:w="15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w:t>
            </w:r>
          </w:p>
        </w:tc>
      </w:tr>
      <w:tr>
        <w:trPr>
          <w:trHeight w:val="229"/>
        </w:trPr>
        <w:tc>
          <w:tcPr>
            <w:tcW w:w="6800" w:type="dxa"/>
            <w:vAlign w:val="bottom"/>
            <w:gridSpan w:val="2"/>
          </w:tcPr>
          <w:p>
            <w:pPr>
              <w:ind w:left="680"/>
              <w:spacing w:after="0"/>
              <w:rPr>
                <w:sz w:val="20"/>
                <w:szCs w:val="20"/>
                <w:color w:val="auto"/>
              </w:rPr>
            </w:pPr>
            <w:r>
              <w:rPr>
                <w:rFonts w:ascii="Arial" w:cs="Arial" w:eastAsia="Arial" w:hAnsi="Arial"/>
                <w:sz w:val="18"/>
                <w:szCs w:val="18"/>
                <w:color w:val="auto"/>
              </w:rPr>
              <w:t>Unvested shares liability</w:t>
            </w:r>
          </w:p>
        </w:tc>
        <w:tc>
          <w:tcPr>
            <w:tcW w:w="1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2,842</w:t>
            </w:r>
          </w:p>
        </w:tc>
      </w:tr>
      <w:tr>
        <w:trPr>
          <w:trHeight w:val="229"/>
        </w:trPr>
        <w:tc>
          <w:tcPr>
            <w:tcW w:w="6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r>
      <w:tr>
        <w:trPr>
          <w:trHeight w:val="223"/>
        </w:trPr>
        <w:tc>
          <w:tcPr>
            <w:tcW w:w="6800" w:type="dxa"/>
            <w:vAlign w:val="bottom"/>
            <w:gridSpan w:val="2"/>
          </w:tcPr>
          <w:p>
            <w:pPr>
              <w:ind w:left="880"/>
              <w:spacing w:after="0"/>
              <w:rPr>
                <w:sz w:val="20"/>
                <w:szCs w:val="20"/>
                <w:color w:val="auto"/>
              </w:rPr>
            </w:pPr>
            <w:r>
              <w:rPr>
                <w:rFonts w:ascii="Arial" w:cs="Arial" w:eastAsia="Arial" w:hAnsi="Arial"/>
                <w:sz w:val="18"/>
                <w:szCs w:val="18"/>
                <w:color w:val="auto"/>
              </w:rPr>
              <w:t>Total accrued and other current liabilities</w:t>
            </w: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37,496</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44,938</w:t>
            </w:r>
          </w:p>
        </w:tc>
      </w:tr>
      <w:tr>
        <w:trPr>
          <w:trHeight w:val="21"/>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License and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Contribution Agreement with Pfizer</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April 2018, the Company entered into an Asset Contribution Agreement (the Pfizer Agreement) with Pfizer pursuant to which the Company acquired certain assets, including certain contracts and intellectual property for the development and administration of chimeric antigen receptor (CAR) T cells for the treatment of cancer. The Company is required to make milestone payments upon successful completion of regulatory and sales milestones on a target-by-target basis for the targets including CD19 and B-cell maturation antigen (BCMA), covered by the Pfizer Agreement. The aggregate potential milestone payments upon successful completion of various regulatory milestones in the United States and the European Union are $30.0 million or $60.0 million, depending on the target, with aggregate potential regulatory and development milestones of up to $840.0 million, provided that the Company is not obligated to pay a milestone for regulatory approval in the European Union for an anti-CD19 allogeneic CAR T cell product, to the extent Servier has commercial rights to such territory. The aggregate potential milestone payments upon reaching certain annual net sales thresholds in North America, Europe, Asia, Australia and Oceania (the Territory) for a certain number of targets covered by the Pfizer Agreement are $325.0 million per target. The sales milestones in the foregoing sentence are payable on a country-by-country basis until the last to expire of any Pfizer Royalty Term, as described below, for any product in such country in the Territory. In October 2019, the Territory was expanded to all countries in the world. No milestone or royalty payments were made in the years ended December 31, 2021, 2020 and 2019.</w:t>
      </w:r>
    </w:p>
    <w:p>
      <w:pPr>
        <w:spacing w:after="0" w:line="16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Pfizer is also eligible to receive, on a product-by-product and country-by-country basis, royalties in single-digit percentages on annual net sales for products covered by the Pfizer Agreement or that use certain Pfizer intellectual property and for which an IND is first filed on or before April 6, 2023. The Company’s royalty obligation with respect to a given product in a given country begins upon the first sale of such product in such country and ends on the later of (i) expiration of the last claim of any applicable patent or (ii) 12 years from the first sale of such product in such country.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Cellectis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the Pfizer Agreement, Pfizer assigned to the Company a Research Collaboration and License Agreement (the Original Cellectis Agreement) with Cellectis S.A. (Cellectis). On March 8, 2019, the Company entered into a License Agreement (the Cellectis Agreement) with Cellectis. In connection with the execution of the Cellectis Agreement, on March 8, 2019, the Company and Cellectis also entered into a letter agreement (the Letter Agreement), pursuant to which the Company and Cellectis agreed to terminate the Original Cellectis Agreement. The Original Cellectis Agreement included a research collaboration to conduct discovery and pre-clinical development activities to generate CAR T cells directed at targets selected by each party, which was completed in June 2018.</w:t>
      </w:r>
    </w:p>
    <w:p>
      <w:pPr>
        <w:spacing w:after="0" w:line="19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Pursuant to the Cellectis Agreement, Cellectis granted to the Company an exclusive, worldwide, royalty-bearing license, on a target-by-target basis, with sublicensing rights under certain conditions, under certain of Cellectis’s intellectual property, including its TALEN and electroporation technology, to make, use, sell, import, and otherwise exploit and commercialize CAR T products directed at certain targets, including BCMA, FLT3, DLL3 and CD70 (the Allogene Targets), for human oncologic therapeutic, diagnostic, prophylactic and prognostic purposes. In addition, certain Cellectis intellectual property rights granted by Cellectis to the Company and to Servier pursuant to the Exclusive License and Collaboration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Agreement by and between Servier and Pfizer, dated October 30, 2016, which Pfizer assigned to the Company in April 2018, will survive the termination of the Original Cellectis Agreement.</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Pursuant to the Cellectis Agreement, the Company granted Cellectis a non-exclusive, worldwide, royalty-free, perpetual and irrevocable license, with sublicensing rights under certain conditions, under certain of the Company's intellectual property, to make, use, sell, import and otherwise commercialize CAR T products directed at certain targets (the Cellectis Targets).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Cellectis Agreement provides for development and sales milestone payments by the Company of up to $185.0 million per product that is directed against an Allogene Target, with aggregate potential development and sales milestone payments totaling up to $2.8 billion. Cellectis is also eligible to receive tiered royalties on annual worldwide net sales of any products that are commercialized by the Company that contain or incorporate, are made using or are claimed or covered by, Cellectis intellectual property licensed to the Company under the Cellectis Agreement (the Allogene Products), at rates in the high single-digit percentages. Such royalties may be reduced, on a licensed product-by-licensed product and country-by-country basis, for generic entry and for payments due under licenses of third party patents. Pursuant to the Cellectis Agreement, and subject to certain exceptions, the Company is required to indemnify Cellectis against all third party claims related to the development, manufacturing, commercialization or use of any Allogene Product or arising out of the Company’s material breach of the representations, warranties or covenants set forth in the Cellectis Agreement, and Cellectis is required, subject to certain exceptions, to indemnify the Company against all third party claims related to the development, manufacturing, commercialization or use of CAR T products directed at Cellectis Targets or arising out of Cellectis’s material breach of the representations, warranties or covenants set forth in the Cellectis Agreement.</w:t>
      </w:r>
    </w:p>
    <w:p>
      <w:pPr>
        <w:spacing w:after="0" w:line="18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royalties are payable, on a licensed product-by-licensed product and country-by-country basis, until the later of (i) the expiration of the last to expire of the licensed patents covering such product; (ii) the loss of regulatory exclusivity afforded such product in such country, and (iii) the tenth anniversary of the date of the first commercial sale of such product in such country; however, in no event shall such royalties be payable, with respect to a particular licensed product, past the twentieth anniversary of the first commercial sale for such product.</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Depending on the Cellectis Target, the Company has a right of first refusal or right of first negotiation to purchase or license from Cellectis rights to develop and commercialize products against such Cellectis Targets.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Cellectis Agreement, the Company has certain diligence obligations to progress the development of CAR T product candidates and to commercialize one CAR T product per Allogene Target in one major market country where the Company has received regulatory approval. If the Company materially breaches any of its diligence obligations and fails to cure within 90 days, then with respect to certain targets, such target will cease to be an Allogene Target and instead will become a Cellectis Target.</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Unless earlier terminated in accordance with its terms, the Cellectis Agreement will expire on a product-by-product and country-by-country basis, upon expiration of all royalty payment obligations with respect to such licensed product in such country. The Company has the right to terminate the Cellectis Agreement at will upon 60 days’ prior written notice, either in its entirety or on a target-by-target basis. Either party may terminate the Cellectis Agreement, in its entirety or on a target-by-target basis, upon 90 days’ prior written notice in the event of the other party’s uncured material breach. The Cellectis Agreement may also be terminated by the Company upon written notice at any time in the event that Cellectis becomes bankrupt or insolvent or upon written notice within 60 days of a consummation of a change of control of Cellectis.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All costs the Company incurred in connection with this agreement were recognized as research and development expenses in the consolidated statement of operations. For the years ended December 31, 2021 and 2019, $10 million and $5 million, respectively, of costs were incurred related to the achievement of clinical development milestones under this agreement. Zero clinical development milestones were achieved for the year ended December 31,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 with Servier</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part of the Pfizer Agreement, Pfizer assigned to the Company an Exclusive License and Collaboration Agreement (the Servier Agreement), with Les Laboratoires Servier SAS and Institut de Recherches Internationales Servier SAS (collectively, Servier) to develop, manufacture and commercialize certain allogeneic anti-CD19 CAR T cell product candidates, including UCART19, in the United States with the option to obtain the rights over additional anti-CD19 product candidates and for allogeneic CAR T cell product candidates directed against one additional target. In October 2019, the Company agreed to waive its rights to the one additional target.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Servier Agreement, the Company has an exclusive license to develop, manufacture and commercialize UCART19 in the field of anti-tumor adoptive immunotherapy in the United States, with an exclusive option to obtain the same rights for additional product candidates in the United States and, if Servier does not elect to pursue development or commercialization of those product candidates in certain markets outside of the United States pursuant to its license, outside of the United States as well. The Company is not required to make any additional payments to Servier to exercise an option. If the Company opts-in to another product candidate, Servier has the right to obtain rights to such product candidate outside the United States and to share development costs for such product candidate.</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the Servier Agreement, the Company is required to use commercially reasonable efforts to develop and obtain marketing approval in the United States in the field of anti-tumor adoptive immunotherapy for at least one product directed against CD19, and Servier is required to use commercially reasonable efforts to develop and obtain marketing approval in the European Union, and one other country in a group of specified countries outside of the European Union and the United States, in the field of anti-tumor adoptive immunotherapy for at least one allogeneic adaptive T cell product directed against a certain Company-selected target.</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product candidates that the Company is co-developing with Servier, including UCART19, ALLO-501 and ALLO-501A, the Company is responsible for 60% of the specified development costs and Servier is responsible for the remaining 40% of the specified development costs under the applicable global research and development plan. Subject to certain restrictions, each party has the right to conduct activities that are specific to its territory outside the global research and development plan at such party’s sole expense. In addition, each party is solely responsible for commercialization activities in its territory at such party’s sole expense.</w:t>
      </w:r>
    </w:p>
    <w:p>
      <w:pPr>
        <w:spacing w:after="0" w:line="18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is required to make milestone payments to Servier upon successful completion of regulatory and sales milestones. The Servier Agreement provides for aggregate potential payments by the Company to Servier of up to $137.5 million upon successful completion of various regulatory milestones, and aggregate potential payments by the Company to Servier of up to $78.0 million upon successful completion of various sales milestones. Similarly, Servier is required to make milestone payments upon successful completion of regulatory and sales milestones for products directed at the Allogene-target covered by the Servier Agreement that achieves such milestones. The total potential payments that Servier is obligated to make to the Company under the Servier Agreement upon successful completion of regulatory and sales milestones are $42 million and €70.5 million ($79.8 million), respectively. The foregoing milestones are subject to certain adjustments if the Company obtains rights for certain products outside of the United States upon Servier’s election not to pursue such rights.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Each party is also eligible to receive tiered royalties on annual net sales in countries within the paying party’s respective territory of any licensed products that are commercialized by such party that are directed at the targets licensed by such party under the Servier Agreement. The royalty rates are in a range from the low tens to the high teen percentages. Such royalties may be reduced for interchangeable drug entry, expiration of patent rights and amounts paid pursuant to licenses of third-party patents. The royalty obligation for each party with respect to a given licensed product in a given country in each party’s respective territory (the Servier Royalty Term) begins upon the first commercial sale of such product in such country and ends after a defined number of years.</w:t>
      </w:r>
    </w:p>
    <w:p>
      <w:pPr>
        <w:spacing w:after="0" w:line="192"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Unless earlier terminated in accordance with the Servier Agreement, the Servier Agreement will continue, on a licensed product-by-licensed product and country-by-country basis, until the Servier Royalty Term with respect to the sale of such licensed product in such country expires.</w:t>
      </w:r>
    </w:p>
    <w:p>
      <w:pPr>
        <w:spacing w:after="0" w:line="12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For the years ended December 31, 2021 and 2020, the Company recorded $17.1 million and $8.5 million, respectively, of net cost recoveries under the cost-sharing terms as a reduction to research and development expenses. For the year ended December 31, 2019, the Company recorded $7.3 million of costs incurred under the collaboration agreement with Servier as research and development expenses. As of December 31, 2021 and 2020, amounts due from Servier of $4.1 million and $3.8 million, respectively, were recorded in other current assets in the accompanying consolidated balance sheets.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Notch Therapeutics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November 1, 2019, the Company entered into a Collaboration and License Agreement (the Notch Agreement) with Notch Therapeutics Inc. (Notch), pursuant to which Notch granted to Allogene an exclusive, worldwide, royalty-bearing, sublicensable license under certain of Notch’s intellectual property to develop, make, use, sell, import, and otherwise commercialize therapeutic gene-edited T cell and/or natural killer (NK) cell products from induced pluripotent stem cells directed at certain CAR targets for initial application in non-Hodgkin lymphoma, acute lymphoblastic leukemia and multiple myeloma. In addition, Notch has granted Allogene an option to add certain specified targets to its exclusive license in exchange for an agreed per-target option fee.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Notch Agreement includes a research collaboration to conduct research and pre-clinical development activities to generate engineered cells directed to Allogene’s exclusive targets, which will be conducted in accordance with an agreed research plan and budget under the oversight of a joint development committee. Allogene will reimburse Notch’s costs incurred in accordance with such plan and budget. The term of the research collaboration will expire upon the earlier of (i) the fifth anniversary of the date of the Notch Agreement, (ii) at Allogene’s election, following the joint development committee’s determination that for each exclusive target, Notch has met certain success criteria, or (iii) the joint development committee’s determination that the research collaboration cannot be reasonably pursued against any exclusive target due to technical infeasibility or safety issues.</w:t>
      </w:r>
    </w:p>
    <w:p>
      <w:pPr>
        <w:spacing w:after="0" w:line="16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connection with the execution of the Notch Agreement, Allogene made an upfront payment to Notch of $10.0 million in return for a license to access Notch's technology in order to conduct research pursuant to the Notch Agreement. The Company recognized a research and development expense of $10 million during the year ended December 31, 2020 as the license had no foreseeable alternative future use. In addition, Allogene made a $5.0 million investment in Notch’s series seed convertible preferred stock, resulting in Allogene having a 25% ownership interest in Notch’s outstanding capital stock on a fully diluted basis immediately following the investment. In connection with this investment, an Allogene representative serves on the Notch Board of Directors. In February 2021, the Company made an additional $15.9 million investment in Notch's Series A preferred stock. In October 2021, the Company made an additional $1.8 million investment in Notch's common stock. Immediately following this transaction, the Company's share in Notch was 23.0% on a voting interest basis. The Company did not have a controlling interest in Notch as of December 31, 2021, and continued to account for its investment in Notch as an equity method investment.</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Under the Notch Agreement, Notch will be eligible to receive up to $7.25 million upon achieving certain agreed research milestones, up to $4.0 million per exclusive target upon achieving certain pre-clinical development milestones, and up to $283.0 million per exclusive target and cell type (i.e., T cell or NK cell) upon achieving certain clinical, regulatory and commercial milestones. Notch is also entitled to receive tiered royalties in the mid to high single digit range on Allogene’s sales of licensed products, subject to certain reductions, for a term, on a country-by-country and product-by-product basis, commencing on first commercial sale of such product in such country and continuing until the latest of (i) the date upon which there is no valid claim of the licensed patents in such country of sale that covers such product, (ii) the expiration of applicable data or other regulatory exclusivity in such country of sale or (iii) a defined period from the first commercial sale of such product in such country.</w:t>
      </w:r>
    </w:p>
    <w:p>
      <w:pPr>
        <w:spacing w:after="0" w:line="17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terms of the Notch Agreement will continue on a product-by-product and country-by-country basis until Allogene’s payment obligations with respect to such product in such country have expired. Following such expiration, Allogene’s license with respect to such product and country shall be perpetual, irrevocable, fully paid up and royalty-free. Allogene may terminate the Collaboration Agreement in whole or on a product-by-product basis upon ninety days’ prior written notice to Notch. Either party may also terminate the Collaboration Agreement with written notice upon material breach by the other party, if such breach has not been cured within a defined period of receiving such notice, or in the event of the other party’s insolvency.</w:t>
      </w:r>
    </w:p>
    <w:p>
      <w:pPr>
        <w:spacing w:after="0" w:line="161"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For the years ended December 31, 2021, 2020, and 2019, the Company recorded $4.3 million, $3.2 million, and $0.1 million, respectively, in collaboration costs as research and development expenses. For the year ended December 31, 2021, $0.3 million in costs were incurred related to the achievement of a research milestone under this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Alliance with The University of Texas MD Anderson Cancer Center</w:t>
      </w:r>
    </w:p>
    <w:p>
      <w:pPr>
        <w:spacing w:after="0" w:line="11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On October 6, 2020, the Company entered into a strategic five-year collaboration agreement with The University of Texas MD Anderson Cancer Center (MD Anderson) for the preclinical and clinical investigation of allogeneic CAR T cell product candidates. The Company and MD Anderson are collaborating on the design and conduct of preclinical and clinical studies with oversight from a joint steering committee.</w:t>
      </w:r>
    </w:p>
    <w:p>
      <w:pPr>
        <w:spacing w:after="0" w:line="5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terms of the agreement, the Company has committed up to $15.0 million of funding for the duration of the agreement. Payment of this funding is contingent on mutual agreement to study orders in order for any study to be included under the alliance. The Company made an upfront payment of $3.0 million to MD Anderson in the year ended December 31, 2020. The Company is obligated to make further payments to MD Anderson each year upon the anniversary of the agreement effective date through the duration of the agreement term. These costs are expensed to research and development as MD Anderson renders the services under the strategic alliance.</w:t>
      </w:r>
    </w:p>
    <w:p>
      <w:pPr>
        <w:spacing w:after="0" w:line="8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agreement may be terminated by either party for material breach by the other party. Individual studies may be terminated for, among other things, material breach, health and safety concerns or where the institutional review board,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review board at the clinical site with oversight of the clinical study, requests termination of any study. Where any legal or regulatory authorization is finally withdrawn or terminated, the relevant study will also terminate automatically.</w:t>
      </w:r>
    </w:p>
    <w:p>
      <w:pPr>
        <w:spacing w:after="0" w:line="6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the years ended December 31, 2021 and 2020, the Company recorded $1.0 million and zero, respectively, in collaboration costs as research and development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and License Agreement with Allogene Overland Biopharm (CY) Limited</w:t>
      </w:r>
    </w:p>
    <w:p>
      <w:pPr>
        <w:spacing w:after="0" w:line="11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On December 14, 2020, the Company entered into a License Agreement with Allogene Overland Biopharm (CY) Limited (Allogene Overland), a joint venture established by the Company and Overland Pharmaceuticals (CY) Inc. (Overland), pursuant to a Share Purchase Agreement, dated December 14, 2020, for the purpose of developing, manufacturing and commercializing certain allogeneic CAR T cell therapies for patients in greater China, Taiwan, South Korea and Singapore (the JV Territory).</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Pursuant to the Share Purchase Agreement, the Company acquired Seed Preferred Shares in Allogene Overland representing 49% of Allogene Overland's outstanding stock as partial consideration for the License Agreement, and Overland acquired Seed Preferred Shares representing 51% of Allogene Overland's outstanding stock for $117.0 million in upfront and certain quarterly cash payments, to support operations of Allogene Overland. As of December 31, 2021, the Company and Overland are the sole equity holders in Allogene Overland. The Company received $40 million from Allogene Overland as partial consideration for the License Agreement.</w:t>
      </w:r>
    </w:p>
    <w:p>
      <w:pPr>
        <w:spacing w:after="0" w:line="21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Pursuant to the License Agreement, the Company granted Allogene Overland an exclusive license to develop, manufacture and commercialize certain allogeneic CAR T cell candidates directed at four targets, BCMA, CD70, FLT3, and DLL3, in the JV Territory. As consideration, the Company would also be entitled to additional regulatory milestone payments of up to $40.0 million and, subject to certain conditions, tiered low-to-mid single-digit sales royalties. Subsequent to entering into the License Agreement, Allogene Overland assigned the License Agreement to a wholly-owned subsidiary, Allogene Overland BioPharm (HK) Limited.</w:t>
      </w:r>
    </w:p>
    <w:p>
      <w:pPr>
        <w:spacing w:after="0" w:line="21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Promises that the Company concluded were distinct performance obligations in the License Agreement included: (1) the license of intellectual property and delivery of know-how, (2) the manufacturing license, related know-how and support, (3) if and when available know-how developed in future periods, and (4) participation in the joint steering committee.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determine the transaction price, the Company evaluated all the payments to be received during the duration of the contract. Fixed</w:t>
      </w:r>
    </w:p>
    <w:p>
      <w:pPr>
        <w:spacing w:after="0" w:line="6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consideration exists in the form of the upfront payment. Regulatory milestones and royalties were considered variable consideration. The Company constrains the estimated variable consideration when it assesses it is probable that a significant reversal in the amount of cumulative revenue recognized may occur in future periods. Milestone fees were constrained and not included in the transaction price due to the uncertainties of research and development. The Company re-evaluates the transaction price, including the estimated variable consideration included in the transaction price and all constrained amounts, in each reporting period and as uncertain events are resolved or other changes in circumstances occur. The shares of Series Seed Preferred Stock were accounted for as part of the Company’s joint venture and equity method accounting upon formation of the joint venture, and as such, were excluded from the transaction price. The Company determined that the initial transaction price consists of the upfront payment of $40.0 million. The allocation of the transaction price is performed based on standalone selling prices, which are based on estimated amounts that the Company would charge for a performance obligation if it were sold separately. The transaction price allocated to the license of intellectual property and delivery of know-how will be recognized upon grant of license and delivery of know-how. The transaction price allocated to (i) the manufacturing license, related know-how and support services,</w:t>
      </w:r>
    </w:p>
    <w:p>
      <w:pPr>
        <w:spacing w:after="0" w:line="5" w:lineRule="exact"/>
        <w:rPr>
          <w:sz w:val="20"/>
          <w:szCs w:val="20"/>
          <w:color w:val="auto"/>
        </w:rPr>
      </w:pPr>
    </w:p>
    <w:p>
      <w:pPr>
        <w:ind w:right="100" w:firstLine="8"/>
        <w:spacing w:after="0" w:line="323" w:lineRule="auto"/>
        <w:tabs>
          <w:tab w:leader="none" w:pos="2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and when available know-how developed in future periods, and (iii) participation in the joint steering committee, will be recognized over time as the services are delivered. Funds received in advance are recorded as deferred revenue and will be recognized as the performance obligations are satisfied.</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determined that Allogene Overland is a variable interest entity as of December 31, 2021 and 2020, respectively. The Company does not have the power to independently direct the activities which most significantly affect Allogene Overland's economic performance. Accordingly, for the years ended December 31, 2021 and 2020, the Company did not consolidate Allogene Overland because the Company determined that it was not the primary beneficiary.</w:t>
      </w:r>
    </w:p>
    <w:p>
      <w:pPr>
        <w:spacing w:after="0" w:line="21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For the years ended December 31, 2021 and 2020, the Company recognized $38.5 million and zero, respectively, of collaboration revenue, primarily related to the delivery of a performance obligation consisting of a license of intellectual property and related know-how which was delivered in the first quarter of 2021. For the year ended December 31, 2020, the Company recorded the $40.0 million upfront cash payment received from Allogene Overland as deferred revenue, of which $39.0 million was current, on the consolidated balance sheet.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August 2018, the Company entered into an operating lease agreement (HQ Lease) for new office and laboratory space which consists of approximately 68,000 square feet located in South San Francisco, California. The lease term was 127 months beginning August 2018 through February 2029 with an option to extend the term for seven years which was not reasonably assured of exercise. The Company has made certain tenant improvements, including the addition of laboratory space, and has received $5.0 million of tenant improvement allowances up to December 31, 2021. The rent payments began on March 1, 2019 after an abatement period. In December 2021, the Company amended its lease agreement to lease an additional 47,566 square feet of office and laboratory space in South San Francisco, California, as part of the same building as the Company’s current headquarters. The lease term is 120 months and is expected to commence in April 2022. The rent payments for the expansion premises are expected to begin in August 2022 after an abatement period. The lease term for the existing premises was also extended and the lease for both the existing and expansion premises will expire on March 31, 2032 with an option to extend the term for eight years which is not reasonably assured of exercise.</w:t>
      </w:r>
    </w:p>
    <w:p>
      <w:pPr>
        <w:spacing w:after="0" w:line="19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October 2018, the Company entered into an operating lease agreement for new office and laboratory space which consists of 14,943 square feet located in South San Francisco, California. The lease term was 124 months beginning November 2018 through February 2029, with an option to extend the term for another seven years which was not reasonably assured of exercise. The Company has made certain tenant improvements, including the upgrading of current office and laboratory space with a lease incentive allowance of $0.8 million. Rent payments began in November 2018. In December 2021, the Company amended its lease agreement to extend the term of the lease to be co-terminus with the HQ Lease. The lease term will expire March 31, 2032 with an option to extend the term for eight years which is not reasonably assured of exercise.</w:t>
      </w:r>
    </w:p>
    <w:p>
      <w:pPr>
        <w:spacing w:after="0" w:line="20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February 2019, the Company entered into a lease agreement for approximately 118,000 square feet of space to develop a cell therapy manufacturing facility in Newark, California. The lease term is 188 months beginning November 2020 through July 2036. Upon certain conditions, the Company has two ten-year options to extend the lease, both of which are not reasonably assured of exercise. The Company received $2.7 million of tenant improvement allowances.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maintains letters of credit for the benefit of landlords which is disclosed as restricted cash in the consolidated balance sheet.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related to letters of credit due to landlords was $6.0 million and $5.2 million as of December 31, 2021 and 2020,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w w:val="98"/>
              </w:rPr>
              <w:t>The balance sheet classification of our lease liabilities were as follows (in thousands):</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6"/>
        </w:trPr>
        <w:tc>
          <w:tcPr>
            <w:tcW w:w="6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r>
      <w:tr>
        <w:trPr>
          <w:trHeight w:val="20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6740" w:type="dxa"/>
            <w:vAlign w:val="bottom"/>
          </w:tcPr>
          <w:p>
            <w:pPr>
              <w:ind w:left="300"/>
              <w:spacing w:after="0"/>
              <w:rPr>
                <w:sz w:val="20"/>
                <w:szCs w:val="20"/>
                <w:color w:val="auto"/>
              </w:rPr>
            </w:pPr>
            <w:r>
              <w:rPr>
                <w:rFonts w:ascii="Arial" w:cs="Arial" w:eastAsia="Arial" w:hAnsi="Arial"/>
                <w:sz w:val="18"/>
                <w:szCs w:val="18"/>
                <w:color w:val="auto"/>
              </w:rPr>
              <w:t>Current portion included in accrued and other 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2,974</w:t>
            </w:r>
          </w:p>
        </w:tc>
      </w:tr>
      <w:tr>
        <w:trPr>
          <w:trHeight w:val="230"/>
        </w:trPr>
        <w:tc>
          <w:tcPr>
            <w:tcW w:w="6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Long-term portion of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50,809</w:t>
            </w:r>
          </w:p>
        </w:tc>
      </w:tr>
      <w:tr>
        <w:trPr>
          <w:trHeight w:val="223"/>
        </w:trPr>
        <w:tc>
          <w:tcPr>
            <w:tcW w:w="6740" w:type="dxa"/>
            <w:vAlign w:val="bottom"/>
          </w:tcPr>
          <w:p>
            <w:pPr>
              <w:ind w:left="48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53,783</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for operating leases, which were recognized in operating expenses,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rPr>
              <w:t>Twelve Months Ended December 31,</w:t>
            </w:r>
          </w:p>
        </w:tc>
        <w:tc>
          <w:tcPr>
            <w:tcW w:w="1600" w:type="dxa"/>
            <w:vAlign w:val="bottom"/>
            <w:tcBorders>
              <w:bottom w:val="single" w:sz="8" w:color="auto"/>
            </w:tcBorders>
          </w:tcPr>
          <w:p>
            <w:pPr>
              <w:spacing w:after="0"/>
              <w:rPr>
                <w:sz w:val="20"/>
                <w:szCs w:val="20"/>
                <w:color w:val="auto"/>
              </w:rPr>
            </w:pPr>
          </w:p>
        </w:tc>
      </w:tr>
      <w:tr>
        <w:trPr>
          <w:trHeight w:val="223"/>
        </w:trPr>
        <w:tc>
          <w:tcPr>
            <w:tcW w:w="45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2018</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5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r>
      <w:tr>
        <w:trPr>
          <w:trHeight w:val="248"/>
        </w:trPr>
        <w:tc>
          <w:tcPr>
            <w:tcW w:w="45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lease costs</w:t>
            </w:r>
          </w:p>
        </w:tc>
        <w:tc>
          <w:tcPr>
            <w:tcW w:w="150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Cash paid for amounts included in the measurement of lease liabilities for the twelve months ended December 31, 2021 was $6.0 million and was included in net cash used in operating activities in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958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47"/>
        </w:trPr>
        <w:tc>
          <w:tcPr>
            <w:tcW w:w="9580" w:type="dxa"/>
            <w:vAlign w:val="bottom"/>
            <w:gridSpan w:val="3"/>
          </w:tcPr>
          <w:p>
            <w:pPr>
              <w:spacing w:after="0"/>
              <w:rPr>
                <w:sz w:val="20"/>
                <w:szCs w:val="20"/>
                <w:color w:val="auto"/>
              </w:rPr>
            </w:pPr>
            <w:r>
              <w:rPr>
                <w:rFonts w:ascii="Arial" w:cs="Arial" w:eastAsia="Arial" w:hAnsi="Arial"/>
                <w:sz w:val="18"/>
                <w:szCs w:val="18"/>
                <w:color w:val="auto"/>
                <w:w w:val="96"/>
              </w:rPr>
              <w:t>The undiscounted future non-cancellable lease payments under our operating leases as of December 31, 2021 is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7"/>
        </w:trPr>
        <w:tc>
          <w:tcPr>
            <w:tcW w:w="958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(in thousands)</w:t>
            </w:r>
          </w:p>
        </w:tc>
      </w:tr>
      <w:tr>
        <w:trPr>
          <w:trHeight w:val="223"/>
        </w:trPr>
        <w:tc>
          <w:tcPr>
            <w:tcW w:w="1280" w:type="dxa"/>
            <w:vAlign w:val="bottom"/>
            <w:tcBorders>
              <w:top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rPr>
              <w:t>2022</w:t>
            </w:r>
          </w:p>
        </w:tc>
        <w:tc>
          <w:tcPr>
            <w:tcW w:w="8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8,004</w:t>
            </w:r>
          </w:p>
        </w:tc>
      </w:tr>
      <w:tr>
        <w:trPr>
          <w:trHeight w:val="229"/>
        </w:trPr>
        <w:tc>
          <w:tcPr>
            <w:tcW w:w="1280" w:type="dxa"/>
            <w:vAlign w:val="bottom"/>
          </w:tcPr>
          <w:p>
            <w:pPr>
              <w:ind w:left="220"/>
              <w:spacing w:after="0"/>
              <w:rPr>
                <w:sz w:val="20"/>
                <w:szCs w:val="20"/>
                <w:color w:val="auto"/>
              </w:rPr>
            </w:pPr>
            <w:r>
              <w:rPr>
                <w:rFonts w:ascii="Arial" w:cs="Arial" w:eastAsia="Arial" w:hAnsi="Arial"/>
                <w:sz w:val="18"/>
                <w:szCs w:val="18"/>
                <w:color w:val="auto"/>
              </w:rPr>
              <w:t>2023</w:t>
            </w:r>
          </w:p>
        </w:tc>
        <w:tc>
          <w:tcPr>
            <w:tcW w:w="8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8,257</w:t>
            </w:r>
          </w:p>
        </w:tc>
      </w:tr>
      <w:tr>
        <w:trPr>
          <w:trHeight w:val="229"/>
        </w:trPr>
        <w:tc>
          <w:tcPr>
            <w:tcW w:w="12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2024</w:t>
            </w:r>
          </w:p>
        </w:tc>
        <w:tc>
          <w:tcPr>
            <w:tcW w:w="8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8,523</w:t>
            </w:r>
          </w:p>
        </w:tc>
      </w:tr>
      <w:tr>
        <w:trPr>
          <w:trHeight w:val="230"/>
        </w:trPr>
        <w:tc>
          <w:tcPr>
            <w:tcW w:w="1280" w:type="dxa"/>
            <w:vAlign w:val="bottom"/>
          </w:tcPr>
          <w:p>
            <w:pPr>
              <w:ind w:left="220"/>
              <w:spacing w:after="0"/>
              <w:rPr>
                <w:sz w:val="20"/>
                <w:szCs w:val="20"/>
                <w:color w:val="auto"/>
              </w:rPr>
            </w:pPr>
            <w:r>
              <w:rPr>
                <w:rFonts w:ascii="Arial" w:cs="Arial" w:eastAsia="Arial" w:hAnsi="Arial"/>
                <w:sz w:val="18"/>
                <w:szCs w:val="18"/>
                <w:color w:val="auto"/>
              </w:rPr>
              <w:t>2025</w:t>
            </w:r>
          </w:p>
        </w:tc>
        <w:tc>
          <w:tcPr>
            <w:tcW w:w="8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8,557</w:t>
            </w:r>
          </w:p>
        </w:tc>
      </w:tr>
      <w:tr>
        <w:trPr>
          <w:trHeight w:val="229"/>
        </w:trPr>
        <w:tc>
          <w:tcPr>
            <w:tcW w:w="95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2026 and thereafter</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74,396</w:t>
            </w:r>
          </w:p>
        </w:tc>
      </w:tr>
      <w:tr>
        <w:trPr>
          <w:trHeight w:val="223"/>
        </w:trPr>
        <w:tc>
          <w:tcPr>
            <w:tcW w:w="9580" w:type="dxa"/>
            <w:vAlign w:val="bottom"/>
            <w:gridSpan w:val="3"/>
          </w:tcPr>
          <w:p>
            <w:pPr>
              <w:ind w:left="220"/>
              <w:spacing w:after="0"/>
              <w:rPr>
                <w:sz w:val="20"/>
                <w:szCs w:val="20"/>
                <w:color w:val="auto"/>
              </w:rPr>
            </w:pPr>
            <w:r>
              <w:rPr>
                <w:rFonts w:ascii="Arial" w:cs="Arial" w:eastAsia="Arial" w:hAnsi="Arial"/>
                <w:sz w:val="18"/>
                <w:szCs w:val="18"/>
                <w:color w:val="auto"/>
              </w:rPr>
              <w:t>Total undiscounted lease payments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107,737</w:t>
            </w:r>
          </w:p>
        </w:tc>
      </w:tr>
      <w:tr>
        <w:trPr>
          <w:trHeight w:val="229"/>
        </w:trPr>
        <w:tc>
          <w:tcPr>
            <w:tcW w:w="95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Less: Present value adjustment</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(34,283)</w:t>
            </w:r>
          </w:p>
        </w:tc>
      </w:tr>
      <w:tr>
        <w:trPr>
          <w:trHeight w:val="229"/>
        </w:trPr>
        <w:tc>
          <w:tcPr>
            <w:tcW w:w="9580" w:type="dxa"/>
            <w:vAlign w:val="bottom"/>
            <w:tcBorders>
              <w:bottom w:val="single" w:sz="8" w:color="CFF0FC"/>
            </w:tcBorders>
            <w:gridSpan w:val="3"/>
          </w:tcPr>
          <w:p>
            <w:pPr>
              <w:ind w:left="220"/>
              <w:spacing w:after="0"/>
              <w:rPr>
                <w:sz w:val="20"/>
                <w:szCs w:val="20"/>
                <w:color w:val="auto"/>
              </w:rPr>
            </w:pPr>
            <w:r>
              <w:rPr>
                <w:rFonts w:ascii="Arial" w:cs="Arial" w:eastAsia="Arial" w:hAnsi="Arial"/>
                <w:sz w:val="18"/>
                <w:szCs w:val="18"/>
                <w:color w:val="auto"/>
              </w:rPr>
              <w:t>Less: Tenant improvement allowance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48"/>
        </w:trPr>
        <w:tc>
          <w:tcPr>
            <w:tcW w:w="9580" w:type="dxa"/>
            <w:vAlign w:val="bottom"/>
            <w:tcBorders>
              <w:bottom w:val="single" w:sz="8" w:color="CFF0FC"/>
            </w:tcBorders>
            <w:gridSpan w:val="3"/>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73,129</w:t>
            </w:r>
          </w:p>
        </w:tc>
      </w:tr>
      <w:tr>
        <w:trPr>
          <w:trHeight w:val="20"/>
        </w:trPr>
        <w:tc>
          <w:tcPr>
            <w:tcW w:w="1280" w:type="dxa"/>
            <w:vAlign w:val="bottom"/>
            <w:tcBorders>
              <w:top w:val="single" w:sz="8" w:color="CFF0FC"/>
            </w:tcBorders>
          </w:tcPr>
          <w:p>
            <w:pPr>
              <w:spacing w:after="0" w:line="20" w:lineRule="exact"/>
              <w:rPr>
                <w:sz w:val="1"/>
                <w:szCs w:val="1"/>
                <w:color w:val="auto"/>
              </w:rPr>
            </w:pPr>
          </w:p>
        </w:tc>
        <w:tc>
          <w:tcPr>
            <w:tcW w:w="8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80" w:firstLine="648"/>
        <w:spacing w:after="0" w:line="311" w:lineRule="auto"/>
        <w:rPr>
          <w:sz w:val="20"/>
          <w:szCs w:val="20"/>
          <w:color w:val="auto"/>
        </w:rPr>
      </w:pPr>
      <w:r>
        <w:rPr>
          <w:rFonts w:ascii="Arial" w:cs="Arial" w:eastAsia="Arial" w:hAnsi="Arial"/>
          <w:sz w:val="16"/>
          <w:szCs w:val="16"/>
          <w:color w:val="auto"/>
        </w:rPr>
        <w:t>Operating lease liabilities are based on the net present value of the remaining lease payments over the remaining lease term. In determining the present value of lease payments, we use our estimated incremental borrowing rate. The weighted average discount rate used to determine the operating lease liability was 6.34%. As of December 31, 2021, the weighted average remaining lease term for our operating leases is 11.21 years.</w:t>
      </w:r>
    </w:p>
    <w:p>
      <w:pPr>
        <w:spacing w:after="0" w:line="17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Rent expense for short-term leases was $0.3 million, $0.2 million and $2.4 million for the years ended December 31, 2021, 2020 and 2019 respectively.</w:t>
      </w:r>
    </w:p>
    <w:p>
      <w:pPr>
        <w:spacing w:after="0" w:line="19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Certain lease agreements require the Company to return designated areas of leased space to its original condition upon termination of the lease agreement. At the inception of such leases, the Company records an asset retirement obligation and a corresponding capital asset in an amount equal to the estimated fair value of the obligation. To determine the fair value of the obligation, we estimate the cost for a third-party to perform the restoration work. In subsequent periods, for each asset retirement obligation, the Company records interest expense to accrete the asset retirement obligation liability to full value and depreciate each capitalized asset retirement obligation asset, both over the term of the associated lease agreement. Asset retirement obligations were $0.5 million and $0.5 million as of December 31, 2021 and 2020 respectively.</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Solar Power Purchase and Energy Services Agreement</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July 2020, the Company entered into a Solar Power Purchase and Energy Services Agreement for the installation and operation of a solar photovoltaic generating system and battery energy storage system at the Company's cell therapy manufacturing facility in Newark, California. The agreement has a term of 20 years and is expected to commence in the first half of 2022. The Company is obligated to pay for electricity generated from the system at an agreed rate for the duration of the agreement term. Termination of the agreement by the Company will result in a termination payment due of approximately $4.3 million. In connection with the agreement, the Company maintains a letter of credit for the benefit of the service provider in the amount of $4.3 million which is disclosed as restricted cash in the consolidated balance sheets as of December 31, 2021 and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for Intellectual Property</w:t>
      </w:r>
    </w:p>
    <w:p>
      <w:pPr>
        <w:spacing w:after="0" w:line="121" w:lineRule="exact"/>
        <w:rPr>
          <w:sz w:val="20"/>
          <w:szCs w:val="20"/>
          <w:color w:val="auto"/>
        </w:rPr>
      </w:pPr>
    </w:p>
    <w:p>
      <w:pPr>
        <w:jc w:val="both"/>
        <w:ind w:right="200" w:firstLine="648"/>
        <w:spacing w:after="0" w:line="301" w:lineRule="auto"/>
        <w:rPr>
          <w:sz w:val="20"/>
          <w:szCs w:val="20"/>
          <w:color w:val="auto"/>
        </w:rPr>
      </w:pPr>
      <w:r>
        <w:rPr>
          <w:rFonts w:ascii="Arial" w:cs="Arial" w:eastAsia="Arial" w:hAnsi="Arial"/>
          <w:sz w:val="16"/>
          <w:szCs w:val="16"/>
          <w:color w:val="auto"/>
        </w:rPr>
        <w:t>The Company has entered into certain license agreements for intellectual property which is used as part of our development and manufacturing processes. Each of these respective agreements are generally cancellable by the Company. These agreements require payment of annual license fees and may include conditional milestone payments for achievement of specific research, clinical and commercial events, and royalty payments. The timing and likelihood of any significant conditional milestone payments or royalty payments becoming due was not probable as of December 31,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normal course of business, the Company enters into various purchase commitments with third-party contract manufacturers for the manufacture and processing of our product candidates and related raw materials, and we have entered into other contracts in the normal course of business with contract research organizations for clinical trials and other vendors for other services and products for operating purposes. These agreements generally provide for termination or cancellation, other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than for costs already incurred. As of December 31, 2021, the Company had non-cancellable purchase commitments of $3.7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accordance with the Company’s amended and restated certificate of incorporation and amended and restated bylaws, the Company has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indemnification obligations to its officers and directors for certain events or occurrences, subject to certain limits, while they are serving in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capacity. There have been no claims to date, and the Company has a directors and officers liability insurance policy that may enable it to recover a portion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any amounts paid for future claims.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Method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Notch Therapeutics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conjunction with the execution of the Notch Agreement (see Note 6), the Company also entered into a Share Purchase Agreement with the Company acquiring shares of Notch’s Series Seed convertible preferred stock for a total investment cost of $5.1 million which includes transaction costs of $0.1 million, resulting in a 25% ownership interest in Notch. In February 2021, the Company made a $15.9 million investment in Notch's Series A preferred stock. Immediately following this transaction, the Company's share in Notch was 20.7% on a voting interest basis. In October 2021, the Company made an additional $1.8 million investment in Notch's common stock. Immediately following this transaction, the Company's share in Notch was 23.0% on a voting interest basis.</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Company’s total equity investment in Notch as of December 31, 2021 and 2020 was $18.0 million and $3.7 million, respectively, based on the cost method of accounting. During the years ended December 31, 2021, 2020 and 2019, the Company recognized its share of Notch's net loss under the other expenses caption within the consolidated statement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Allogene Overland Biopharm (CY) Limited</w:t>
      </w:r>
    </w:p>
    <w:p>
      <w:pPr>
        <w:spacing w:after="0" w:line="11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conjunction with the execution of the License Agreement with Allogene Overland (see Note 6), the Company also entered into a Share Purchase Agreement and Shareholders' Agreement with the joint venture company acquiring shares of Allogene Overland’s Seed Preferred Shares representing a 49% ownership interest in exchange for entering into a License Agreement which had a carrying value of zero. The Company accounts for its investment in Allogene Overland as an equity method investment at carrying value. The Company's total equity investment in Allogene Overland was zero as of December 31, 2021.</w:t>
      </w:r>
    </w:p>
    <w:p>
      <w:pPr>
        <w:spacing w:after="0" w:line="8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Company’s equity investment in Allogene Overland as of December 31, 2021 had a zero carryover basis. Therefore, the Company did not account for its share of losses incurred by Allogene Overland. See Note 6 for further details.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Pursuant to the Amended and Restated Certificate of Incorporation filed on October 15, 2018, as amended, the Company is authorized to issue a total of 10,000,000 shares of preferred stock, of which no shares were issued and outstanding at December 31, 2021 and 2020.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Pursuant to the Amended and Restated Certificate of Incorporation filed on October 15, 2018, as amended, the Company is authorized to issue a total of 200,000,000 shares of common stock, of which 142,623,065 and 140,474,305 shares were issued and outstanding at December 31, 2021 and 2020, respectively.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Common stockholders are entitled to dividends if and when declared by the Company’s Board of Directors subject to the prior rights of the preferred stockholders. As of December 31, 2021 and 2020, no dividends on common stock had been declared by the Company’s Board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52" w:lineRule="exact"/>
        <w:rPr>
          <w:sz w:val="20"/>
          <w:szCs w:val="20"/>
          <w:color w:val="auto"/>
        </w:rPr>
      </w:pPr>
    </w:p>
    <w:p>
      <w:pPr>
        <w:ind w:right="300" w:firstLine="648"/>
        <w:spacing w:after="0" w:line="294" w:lineRule="auto"/>
        <w:rPr>
          <w:sz w:val="20"/>
          <w:szCs w:val="20"/>
          <w:color w:val="auto"/>
        </w:rPr>
      </w:pPr>
      <w:r>
        <w:rPr>
          <w:rFonts w:ascii="Arial" w:cs="Arial" w:eastAsia="Arial" w:hAnsi="Arial"/>
          <w:sz w:val="16"/>
          <w:szCs w:val="16"/>
          <w:color w:val="auto"/>
        </w:rPr>
        <w:t>In June 2018, the Company adopted its 2018 Equity Incentive Plan (Prior 2018 Plan). The 2018 Plan provided for the Company to sell or issue common stock or restricted common stock, or to grant incentive stock options or nonqualified stock options for the purchase of common stock, to employees, members of the Company’s Board of Directors and consultants of the Company under terms and provisions established by the Company’s Board of Directors. In September 2018, the Board of Directors adopted a new amended and restated 2018 Equity Incentive Plan as a successor to and</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continuation of the Prior 2018 Plan, which became effective in October 2018 (the 2018 Plan), which authorized additional shares for issuance and provided for an automatic annual increase to the number of shares issuable under the 2018 Plan by an amount equal to 5% of the total number of shares of common stock outstanding on December 31</w:t>
      </w:r>
      <w:r>
        <w:rPr>
          <w:rFonts w:ascii="Arial" w:cs="Arial" w:eastAsia="Arial" w:hAnsi="Arial"/>
          <w:sz w:val="14"/>
          <w:szCs w:val="14"/>
          <w:color w:val="auto"/>
        </w:rPr>
        <w:t>st</w:t>
      </w:r>
      <w:r>
        <w:rPr>
          <w:rFonts w:ascii="Arial" w:cs="Arial" w:eastAsia="Arial" w:hAnsi="Arial"/>
          <w:sz w:val="16"/>
          <w:szCs w:val="16"/>
          <w:color w:val="auto"/>
        </w:rPr>
        <w:t xml:space="preserve"> of the preceding calendar year. The term of any stock option granted under the 2018 Plan cannot exceed 10 years. The Company generally grants stock-based awards with service conditions only. Options granted typically vest over a four-year period but may be granted with different vesting terms. Restricted Stock Units granted typically vest annually over a four-year period but may be granted with different vesting terms. Options shall not have an exercise price less than 100% of the fair market value of the Company’s common stock on the grant date. If the individual possesses more than 10% of the combined voting power of all classes of stock of the Company, the exercise price shall not be less than 110% of the fair market value of a common share of stock on the date of grant. This requirement is applicable to incentive stock options only.</w:t>
      </w:r>
    </w:p>
    <w:p>
      <w:pPr>
        <w:spacing w:after="0" w:line="16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December 31, 2021 and 2020, there were 15,801,927 and 12,308,848 shares reserved by the Company under the 2018 Plan for the future issuance of equity awards.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option activity under the 2018 Plan: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b w:val="1"/>
                <w:bCs w:val="1"/>
                <w:color w:val="auto"/>
              </w:rPr>
              <w:t>Outstanding Options</w:t>
            </w:r>
          </w:p>
        </w:tc>
        <w:tc>
          <w:tcPr>
            <w:tcW w:w="8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left="450"/>
              <w:spacing w:after="0" w:line="169" w:lineRule="exact"/>
              <w:rPr>
                <w:sz w:val="20"/>
                <w:szCs w:val="20"/>
                <w:color w:val="auto"/>
              </w:rPr>
            </w:pPr>
            <w:r>
              <w:rPr>
                <w:rFonts w:ascii="Arial" w:cs="Arial" w:eastAsia="Arial" w:hAnsi="Arial"/>
                <w:sz w:val="18"/>
                <w:szCs w:val="18"/>
                <w:b w:val="1"/>
                <w:bCs w:val="1"/>
                <w:color w:val="auto"/>
                <w:w w:val="89"/>
              </w:rPr>
              <w:t>Weighted-</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640" w:type="dxa"/>
            <w:vAlign w:val="bottom"/>
            <w:gridSpan w:val="2"/>
          </w:tcPr>
          <w:p>
            <w:pPr>
              <w:jc w:val="center"/>
              <w:ind w:left="450"/>
              <w:spacing w:after="0" w:line="176" w:lineRule="exact"/>
              <w:rPr>
                <w:sz w:val="20"/>
                <w:szCs w:val="20"/>
                <w:color w:val="auto"/>
              </w:rPr>
            </w:pPr>
            <w:r>
              <w:rPr>
                <w:rFonts w:ascii="Arial" w:cs="Arial" w:eastAsia="Arial" w:hAnsi="Arial"/>
                <w:sz w:val="18"/>
                <w:szCs w:val="18"/>
                <w:b w:val="1"/>
                <w:bCs w:val="1"/>
                <w:color w:val="auto"/>
                <w:w w:val="87"/>
              </w:rPr>
              <w:t>Average</w:t>
            </w:r>
          </w:p>
        </w:tc>
        <w:tc>
          <w:tcPr>
            <w:tcW w:w="800" w:type="dxa"/>
            <w:vAlign w:val="bottom"/>
          </w:tcPr>
          <w:p>
            <w:pPr>
              <w:spacing w:after="0"/>
              <w:rPr>
                <w:sz w:val="15"/>
                <w:szCs w:val="15"/>
                <w:color w:val="auto"/>
              </w:rPr>
            </w:pPr>
          </w:p>
        </w:tc>
        <w:tc>
          <w:tcPr>
            <w:tcW w:w="13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54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40" w:type="dxa"/>
            <w:vAlign w:val="bottom"/>
            <w:gridSpan w:val="2"/>
          </w:tcPr>
          <w:p>
            <w:pPr>
              <w:jc w:val="center"/>
              <w:ind w:left="470"/>
              <w:spacing w:after="0" w:line="176" w:lineRule="exact"/>
              <w:rPr>
                <w:sz w:val="20"/>
                <w:szCs w:val="20"/>
                <w:color w:val="auto"/>
              </w:rPr>
            </w:pPr>
            <w:r>
              <w:rPr>
                <w:rFonts w:ascii="Arial" w:cs="Arial" w:eastAsia="Arial" w:hAnsi="Arial"/>
                <w:sz w:val="18"/>
                <w:szCs w:val="18"/>
                <w:b w:val="1"/>
                <w:bCs w:val="1"/>
                <w:color w:val="auto"/>
                <w:w w:val="91"/>
              </w:rPr>
              <w:t>Remaining</w:t>
            </w:r>
          </w:p>
        </w:tc>
        <w:tc>
          <w:tcPr>
            <w:tcW w:w="8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7"/>
              </w:rPr>
              <w:t>Average</w:t>
            </w:r>
          </w:p>
        </w:tc>
        <w:tc>
          <w:tcPr>
            <w:tcW w:w="1640" w:type="dxa"/>
            <w:vAlign w:val="bottom"/>
            <w:gridSpan w:val="2"/>
          </w:tcPr>
          <w:p>
            <w:pPr>
              <w:jc w:val="center"/>
              <w:ind w:left="450"/>
              <w:spacing w:after="0" w:line="176" w:lineRule="exact"/>
              <w:rPr>
                <w:sz w:val="20"/>
                <w:szCs w:val="20"/>
                <w:color w:val="auto"/>
              </w:rPr>
            </w:pPr>
            <w:r>
              <w:rPr>
                <w:rFonts w:ascii="Arial" w:cs="Arial" w:eastAsia="Arial" w:hAnsi="Arial"/>
                <w:sz w:val="18"/>
                <w:szCs w:val="18"/>
                <w:b w:val="1"/>
                <w:bCs w:val="1"/>
                <w:color w:val="auto"/>
                <w:w w:val="94"/>
              </w:rPr>
              <w:t>Contract</w:t>
            </w:r>
          </w:p>
        </w:tc>
        <w:tc>
          <w:tcPr>
            <w:tcW w:w="800" w:type="dxa"/>
            <w:vAlign w:val="bottom"/>
          </w:tcPr>
          <w:p>
            <w:pPr>
              <w:spacing w:after="0"/>
              <w:rPr>
                <w:sz w:val="15"/>
                <w:szCs w:val="15"/>
                <w:color w:val="auto"/>
              </w:rPr>
            </w:pPr>
          </w:p>
        </w:tc>
        <w:tc>
          <w:tcPr>
            <w:tcW w:w="13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54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5"/>
              </w:rPr>
              <w:t>Term</w:t>
            </w:r>
          </w:p>
        </w:tc>
        <w:tc>
          <w:tcPr>
            <w:tcW w:w="80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Balance, December 31, 2020</w:t>
            </w:r>
          </w:p>
        </w:tc>
        <w:tc>
          <w:tcPr>
            <w:tcW w:w="15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10,434,034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93,149</w:t>
            </w:r>
          </w:p>
        </w:tc>
        <w:tc>
          <w:tcPr>
            <w:tcW w:w="0" w:type="dxa"/>
            <w:vAlign w:val="bottom"/>
          </w:tcPr>
          <w:p>
            <w:pPr>
              <w:spacing w:after="0"/>
              <w:rPr>
                <w:sz w:val="1"/>
                <w:szCs w:val="1"/>
                <w:color w:val="auto"/>
              </w:rPr>
            </w:pPr>
          </w:p>
        </w:tc>
      </w:tr>
      <w:tr>
        <w:trPr>
          <w:trHeight w:val="230"/>
        </w:trPr>
        <w:tc>
          <w:tcPr>
            <w:tcW w:w="3660" w:type="dxa"/>
            <w:vAlign w:val="bottom"/>
          </w:tcPr>
          <w:p>
            <w:pPr>
              <w:ind w:left="680"/>
              <w:spacing w:after="0"/>
              <w:rPr>
                <w:sz w:val="20"/>
                <w:szCs w:val="20"/>
                <w:color w:val="auto"/>
              </w:rPr>
            </w:pPr>
            <w:r>
              <w:rPr>
                <w:rFonts w:ascii="Arial" w:cs="Arial" w:eastAsia="Arial" w:hAnsi="Arial"/>
                <w:sz w:val="18"/>
                <w:szCs w:val="18"/>
                <w:color w:val="auto"/>
              </w:rPr>
              <w:t>Options granted</w:t>
            </w:r>
          </w:p>
        </w:tc>
        <w:tc>
          <w:tcPr>
            <w:tcW w:w="1540" w:type="dxa"/>
            <w:vAlign w:val="bottom"/>
          </w:tcPr>
          <w:p>
            <w:pPr>
              <w:jc w:val="center"/>
              <w:ind w:left="570"/>
              <w:spacing w:after="0"/>
              <w:rPr>
                <w:sz w:val="20"/>
                <w:szCs w:val="20"/>
                <w:color w:val="auto"/>
              </w:rPr>
            </w:pPr>
            <w:r>
              <w:rPr>
                <w:rFonts w:ascii="Arial" w:cs="Arial" w:eastAsia="Arial" w:hAnsi="Arial"/>
                <w:sz w:val="18"/>
                <w:szCs w:val="18"/>
                <w:color w:val="auto"/>
                <w:w w:val="89"/>
              </w:rPr>
              <w:t>2,427,013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Options exercised</w:t>
            </w:r>
          </w:p>
        </w:tc>
        <w:tc>
          <w:tcPr>
            <w:tcW w:w="15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(1,268,840)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21,917</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Options forfeited</w:t>
            </w:r>
          </w:p>
        </w:tc>
        <w:tc>
          <w:tcPr>
            <w:tcW w:w="15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3"/>
              </w:rPr>
              <w:t>(1,353,040)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Balance, December 31, 2021</w:t>
            </w:r>
          </w:p>
        </w:tc>
        <w:tc>
          <w:tcPr>
            <w:tcW w:w="15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5"/>
              </w:rPr>
              <w:t>10,239,167</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color w:val="auto"/>
              </w:rPr>
              <w:t>Exercisable, December 31, 2021</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23,819</w:t>
            </w: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540" w:type="dxa"/>
            <w:vAlign w:val="bottom"/>
          </w:tcPr>
          <w:p>
            <w:pPr>
              <w:jc w:val="center"/>
              <w:ind w:left="570"/>
              <w:spacing w:after="0" w:line="203" w:lineRule="exact"/>
              <w:rPr>
                <w:sz w:val="20"/>
                <w:szCs w:val="20"/>
                <w:color w:val="auto"/>
              </w:rPr>
            </w:pPr>
            <w:r>
              <w:rPr>
                <w:rFonts w:ascii="Arial" w:cs="Arial" w:eastAsia="Arial" w:hAnsi="Arial"/>
                <w:sz w:val="18"/>
                <w:szCs w:val="18"/>
                <w:color w:val="auto"/>
                <w:w w:val="89"/>
              </w:rPr>
              <w:t>7,646,675</w:t>
            </w:r>
          </w:p>
        </w:tc>
        <w:tc>
          <w:tcPr>
            <w:tcW w:w="88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2"/>
              </w:rPr>
              <w:t>Vested and expected to vest, December</w:t>
            </w:r>
          </w:p>
        </w:tc>
        <w:tc>
          <w:tcPr>
            <w:tcW w:w="154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w w:val="95"/>
              </w:rPr>
              <w:t>10,239,167</w:t>
            </w: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31, 2021</w:t>
            </w: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CCEEFF"/>
            </w:tcBorders>
            <w:gridSpan w:val="2"/>
            <w:vMerge w:val="continue"/>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3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aggregate intrinsic values of options exercised, outstanding, exercisable, vested and expected to vest were calculated as the difference between the exercise price of the options and the closing price of the Company’s common stock on the Nasdaq Global Select Market on December 31, 2021. During the years ended December 31, 2021 and 2020, the estimated weighted-average grant-date fair value of employee options granted was $18.79 per share and $13.79 per share, respectively. As of December 31, 2021 and 2020, there was $75.5 million and $81.1 million, respectively, of unrecognized stock-based compensation related to unvested stock options, which is expected to be recognized over a weighted-average period of 2 years, 176 days and 2 years, 222 days, respectively.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color w:val="auto"/>
        </w:rPr>
        <w:t>The fair value of employee, consultant and director stock option awards was estimated at the date of grant using a Black-Scholes option-pricing model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360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174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FF0FC"/>
            </w:tcBorders>
          </w:tcPr>
          <w:p>
            <w:pPr>
              <w:spacing w:after="0"/>
              <w:rPr>
                <w:sz w:val="19"/>
                <w:szCs w:val="19"/>
                <w:color w:val="auto"/>
              </w:rPr>
            </w:pPr>
          </w:p>
        </w:tc>
        <w:tc>
          <w:tcPr>
            <w:tcW w:w="176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169"/>
        </w:trPr>
        <w:tc>
          <w:tcPr>
            <w:tcW w:w="7640" w:type="dxa"/>
            <w:vAlign w:val="bottom"/>
            <w:vMerge w:val="restart"/>
            <w:shd w:val="clear" w:color="auto" w:fill="CFF0FC"/>
          </w:tcPr>
          <w:p>
            <w:pPr>
              <w:ind w:left="680"/>
              <w:spacing w:after="0"/>
              <w:rPr>
                <w:sz w:val="20"/>
                <w:szCs w:val="20"/>
                <w:color w:val="auto"/>
              </w:rPr>
            </w:pPr>
            <w:r>
              <w:rPr>
                <w:rFonts w:ascii="Arial" w:cs="Arial" w:eastAsia="Arial" w:hAnsi="Arial"/>
                <w:sz w:val="18"/>
                <w:szCs w:val="18"/>
                <w:color w:val="auto"/>
              </w:rPr>
              <w:t>Fair value of common stock</w:t>
            </w:r>
          </w:p>
        </w:tc>
        <w:tc>
          <w:tcPr>
            <w:tcW w:w="1740" w:type="dxa"/>
            <w:vAlign w:val="bottom"/>
            <w:shd w:val="clear" w:color="auto" w:fill="CFF0FC"/>
          </w:tcPr>
          <w:p>
            <w:pPr>
              <w:jc w:val="center"/>
              <w:ind w:left="570"/>
              <w:spacing w:after="0" w:line="169" w:lineRule="exact"/>
              <w:rPr>
                <w:sz w:val="20"/>
                <w:szCs w:val="20"/>
                <w:color w:val="auto"/>
              </w:rPr>
            </w:pPr>
            <w:r>
              <w:rPr>
                <w:rFonts w:ascii="Arial" w:cs="Arial" w:eastAsia="Arial" w:hAnsi="Arial"/>
                <w:sz w:val="18"/>
                <w:szCs w:val="18"/>
                <w:color w:val="auto"/>
                <w:w w:val="90"/>
              </w:rPr>
              <w:t>$15.37 -</w:t>
            </w:r>
          </w:p>
        </w:tc>
        <w:tc>
          <w:tcPr>
            <w:tcW w:w="100" w:type="dxa"/>
            <w:vAlign w:val="bottom"/>
            <w:shd w:val="clear" w:color="auto" w:fill="CFF0FC"/>
          </w:tcPr>
          <w:p>
            <w:pPr>
              <w:spacing w:after="0"/>
              <w:rPr>
                <w:sz w:val="14"/>
                <w:szCs w:val="14"/>
                <w:color w:val="auto"/>
              </w:rPr>
            </w:pPr>
          </w:p>
        </w:tc>
        <w:tc>
          <w:tcPr>
            <w:tcW w:w="1760" w:type="dxa"/>
            <w:vAlign w:val="bottom"/>
            <w:shd w:val="clear" w:color="auto" w:fill="CFF0FC"/>
          </w:tcPr>
          <w:p>
            <w:pPr>
              <w:jc w:val="center"/>
              <w:ind w:left="550"/>
              <w:spacing w:after="0" w:line="169" w:lineRule="exact"/>
              <w:rPr>
                <w:sz w:val="20"/>
                <w:szCs w:val="20"/>
                <w:color w:val="auto"/>
              </w:rPr>
            </w:pPr>
            <w:r>
              <w:rPr>
                <w:rFonts w:ascii="Arial" w:cs="Arial" w:eastAsia="Arial" w:hAnsi="Arial"/>
                <w:sz w:val="18"/>
                <w:szCs w:val="18"/>
                <w:color w:val="auto"/>
                <w:w w:val="90"/>
              </w:rPr>
              <w:t>$18.22 -</w:t>
            </w:r>
          </w:p>
        </w:tc>
        <w:tc>
          <w:tcPr>
            <w:tcW w:w="0" w:type="dxa"/>
            <w:vAlign w:val="bottom"/>
          </w:tcPr>
          <w:p>
            <w:pPr>
              <w:spacing w:after="0"/>
              <w:rPr>
                <w:sz w:val="1"/>
                <w:szCs w:val="1"/>
                <w:color w:val="auto"/>
              </w:rPr>
            </w:pPr>
          </w:p>
        </w:tc>
      </w:tr>
      <w:tr>
        <w:trPr>
          <w:trHeight w:val="229"/>
        </w:trPr>
        <w:tc>
          <w:tcPr>
            <w:tcW w:w="7640" w:type="dxa"/>
            <w:vAlign w:val="bottom"/>
            <w:vMerge w:val="continue"/>
            <w:shd w:val="clear" w:color="auto" w:fill="CFF0FC"/>
          </w:tcPr>
          <w:p>
            <w:pPr>
              <w:spacing w:after="0"/>
              <w:rPr>
                <w:sz w:val="19"/>
                <w:szCs w:val="19"/>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$39.02</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30"/>
        </w:trPr>
        <w:tc>
          <w:tcPr>
            <w:tcW w:w="7640" w:type="dxa"/>
            <w:vAlign w:val="bottom"/>
          </w:tcPr>
          <w:p>
            <w:pPr>
              <w:ind w:left="680"/>
              <w:spacing w:after="0"/>
              <w:rPr>
                <w:sz w:val="20"/>
                <w:szCs w:val="20"/>
                <w:color w:val="auto"/>
              </w:rPr>
            </w:pPr>
            <w:r>
              <w:rPr>
                <w:rFonts w:ascii="Arial" w:cs="Arial" w:eastAsia="Arial" w:hAnsi="Arial"/>
                <w:sz w:val="18"/>
                <w:szCs w:val="18"/>
                <w:color w:val="auto"/>
              </w:rPr>
              <w:t>Expected term in years</w:t>
            </w:r>
          </w:p>
        </w:tc>
        <w:tc>
          <w:tcPr>
            <w:tcW w:w="1740" w:type="dxa"/>
            <w:vAlign w:val="bottom"/>
          </w:tcPr>
          <w:p>
            <w:pPr>
              <w:jc w:val="center"/>
              <w:ind w:left="550"/>
              <w:spacing w:after="0"/>
              <w:rPr>
                <w:sz w:val="20"/>
                <w:szCs w:val="20"/>
                <w:color w:val="auto"/>
              </w:rPr>
            </w:pPr>
            <w:r>
              <w:rPr>
                <w:rFonts w:ascii="Arial" w:cs="Arial" w:eastAsia="Arial" w:hAnsi="Arial"/>
                <w:sz w:val="18"/>
                <w:szCs w:val="18"/>
                <w:color w:val="auto"/>
                <w:w w:val="90"/>
              </w:rPr>
              <w:t>5.27 - 6.25</w:t>
            </w:r>
          </w:p>
        </w:tc>
        <w:tc>
          <w:tcPr>
            <w:tcW w:w="100" w:type="dxa"/>
            <w:vAlign w:val="bottom"/>
          </w:tcPr>
          <w:p>
            <w:pPr>
              <w:spacing w:after="0"/>
              <w:rPr>
                <w:sz w:val="19"/>
                <w:szCs w:val="19"/>
                <w:color w:val="auto"/>
              </w:rPr>
            </w:pPr>
          </w:p>
        </w:tc>
        <w:tc>
          <w:tcPr>
            <w:tcW w:w="1760" w:type="dxa"/>
            <w:vAlign w:val="bottom"/>
          </w:tcPr>
          <w:p>
            <w:pPr>
              <w:jc w:val="center"/>
              <w:ind w:left="550"/>
              <w:spacing w:after="0"/>
              <w:rPr>
                <w:sz w:val="20"/>
                <w:szCs w:val="20"/>
                <w:color w:val="auto"/>
              </w:rPr>
            </w:pPr>
            <w:r>
              <w:rPr>
                <w:rFonts w:ascii="Arial" w:cs="Arial" w:eastAsia="Arial" w:hAnsi="Arial"/>
                <w:sz w:val="18"/>
                <w:szCs w:val="18"/>
                <w:color w:val="auto"/>
                <w:w w:val="88"/>
              </w:rPr>
              <w:t>5.31 - 6.09</w:t>
            </w:r>
          </w:p>
        </w:tc>
        <w:tc>
          <w:tcPr>
            <w:tcW w:w="0" w:type="dxa"/>
            <w:vAlign w:val="bottom"/>
          </w:tcPr>
          <w:p>
            <w:pPr>
              <w:spacing w:after="0"/>
              <w:rPr>
                <w:sz w:val="1"/>
                <w:szCs w:val="1"/>
                <w:color w:val="auto"/>
              </w:rPr>
            </w:pPr>
          </w:p>
        </w:tc>
      </w:tr>
      <w:tr>
        <w:trPr>
          <w:trHeight w:val="175"/>
        </w:trPr>
        <w:tc>
          <w:tcPr>
            <w:tcW w:w="7640" w:type="dxa"/>
            <w:vAlign w:val="bottom"/>
            <w:vMerge w:val="restart"/>
            <w:shd w:val="clear" w:color="auto" w:fill="CFF0FC"/>
          </w:tcPr>
          <w:p>
            <w:pPr>
              <w:ind w:left="680"/>
              <w:spacing w:after="0"/>
              <w:rPr>
                <w:sz w:val="20"/>
                <w:szCs w:val="20"/>
                <w:color w:val="auto"/>
              </w:rPr>
            </w:pPr>
            <w:r>
              <w:rPr>
                <w:rFonts w:ascii="Arial" w:cs="Arial" w:eastAsia="Arial" w:hAnsi="Arial"/>
                <w:sz w:val="18"/>
                <w:szCs w:val="18"/>
                <w:color w:val="auto"/>
              </w:rPr>
              <w:t>Expected volatility</w:t>
            </w:r>
          </w:p>
        </w:tc>
        <w:tc>
          <w:tcPr>
            <w:tcW w:w="1740" w:type="dxa"/>
            <w:vAlign w:val="bottom"/>
            <w:shd w:val="clear" w:color="auto" w:fill="CFF0FC"/>
          </w:tcPr>
          <w:p>
            <w:pPr>
              <w:jc w:val="center"/>
              <w:ind w:left="550"/>
              <w:spacing w:after="0" w:line="176" w:lineRule="exact"/>
              <w:rPr>
                <w:sz w:val="20"/>
                <w:szCs w:val="20"/>
                <w:color w:val="auto"/>
              </w:rPr>
            </w:pPr>
            <w:r>
              <w:rPr>
                <w:rFonts w:ascii="Arial" w:cs="Arial" w:eastAsia="Arial" w:hAnsi="Arial"/>
                <w:sz w:val="18"/>
                <w:szCs w:val="18"/>
                <w:color w:val="auto"/>
                <w:w w:val="91"/>
              </w:rPr>
              <w:t>69.73% -</w:t>
            </w:r>
          </w:p>
        </w:tc>
        <w:tc>
          <w:tcPr>
            <w:tcW w:w="100" w:type="dxa"/>
            <w:vAlign w:val="bottom"/>
            <w:shd w:val="clear" w:color="auto" w:fill="CFF0FC"/>
          </w:tcPr>
          <w:p>
            <w:pPr>
              <w:spacing w:after="0"/>
              <w:rPr>
                <w:sz w:val="15"/>
                <w:szCs w:val="15"/>
                <w:color w:val="auto"/>
              </w:rPr>
            </w:pPr>
          </w:p>
        </w:tc>
        <w:tc>
          <w:tcPr>
            <w:tcW w:w="1760" w:type="dxa"/>
            <w:vAlign w:val="bottom"/>
            <w:shd w:val="clear" w:color="auto" w:fill="CFF0FC"/>
          </w:tcPr>
          <w:p>
            <w:pPr>
              <w:jc w:val="center"/>
              <w:ind w:left="530"/>
              <w:spacing w:after="0" w:line="176" w:lineRule="exact"/>
              <w:rPr>
                <w:sz w:val="20"/>
                <w:szCs w:val="20"/>
                <w:color w:val="auto"/>
              </w:rPr>
            </w:pPr>
            <w:r>
              <w:rPr>
                <w:rFonts w:ascii="Arial" w:cs="Arial" w:eastAsia="Arial" w:hAnsi="Arial"/>
                <w:sz w:val="18"/>
                <w:szCs w:val="18"/>
                <w:color w:val="auto"/>
                <w:w w:val="91"/>
              </w:rPr>
              <w:t>71.42% -</w:t>
            </w:r>
          </w:p>
        </w:tc>
        <w:tc>
          <w:tcPr>
            <w:tcW w:w="0" w:type="dxa"/>
            <w:vAlign w:val="bottom"/>
          </w:tcPr>
          <w:p>
            <w:pPr>
              <w:spacing w:after="0"/>
              <w:rPr>
                <w:sz w:val="1"/>
                <w:szCs w:val="1"/>
                <w:color w:val="auto"/>
              </w:rPr>
            </w:pPr>
          </w:p>
        </w:tc>
      </w:tr>
      <w:tr>
        <w:trPr>
          <w:trHeight w:val="229"/>
        </w:trPr>
        <w:tc>
          <w:tcPr>
            <w:tcW w:w="7640" w:type="dxa"/>
            <w:vAlign w:val="bottom"/>
            <w:vMerge w:val="continue"/>
            <w:shd w:val="clear" w:color="auto" w:fill="CFF0FC"/>
          </w:tcPr>
          <w:p>
            <w:pPr>
              <w:spacing w:after="0"/>
              <w:rPr>
                <w:sz w:val="19"/>
                <w:szCs w:val="19"/>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71.69%</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176"/>
        </w:trPr>
        <w:tc>
          <w:tcPr>
            <w:tcW w:w="7640" w:type="dxa"/>
            <w:vAlign w:val="bottom"/>
            <w:vMerge w:val="restart"/>
          </w:tcPr>
          <w:p>
            <w:pPr>
              <w:ind w:left="680"/>
              <w:spacing w:after="0"/>
              <w:rPr>
                <w:sz w:val="20"/>
                <w:szCs w:val="20"/>
                <w:color w:val="auto"/>
              </w:rPr>
            </w:pPr>
            <w:r>
              <w:rPr>
                <w:rFonts w:ascii="Arial" w:cs="Arial" w:eastAsia="Arial" w:hAnsi="Arial"/>
                <w:sz w:val="18"/>
                <w:szCs w:val="18"/>
                <w:color w:val="auto"/>
              </w:rPr>
              <w:t>Expected risk-free interest rate</w:t>
            </w:r>
          </w:p>
        </w:tc>
        <w:tc>
          <w:tcPr>
            <w:tcW w:w="174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93"/>
              </w:rPr>
              <w:t>0.60% -</w:t>
            </w:r>
          </w:p>
        </w:tc>
        <w:tc>
          <w:tcPr>
            <w:tcW w:w="100" w:type="dxa"/>
            <w:vAlign w:val="bottom"/>
          </w:tcPr>
          <w:p>
            <w:pPr>
              <w:spacing w:after="0"/>
              <w:rPr>
                <w:sz w:val="15"/>
                <w:szCs w:val="15"/>
                <w:color w:val="auto"/>
              </w:rPr>
            </w:pPr>
          </w:p>
        </w:tc>
        <w:tc>
          <w:tcPr>
            <w:tcW w:w="1760" w:type="dxa"/>
            <w:vAlign w:val="bottom"/>
            <w:vMerge w:val="restart"/>
          </w:tcPr>
          <w:p>
            <w:pPr>
              <w:jc w:val="center"/>
              <w:ind w:left="550"/>
              <w:spacing w:after="0"/>
              <w:rPr>
                <w:sz w:val="20"/>
                <w:szCs w:val="20"/>
                <w:color w:val="auto"/>
              </w:rPr>
            </w:pPr>
            <w:r>
              <w:rPr>
                <w:rFonts w:ascii="Arial" w:cs="Arial" w:eastAsia="Arial" w:hAnsi="Arial"/>
                <w:sz w:val="18"/>
                <w:szCs w:val="18"/>
                <w:color w:val="auto"/>
                <w:w w:val="91"/>
              </w:rPr>
              <w:t>0.31% - 1.65%</w:t>
            </w:r>
          </w:p>
        </w:tc>
        <w:tc>
          <w:tcPr>
            <w:tcW w:w="0" w:type="dxa"/>
            <w:vAlign w:val="bottom"/>
          </w:tcPr>
          <w:p>
            <w:pPr>
              <w:spacing w:after="0"/>
              <w:rPr>
                <w:sz w:val="1"/>
                <w:szCs w:val="1"/>
                <w:color w:val="auto"/>
              </w:rPr>
            </w:pPr>
          </w:p>
        </w:tc>
      </w:tr>
      <w:tr>
        <w:trPr>
          <w:trHeight w:val="229"/>
        </w:trPr>
        <w:tc>
          <w:tcPr>
            <w:tcW w:w="764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1.40%</w:t>
            </w:r>
          </w:p>
        </w:tc>
        <w:tc>
          <w:tcPr>
            <w:tcW w:w="10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680"/>
              <w:spacing w:after="0"/>
              <w:rPr>
                <w:sz w:val="20"/>
                <w:szCs w:val="20"/>
                <w:color w:val="auto"/>
              </w:rPr>
            </w:pPr>
            <w:r>
              <w:rPr>
                <w:rFonts w:ascii="Arial" w:cs="Arial" w:eastAsia="Arial" w:hAnsi="Arial"/>
                <w:sz w:val="18"/>
                <w:szCs w:val="18"/>
                <w:color w:val="auto"/>
              </w:rPr>
              <w:t>Expected dividend</w:t>
            </w:r>
          </w:p>
        </w:tc>
        <w:tc>
          <w:tcPr>
            <w:tcW w:w="174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ind w:left="55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Black-Scholes option-pricing model requires the use of subjective assumptions which determine the fair value of stock-based awards. These assumptions include:</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—For grants before October 2018 when the Company was private and there was no public market for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stock, the fair value of the Company’s common stock underlying share-based awards was estimated on each grant date by the Company’s Board of Directors. In order to determine the fair value of the Company’s common stock underlying option grants, the Company’s Board of Directors considered, among other things, valuations of the Company’s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For all grants subsequent to the Company’s IPO in October 2018, the fair value of common stock was determined by taking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price per share of common stock per Nasdaq.</w:t>
      </w:r>
    </w:p>
    <w:p>
      <w:pPr>
        <w:spacing w:after="0" w:line="19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stock-based awards are expected to be outstanding. The expected term for option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grants is determined using the simplified method. The simplified method deems the term to be the average of the time-to-vesting and the contractual life of the stock-based awards.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an average historical stock price volatility of comparable public companies within the biotechnology and</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 industry that were deemed to be representative of future stock price trends as the Company does not have sufficient trading history for its common stock. The Company will continue to apply this process until a sufficient amount of historical information regarding the volatility of its own stock price becomes available.</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—The Company has never paid dividends on its common stock and has no plans to pay dividends on its common stock.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the Company used an expected dividend yield of zero.</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the years ended December 31, 2021 and 2020, total stock-based compensation expense related to stock options was $38.2 million and $31.8 million,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restricted stock unit activity under the 2018 Plan: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w w:val="96"/>
              </w:rPr>
              <w:t>Outstanding Restricted Stock Units</w:t>
            </w:r>
          </w:p>
        </w:tc>
        <w:tc>
          <w:tcPr>
            <w:tcW w:w="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Weighted-</w:t>
            </w:r>
          </w:p>
        </w:tc>
        <w:tc>
          <w:tcPr>
            <w:tcW w:w="1860" w:type="dxa"/>
            <w:vAlign w:val="bottom"/>
            <w:gridSpan w:val="3"/>
          </w:tcPr>
          <w:p>
            <w:pPr>
              <w:ind w:left="700"/>
              <w:spacing w:after="0" w:line="169" w:lineRule="exact"/>
              <w:rPr>
                <w:sz w:val="20"/>
                <w:szCs w:val="20"/>
                <w:color w:val="auto"/>
              </w:rPr>
            </w:pPr>
            <w:r>
              <w:rPr>
                <w:rFonts w:ascii="Arial" w:cs="Arial" w:eastAsia="Arial" w:hAnsi="Arial"/>
                <w:sz w:val="18"/>
                <w:szCs w:val="18"/>
                <w:b w:val="1"/>
                <w:bCs w:val="1"/>
                <w:color w:val="auto"/>
              </w:rPr>
              <w:t>Weighted</w:t>
            </w: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520" w:type="dxa"/>
            <w:vAlign w:val="bottom"/>
            <w:vMerge w:val="restart"/>
          </w:tcPr>
          <w:p>
            <w:pPr>
              <w:jc w:val="center"/>
              <w:ind w:left="550"/>
              <w:spacing w:after="0"/>
              <w:rPr>
                <w:sz w:val="20"/>
                <w:szCs w:val="20"/>
                <w:color w:val="auto"/>
              </w:rPr>
            </w:pPr>
            <w:r>
              <w:rPr>
                <w:rFonts w:ascii="Arial" w:cs="Arial" w:eastAsia="Arial" w:hAnsi="Arial"/>
                <w:sz w:val="18"/>
                <w:szCs w:val="18"/>
                <w:b w:val="1"/>
                <w:bCs w:val="1"/>
                <w:color w:val="auto"/>
                <w:w w:val="90"/>
              </w:rPr>
              <w:t>Restricted</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60" w:type="dxa"/>
            <w:vAlign w:val="bottom"/>
            <w:gridSpan w:val="3"/>
          </w:tcPr>
          <w:p>
            <w:pPr>
              <w:jc w:val="center"/>
              <w:ind w:right="360"/>
              <w:spacing w:after="0" w:line="176" w:lineRule="exact"/>
              <w:rPr>
                <w:sz w:val="20"/>
                <w:szCs w:val="20"/>
                <w:color w:val="auto"/>
              </w:rPr>
            </w:pPr>
            <w:r>
              <w:rPr>
                <w:rFonts w:ascii="Arial" w:cs="Arial" w:eastAsia="Arial" w:hAnsi="Arial"/>
                <w:sz w:val="18"/>
                <w:szCs w:val="18"/>
                <w:b w:val="1"/>
                <w:bCs w:val="1"/>
                <w:color w:val="auto"/>
                <w:w w:val="87"/>
              </w:rPr>
              <w:t>Average</w:t>
            </w:r>
          </w:p>
        </w:tc>
        <w:tc>
          <w:tcPr>
            <w:tcW w:w="540" w:type="dxa"/>
            <w:vAlign w:val="bottom"/>
          </w:tcPr>
          <w:p>
            <w:pPr>
              <w:spacing w:after="0"/>
              <w:rPr>
                <w:sz w:val="15"/>
                <w:szCs w:val="15"/>
                <w:color w:val="auto"/>
              </w:rPr>
            </w:pPr>
          </w:p>
        </w:tc>
        <w:tc>
          <w:tcPr>
            <w:tcW w:w="13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3"/>
              </w:rPr>
              <w:t>Average Grant Date Fair</w:t>
            </w:r>
          </w:p>
        </w:tc>
        <w:tc>
          <w:tcPr>
            <w:tcW w:w="1860" w:type="dxa"/>
            <w:vAlign w:val="bottom"/>
            <w:gridSpan w:val="3"/>
          </w:tcPr>
          <w:p>
            <w:pPr>
              <w:jc w:val="center"/>
              <w:ind w:right="380"/>
              <w:spacing w:after="0" w:line="176" w:lineRule="exact"/>
              <w:rPr>
                <w:sz w:val="20"/>
                <w:szCs w:val="20"/>
                <w:color w:val="auto"/>
              </w:rPr>
            </w:pPr>
            <w:r>
              <w:rPr>
                <w:rFonts w:ascii="Arial" w:cs="Arial" w:eastAsia="Arial" w:hAnsi="Arial"/>
                <w:sz w:val="18"/>
                <w:szCs w:val="18"/>
                <w:b w:val="1"/>
                <w:bCs w:val="1"/>
                <w:color w:val="auto"/>
                <w:w w:val="88"/>
              </w:rPr>
              <w:t>Remaining Vesting</w:t>
            </w:r>
          </w:p>
        </w:tc>
        <w:tc>
          <w:tcPr>
            <w:tcW w:w="5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19"/>
                <w:szCs w:val="19"/>
                <w:color w:val="auto"/>
              </w:rPr>
            </w:pPr>
          </w:p>
        </w:tc>
        <w:tc>
          <w:tcPr>
            <w:tcW w:w="2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Value per Share</w:t>
            </w:r>
          </w:p>
        </w:tc>
        <w:tc>
          <w:tcPr>
            <w:tcW w:w="18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Life</w:t>
            </w:r>
          </w:p>
        </w:tc>
        <w:tc>
          <w:tcPr>
            <w:tcW w:w="18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Intrinsic Value</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top w:val="single" w:sz="8" w:color="auto"/>
            </w:tcBorders>
          </w:tcPr>
          <w:p>
            <w:pPr>
              <w:ind w:left="700"/>
              <w:spacing w:after="0"/>
              <w:rPr>
                <w:sz w:val="20"/>
                <w:szCs w:val="20"/>
                <w:color w:val="auto"/>
              </w:rPr>
            </w:pPr>
            <w:r>
              <w:rPr>
                <w:rFonts w:ascii="Arial" w:cs="Arial" w:eastAsia="Arial" w:hAnsi="Arial"/>
                <w:sz w:val="18"/>
                <w:szCs w:val="18"/>
                <w:b w:val="1"/>
                <w:bCs w:val="1"/>
                <w:color w:val="auto"/>
                <w:w w:val="97"/>
              </w:rPr>
              <w:t>(in years)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Unvested December 31, 2020</w:t>
            </w:r>
          </w:p>
        </w:tc>
        <w:tc>
          <w:tcPr>
            <w:tcW w:w="15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9"/>
              </w:rPr>
              <w:t>2,493,920</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62,947</w:t>
            </w:r>
          </w:p>
        </w:tc>
        <w:tc>
          <w:tcPr>
            <w:tcW w:w="0" w:type="dxa"/>
            <w:vAlign w:val="bottom"/>
          </w:tcPr>
          <w:p>
            <w:pPr>
              <w:spacing w:after="0"/>
              <w:rPr>
                <w:sz w:val="1"/>
                <w:szCs w:val="1"/>
                <w:color w:val="auto"/>
              </w:rPr>
            </w:pPr>
          </w:p>
        </w:tc>
      </w:tr>
      <w:tr>
        <w:trPr>
          <w:trHeight w:val="229"/>
        </w:trPr>
        <w:tc>
          <w:tcPr>
            <w:tcW w:w="3700" w:type="dxa"/>
            <w:vAlign w:val="bottom"/>
          </w:tcPr>
          <w:p>
            <w:pPr>
              <w:ind w:left="680"/>
              <w:spacing w:after="0"/>
              <w:rPr>
                <w:sz w:val="20"/>
                <w:szCs w:val="20"/>
                <w:color w:val="auto"/>
              </w:rPr>
            </w:pPr>
            <w:r>
              <w:rPr>
                <w:rFonts w:ascii="Arial" w:cs="Arial" w:eastAsia="Arial" w:hAnsi="Arial"/>
                <w:sz w:val="18"/>
                <w:szCs w:val="18"/>
                <w:color w:val="auto"/>
              </w:rPr>
              <w:t>Granted</w:t>
            </w:r>
          </w:p>
        </w:tc>
        <w:tc>
          <w:tcPr>
            <w:tcW w:w="1520" w:type="dxa"/>
            <w:vAlign w:val="bottom"/>
          </w:tcPr>
          <w:p>
            <w:pPr>
              <w:jc w:val="center"/>
              <w:ind w:left="550"/>
              <w:spacing w:after="0"/>
              <w:rPr>
                <w:sz w:val="20"/>
                <w:szCs w:val="20"/>
                <w:color w:val="auto"/>
              </w:rPr>
            </w:pPr>
            <w:r>
              <w:rPr>
                <w:rFonts w:ascii="Arial" w:cs="Arial" w:eastAsia="Arial" w:hAnsi="Arial"/>
                <w:sz w:val="18"/>
                <w:szCs w:val="18"/>
                <w:color w:val="auto"/>
                <w:w w:val="89"/>
              </w:rPr>
              <w:t>3,028,477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(689,475)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(571,814)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27.54</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Unvested December 31, 2021</w:t>
            </w:r>
          </w:p>
        </w:tc>
        <w:tc>
          <w:tcPr>
            <w:tcW w:w="15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4,261,108</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63,576</w:t>
            </w:r>
          </w:p>
        </w:tc>
        <w:tc>
          <w:tcPr>
            <w:tcW w:w="0" w:type="dxa"/>
            <w:vAlign w:val="bottom"/>
          </w:tcPr>
          <w:p>
            <w:pPr>
              <w:spacing w:after="0"/>
              <w:rPr>
                <w:sz w:val="1"/>
                <w:szCs w:val="1"/>
                <w:color w:val="auto"/>
              </w:rPr>
            </w:pPr>
          </w:p>
        </w:tc>
      </w:tr>
      <w:tr>
        <w:trPr>
          <w:trHeight w:val="156"/>
        </w:trPr>
        <w:tc>
          <w:tcPr>
            <w:tcW w:w="3700" w:type="dxa"/>
            <w:vAlign w:val="bottom"/>
          </w:tcPr>
          <w:p>
            <w:pPr>
              <w:ind w:left="680"/>
              <w:spacing w:after="0" w:line="156" w:lineRule="exact"/>
              <w:rPr>
                <w:sz w:val="20"/>
                <w:szCs w:val="20"/>
                <w:color w:val="auto"/>
              </w:rPr>
            </w:pPr>
            <w:r>
              <w:rPr>
                <w:rFonts w:ascii="Arial" w:cs="Arial" w:eastAsia="Arial" w:hAnsi="Arial"/>
                <w:sz w:val="18"/>
                <w:szCs w:val="18"/>
                <w:color w:val="auto"/>
                <w:w w:val="93"/>
              </w:rPr>
              <w:t>Vested and expected to vest, December</w:t>
            </w:r>
          </w:p>
        </w:tc>
        <w:tc>
          <w:tcPr>
            <w:tcW w:w="1520" w:type="dxa"/>
            <w:vAlign w:val="bottom"/>
            <w:vMerge w:val="restart"/>
          </w:tcPr>
          <w:p>
            <w:pPr>
              <w:jc w:val="center"/>
              <w:ind w:left="550"/>
              <w:spacing w:after="0"/>
              <w:rPr>
                <w:sz w:val="20"/>
                <w:szCs w:val="20"/>
                <w:color w:val="auto"/>
              </w:rPr>
            </w:pPr>
            <w:r>
              <w:rPr>
                <w:rFonts w:ascii="Arial" w:cs="Arial" w:eastAsia="Arial" w:hAnsi="Arial"/>
                <w:sz w:val="18"/>
                <w:szCs w:val="18"/>
                <w:color w:val="auto"/>
                <w:w w:val="89"/>
              </w:rPr>
              <w:t>4,261,108</w:t>
            </w: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63,576</w:t>
            </w:r>
          </w:p>
        </w:tc>
        <w:tc>
          <w:tcPr>
            <w:tcW w:w="0" w:type="dxa"/>
            <w:vAlign w:val="bottom"/>
          </w:tcPr>
          <w:p>
            <w:pPr>
              <w:spacing w:after="0"/>
              <w:rPr>
                <w:sz w:val="1"/>
                <w:szCs w:val="1"/>
                <w:color w:val="auto"/>
              </w:rPr>
            </w:pPr>
          </w:p>
        </w:tc>
      </w:tr>
      <w:tr>
        <w:trPr>
          <w:trHeight w:val="208"/>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31, 2021</w:t>
            </w:r>
          </w:p>
        </w:tc>
        <w:tc>
          <w:tcPr>
            <w:tcW w:w="1520" w:type="dxa"/>
            <w:vAlign w:val="bottom"/>
            <w:tcBorders>
              <w:bottom w:val="single" w:sz="8" w:color="auto"/>
            </w:tcBorders>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For the year ended December 31, 2019, the Company granted 57,361 performance based restricted stock units to a certain executive officer pursuant to the 2018 Plan. These performance awards are subject to the holder's continued service to the Company through each applicable vesting event. During the year ended December 31, 2021, the Company determined that the achievement of the first requisite performance condition for these awards was probable, and as a result, recognized $0.5 million in stock-based compensation expense related to these awards as of December 31, 2021.</w:t>
      </w:r>
    </w:p>
    <w:p>
      <w:pPr>
        <w:spacing w:after="0" w:line="15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For the years ended December 31, 2021 and 2020, total stock-based compensation expense related to restricted stock units and performance based restricted stock units was $26.6 million and $17.2 million, respectively. As of December 31, 2021 and 2020, there was $90.7 million and $51.1 million, respectively, of unrecognized stock-based compensation which is expected to be recognized over a weighted average period of 2.92 years.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40" w:firstLine="648"/>
        <w:spacing w:after="0" w:line="279" w:lineRule="auto"/>
        <w:rPr>
          <w:sz w:val="20"/>
          <w:szCs w:val="20"/>
          <w:color w:val="auto"/>
        </w:rPr>
      </w:pPr>
      <w:r>
        <w:rPr>
          <w:rFonts w:ascii="Arial" w:cs="Arial" w:eastAsia="Arial" w:hAnsi="Arial"/>
          <w:sz w:val="16"/>
          <w:szCs w:val="16"/>
          <w:color w:val="auto"/>
        </w:rPr>
        <w:t>In October 2018, the shareholders approved the 2018 Employee Stock Purchase Plan (ESPP), which initially reserved 1,160,000 shares of our common stock for employee purchases under terms and provisions established by the Board of Directors. Effective January 1, 2020 and 2019, the number of shares authorized under the ESPP for employee purchases increased by 1,242,673 and 1,214,826 shares respectively. The ESPP is intended to qualify as an ‘employee stock purchase plan’ under Section 423 of the Internal Revenue Code. Under the current offering adopted pursuant to the ESPP, each offering period is approximately 24 months, which is generally divided into four purchase periods of approximately six months.</w:t>
      </w:r>
    </w:p>
    <w:p>
      <w:pPr>
        <w:spacing w:after="0" w:line="15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Employees are eligible to participate if they are employed by the Company. Under the ESPP, employees may purchase common stock through payroll deductions at a price equal to 85% of the lower of the fair market value of common stock on the first trading day of each offering period or on the purchase date. The ESPP provides for consecutive, overlapping 24-month offering periods. The offering periods are scheduled to start on the first trading day on or after March 16 or September 16 of each year, except for the first offering period which commenced on October 11, 2018, the first trading day after the effective date of the Company’s registration statement. Contributions under the ESPP are limited to a maximum of 15% of an employee’s eligible compensation.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values of the rights granted under the ESPP were calculated using the following assumptions: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220" w:type="dxa"/>
            <w:vAlign w:val="bottom"/>
            <w:tcBorders>
              <w:bottom w:val="single" w:sz="8" w:color="auto"/>
            </w:tcBorders>
            <w:gridSpan w:val="4"/>
          </w:tcPr>
          <w:p>
            <w:pPr>
              <w:ind w:left="1240"/>
              <w:spacing w:after="0"/>
              <w:rPr>
                <w:sz w:val="20"/>
                <w:szCs w:val="20"/>
                <w:color w:val="auto"/>
              </w:rPr>
            </w:pPr>
            <w:r>
              <w:rPr>
                <w:rFonts w:ascii="Arial" w:cs="Arial" w:eastAsia="Arial" w:hAnsi="Arial"/>
                <w:sz w:val="18"/>
                <w:szCs w:val="18"/>
                <w:b w:val="1"/>
                <w:bCs w:val="1"/>
                <w:color w:val="auto"/>
                <w:w w:val="89"/>
              </w:rPr>
              <w:t>Year ended December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Expected term (in years)</w:t>
            </w:r>
          </w:p>
        </w:tc>
        <w:tc>
          <w:tcPr>
            <w:tcW w:w="174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0"/>
              </w:rPr>
              <w:t>0.50 – 2.00</w:t>
            </w:r>
          </w:p>
        </w:tc>
        <w:tc>
          <w:tcPr>
            <w:tcW w:w="12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0"/>
              </w:rPr>
              <w:t>0.50 – 2.00</w:t>
            </w:r>
          </w:p>
        </w:tc>
        <w:tc>
          <w:tcPr>
            <w:tcW w:w="0" w:type="dxa"/>
            <w:vAlign w:val="bottom"/>
          </w:tcPr>
          <w:p>
            <w:pPr>
              <w:spacing w:after="0"/>
              <w:rPr>
                <w:sz w:val="1"/>
                <w:szCs w:val="1"/>
                <w:color w:val="auto"/>
              </w:rPr>
            </w:pPr>
          </w:p>
        </w:tc>
      </w:tr>
      <w:tr>
        <w:trPr>
          <w:trHeight w:val="176"/>
        </w:trPr>
        <w:tc>
          <w:tcPr>
            <w:tcW w:w="7440" w:type="dxa"/>
            <w:vAlign w:val="bottom"/>
            <w:vMerge w:val="restart"/>
          </w:tcPr>
          <w:p>
            <w:pPr>
              <w:ind w:left="680"/>
              <w:spacing w:after="0"/>
              <w:rPr>
                <w:sz w:val="20"/>
                <w:szCs w:val="20"/>
                <w:color w:val="auto"/>
              </w:rPr>
            </w:pPr>
            <w:r>
              <w:rPr>
                <w:rFonts w:ascii="Arial" w:cs="Arial" w:eastAsia="Arial" w:hAnsi="Arial"/>
                <w:sz w:val="18"/>
                <w:szCs w:val="18"/>
                <w:color w:val="auto"/>
              </w:rPr>
              <w:t>Volatility</w:t>
            </w:r>
          </w:p>
        </w:tc>
        <w:tc>
          <w:tcPr>
            <w:tcW w:w="174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91"/>
              </w:rPr>
              <w:t>59.35% -</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63.88%</w:t>
            </w:r>
          </w:p>
        </w:tc>
        <w:tc>
          <w:tcPr>
            <w:tcW w:w="1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spacing w:after="0"/>
              <w:rPr>
                <w:sz w:val="20"/>
                <w:szCs w:val="20"/>
                <w:color w:val="auto"/>
              </w:rPr>
            </w:pPr>
            <w:r>
              <w:rPr>
                <w:rFonts w:ascii="Arial" w:cs="Arial" w:eastAsia="Arial" w:hAnsi="Arial"/>
                <w:sz w:val="18"/>
                <w:szCs w:val="18"/>
                <w:color w:val="auto"/>
                <w:w w:val="91"/>
              </w:rPr>
              <w:t>72.75%</w:t>
            </w:r>
          </w:p>
        </w:tc>
        <w:tc>
          <w:tcPr>
            <w:tcW w:w="0" w:type="dxa"/>
            <w:vAlign w:val="bottom"/>
          </w:tcPr>
          <w:p>
            <w:pPr>
              <w:spacing w:after="0"/>
              <w:rPr>
                <w:sz w:val="1"/>
                <w:szCs w:val="1"/>
                <w:color w:val="auto"/>
              </w:rPr>
            </w:pPr>
          </w:p>
        </w:tc>
      </w:tr>
      <w:tr>
        <w:trPr>
          <w:trHeight w:val="229"/>
        </w:trPr>
        <w:tc>
          <w:tcPr>
            <w:tcW w:w="7440" w:type="dxa"/>
            <w:vAlign w:val="bottom"/>
            <w:vMerge w:val="continue"/>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Risk-free interest rate</w:t>
            </w:r>
          </w:p>
        </w:tc>
        <w:tc>
          <w:tcPr>
            <w:tcW w:w="174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0"/>
              </w:rPr>
              <w:t>0.05%-0.23%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0"/>
        </w:trPr>
        <w:tc>
          <w:tcPr>
            <w:tcW w:w="7440" w:type="dxa"/>
            <w:vAlign w:val="bottom"/>
          </w:tcPr>
          <w:p>
            <w:pPr>
              <w:ind w:left="680"/>
              <w:spacing w:after="0"/>
              <w:rPr>
                <w:sz w:val="20"/>
                <w:szCs w:val="20"/>
                <w:color w:val="auto"/>
              </w:rPr>
            </w:pPr>
            <w:r>
              <w:rPr>
                <w:rFonts w:ascii="Arial" w:cs="Arial" w:eastAsia="Arial" w:hAnsi="Arial"/>
                <w:sz w:val="18"/>
                <w:szCs w:val="18"/>
                <w:color w:val="auto"/>
              </w:rPr>
              <w:t>Dividend yield</w:t>
            </w:r>
          </w:p>
        </w:tc>
        <w:tc>
          <w:tcPr>
            <w:tcW w:w="1860" w:type="dxa"/>
            <w:vAlign w:val="bottom"/>
            <w:gridSpan w:val="2"/>
          </w:tcPr>
          <w:p>
            <w:pPr>
              <w:jc w:val="center"/>
              <w:ind w:left="430"/>
              <w:spacing w:after="0"/>
              <w:rPr>
                <w:sz w:val="20"/>
                <w:szCs w:val="20"/>
                <w:color w:val="auto"/>
              </w:rPr>
            </w:pPr>
            <w:r>
              <w:rPr>
                <w:rFonts w:ascii="Arial" w:cs="Arial" w:eastAsia="Arial" w:hAnsi="Arial"/>
                <w:sz w:val="18"/>
                <w:szCs w:val="18"/>
                <w:color w:val="auto"/>
                <w:w w:val="99"/>
              </w:rPr>
              <w:t>—</w:t>
            </w:r>
          </w:p>
        </w:tc>
        <w:tc>
          <w:tcPr>
            <w:tcW w:w="1940" w:type="dxa"/>
            <w:vAlign w:val="bottom"/>
            <w:gridSpan w:val="3"/>
          </w:tcPr>
          <w:p>
            <w:pPr>
              <w:jc w:val="center"/>
              <w:ind w:left="5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the years ended December 31, 2021 and 2020, total stock-based compensation expense related to ESPP was $2.3 million and $2.5 million,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Stock</w:t>
      </w:r>
    </w:p>
    <w:p>
      <w:pPr>
        <w:spacing w:after="0" w:line="11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2018, the Company’s founders agreed to modify their common shares outstanding to include vesting provisions that require continued service to the Company in order to vest in those shares. Stock-based compensation expense is recognized for shares of founders’ stock as vesting conditions are met. In relation to the modification, 24,230,750 shares of founders’ stock remained unvested at the modification date in April 2018. For the years ended December 31, 2021, 2020 and 2019, $13.7 million, $13.7 million, and $13.7 million of stock-based compensation expense was recognized related to the vesting of 6,057,695, 6,057,684, and 6,057,684 shares, respectively, of founders' stock. At December 31, 2021 and 2020, there was $3.4 million and $17.1 million of unrecognized stock-based compensation expense related to 1,514,424 and 7,572,119 shares of unvested founders’ stock which is expected to be recognized over 3 months and 15 months, respectively. The weighted-average fair value at grant date for founders’ stock was $2.27 per share.</w:t>
      </w:r>
    </w:p>
    <w:p>
      <w:pPr>
        <w:spacing w:after="0" w:line="166" w:lineRule="exact"/>
        <w:rPr>
          <w:sz w:val="20"/>
          <w:szCs w:val="20"/>
          <w:color w:val="auto"/>
        </w:rPr>
      </w:pPr>
    </w:p>
    <w:p>
      <w:pPr>
        <w:ind w:right="700" w:firstLine="648"/>
        <w:spacing w:after="0" w:line="271" w:lineRule="auto"/>
        <w:rPr>
          <w:sz w:val="20"/>
          <w:szCs w:val="20"/>
          <w:color w:val="auto"/>
        </w:rPr>
      </w:pPr>
      <w:r>
        <w:rPr>
          <w:rFonts w:ascii="Arial" w:cs="Arial" w:eastAsia="Arial" w:hAnsi="Arial"/>
          <w:sz w:val="18"/>
          <w:szCs w:val="18"/>
          <w:color w:val="auto"/>
        </w:rPr>
        <w:t>Total stock-based compensation expense related to stock options, restricted stock units, employee stock purchase plans and vesting of the founders’ common stock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b w:val="1"/>
                <w:bCs w:val="1"/>
                <w:color w:val="auto"/>
                <w:w w:val="90"/>
              </w:rPr>
              <w:t>Year Ended December 31,</w:t>
            </w:r>
          </w:p>
        </w:tc>
        <w:tc>
          <w:tcPr>
            <w:tcW w:w="5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4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8"/>
              </w:rPr>
              <w:t>(in thousands)</w:t>
            </w: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740" w:type="dxa"/>
            <w:vAlign w:val="bottom"/>
            <w:shd w:val="clear" w:color="auto" w:fill="CFF0FC"/>
          </w:tcPr>
          <w:p>
            <w:pPr>
              <w:ind w:left="68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39,611</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31,309</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19,429</w:t>
            </w:r>
          </w:p>
        </w:tc>
      </w:tr>
      <w:tr>
        <w:trPr>
          <w:trHeight w:val="229"/>
        </w:trPr>
        <w:tc>
          <w:tcPr>
            <w:tcW w:w="474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41,207</w:t>
            </w:r>
          </w:p>
        </w:tc>
        <w:tc>
          <w:tcPr>
            <w:tcW w:w="1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33,952</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26,634</w:t>
            </w:r>
          </w:p>
        </w:tc>
      </w:tr>
      <w:tr>
        <w:trPr>
          <w:trHeight w:val="248"/>
        </w:trPr>
        <w:tc>
          <w:tcPr>
            <w:tcW w:w="4740" w:type="dxa"/>
            <w:vAlign w:val="bottom"/>
            <w:tcBorders>
              <w:bottom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80,818</w:t>
            </w: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65,261</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46,063</w:t>
            </w: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Exercised Options</w:t>
      </w:r>
    </w:p>
    <w:p>
      <w:pPr>
        <w:spacing w:after="0" w:line="117"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The Company allows certain of its employees and its directors to exercise options granted under the Prior 2018 Plan and the 2018 Plan prior to vesting. The shares related to early exercised stock options are subject to the Company’s lapsing repurchase right upon termination of employment or service on the Company’s Board of Directors at the lesser of the original purchase price or fair market value at the time of repurchase. In order to vest, the holders are required to provide continued service to the Company. The proceeds are initially recorded in accrued and other liabilities and other long-term liabilities for the noncurrent portion. The proceeds are reclassified to paid-in capital as the repurchase right lapses. During the years ended December 31, 2021 and 2020, 293,594 and zero options were early exercised. As of December 31, 2021 and 2020, there was $2.9 million and $2.8 million recorded in accrued and other liabilities and $2.5 million and $1.1 million recorded in other long-term liabilities related to shares held by employees and directors that were subject to repurchase. The underlying shares are shown as outstanding in the consolidated financial statements since the exercise date but the shares which are subject to future vesting conditions are not included in the calculation of earnings per share.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 Inc.</w:t>
      </w:r>
    </w:p>
    <w:p>
      <w:pPr>
        <w:spacing w:after="0" w:line="11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PF Equity Holdings 2 B.V. held 22,032,040 shares of Common Stock based on the Schedule 13D/A filed on September 17, 2021 with the SEC. According to the Schedule 13D/A filing, PF Equity Holdings 2 B.V. is a wholly-owned subsidiary of Pfizer formed for the purpose of holding certain assets owned or controlled by Pfizer or its direct or indirect subsidiaries.</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April 2018, the Company and Pfizer entered into a transition services agreement (the Pfizer TSA) for Pfizer to provide professional services to the Company related to research and development, project management, and other administrative functions. In September 2019, the Company and Pfizer terminated the Pfizer TSA. For the years ended December 31, 2021 and 2020, zero costs were incurred under the Pfizer TSA. For the year ended December 31, 2019, the costs incurred under the Pfizer TSA were $4.5 million.</w:t>
      </w:r>
    </w:p>
    <w:p>
      <w:pPr>
        <w:spacing w:after="0" w:line="187"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The Company also purchased certain lab supplies and services from Pfizer in connection with its research and development activities. For the years ended December 31, 2021 and 2020, zero lab supplies and services were purchased from Pfizer. For the year ended December 31, 2019, total lab supplies and services purchased from Pfizer were $1.4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2021, the Company sold $0.1 million in excess raw materials to Pfizer.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December 2020, the Company entered into a license agreement with Allogene Overland, a corporate joint venture entity and related party (see Note 6). The license agreement was subsequently assigned to a wholly-owned subsidiary of Allogene Overland, Allogene Overland BioPharm (HK) Limited. During the years ended December 31, 2021 and 2020, the Company recognized $38.5 million and zero, respectively, of collaboration revenue under this arrangement.</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For the years ended December 31, 2021 and 2020, the Company recorded $0.2 million and zero, respectively, of net cost recoveries under the terms of the license agreement as a reduction to research and development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Agreements</w:t>
      </w:r>
    </w:p>
    <w:p>
      <w:pPr>
        <w:spacing w:after="0" w:line="117"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In June 2018, the Company entered into a services agreement with Two River Consulting LLC (Two River) a firm affiliated with the Company’s President and Chief Executive Officer, the Company’s Executive Chair of the board of directors, and a director of the Company to provide various managerial, clinical development, administrative, accounting and financial services to the Company. The costs incurred for services provided under this agreement were $0.6 million, $0.4 million and $0.6 million for the years ended December 31, 2021, 2020 and 2019, respectively.</w:t>
      </w:r>
    </w:p>
    <w:p>
      <w:pPr>
        <w:spacing w:after="0" w:line="15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August 2018, the Company entered into a consulting agreement with Bellco Capital LLC (Bellco). Pursuant to the consulting agreement, Bellco provides certain services for the Company, which are performed by Dr. Belldegrun and include without limitation, providing advice and analysis with respect to the Company’s business, business strategy and potential opportunities in the field of allogeneic CAR T cell therapy and any other aspect of the CAR T cell therapy business as the Company may agree. In consideration for these services, the Company paid Bellco $33,333 per month in arrears commencing January 2019, $37,000 per month in arrears commencing January 2020, and $38,583 per month in arrears commencing January 2021. The Company may also, at its discretion, pay Bellco an annual performance award in an amount up to 60% of the aggregate compensation payable to Bellco in a calendar year. The Company also reimburses Bellco for out of pocket expenses incurred in performing the services. The costs incurred for services provided, bonus and out-of-pocket expenses incurred under this consulting agreement were $0.7 million, $0.9 million and $0.8 million for the years ended December 31, 2021, 2020 and 2019, respectively.</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December 31, 2021 and 2020, amounts due to Bellco of $0.3 million and $0.3 million, respectively, were recorded in accrued and other current liabilities in the accompanying consolidated balance sheets.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 Agreements</w:t>
      </w:r>
    </w:p>
    <w:p>
      <w:pPr>
        <w:spacing w:after="0" w:line="11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December 2018, the Company entered into a sublease with Bellco for 1,293 square feet of office space in Los Angeles, California for a three year term. On April 1, 2020, Bellco Capital Advisors Inc. assumed all rights, title, interests and obligations under the sublease from Bellco Capital LLC. In November 2021, the sublease was extended to June 30, 2025. The Company’s executive chair, Arie Belldegrun, M.D., FACS, is a trustee of the Belldegrun Family Trust, which controls Bellco Capital Advisors Inc. The total right of use asset and associated liability recorded related to this related party lease was $0.3 million and $0.1 million at December 31, 2021 and 2020, respectively.</w:t>
      </w:r>
    </w:p>
    <w:p>
      <w:pPr>
        <w:spacing w:after="0" w:line="17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February 2019, the Company subleased 2,180 square feet of its office space in New York, New York, to ByHeart, Inc., formerly known as Second Science, Inc. (ByHeart). ByHeart is a development-stage infant formula company. Certain of the Company’s board members and executive officers have beneficial ownership in ByHeart and two serve on the board of directors of ByHeart. In September 2019, the Company entered into an amendment to the sublease agreement and increased the subleased space to 2,907 square feet. In October 2020, the sublease agreement between the Company and ByHeart was terminated. Sublease income for the years ended December 31, 2021 and 2020 was zero and $0.3 million, respectively, and was recognized as other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401(k) Plan</w:t>
      </w:r>
    </w:p>
    <w:p>
      <w:pPr>
        <w:spacing w:after="0" w:line="12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 April 2018, the Company began to sponsor a 401(k) retirement savings plan for the benefit of its employees. All employees are eligible to participate, provided they meet the requirements of the plan. The Company made contributions to the plan for eligible participants, and recorded contribution expenses of $1.8 million, $1.4 million and $0.9 million related to matched contributions for the years ended December 31, 2021, 2020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has incurred net operating losses for all the periods presented. The Company has not reflected any benefit of such net operating loss carryforwards in the accompanying consolidated financial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established a full valuation allowance against its deferred tax assets due to the uncertainty surrounding the realization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ind w:left="70"/>
              <w:spacing w:after="0"/>
              <w:rPr>
                <w:sz w:val="20"/>
                <w:szCs w:val="20"/>
                <w:color w:val="auto"/>
              </w:rPr>
            </w:pPr>
            <w:r>
              <w:rPr>
                <w:rFonts w:ascii="Arial" w:cs="Arial" w:eastAsia="Arial" w:hAnsi="Arial"/>
                <w:sz w:val="18"/>
                <w:szCs w:val="18"/>
                <w:b w:val="1"/>
                <w:bCs w:val="1"/>
                <w:color w:val="auto"/>
                <w:w w:val="90"/>
              </w:rPr>
              <w:t>Year Ended December 31,</w:t>
            </w: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4900" w:type="dxa"/>
            <w:vAlign w:val="bottom"/>
          </w:tcPr>
          <w:p>
            <w:pPr>
              <w:ind w:left="680"/>
              <w:spacing w:after="0"/>
              <w:rPr>
                <w:sz w:val="20"/>
                <w:szCs w:val="20"/>
                <w:color w:val="auto"/>
              </w:rPr>
            </w:pPr>
            <w:r>
              <w:rPr>
                <w:rFonts w:ascii="Arial" w:cs="Arial" w:eastAsia="Arial" w:hAnsi="Arial"/>
                <w:sz w:val="18"/>
                <w:szCs w:val="18"/>
                <w:color w:val="auto"/>
              </w:rPr>
              <w:t>Current:</w:t>
            </w: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7"/>
              </w:rPr>
              <w:t>(in thousands)</w:t>
            </w: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00" w:type="dxa"/>
            <w:vAlign w:val="bottom"/>
            <w:shd w:val="clear" w:color="auto" w:fill="CFF0FC"/>
          </w:tcPr>
          <w:p>
            <w:pPr>
              <w:ind w:left="80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Pr>
          <w:p>
            <w:pPr>
              <w:ind w:left="80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80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9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4900" w:type="dxa"/>
            <w:vAlign w:val="bottom"/>
          </w:tcPr>
          <w:p>
            <w:pPr>
              <w:ind w:left="680"/>
              <w:spacing w:after="0"/>
              <w:rPr>
                <w:sz w:val="20"/>
                <w:szCs w:val="20"/>
                <w:color w:val="auto"/>
              </w:rPr>
            </w:pPr>
            <w:r>
              <w:rPr>
                <w:rFonts w:ascii="Arial" w:cs="Arial" w:eastAsia="Arial" w:hAnsi="Arial"/>
                <w:sz w:val="18"/>
                <w:szCs w:val="18"/>
                <w:color w:val="auto"/>
              </w:rPr>
              <w:t>Deferred:</w:t>
            </w: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900" w:type="dxa"/>
            <w:vAlign w:val="bottom"/>
            <w:shd w:val="clear" w:color="auto" w:fill="CFF0FC"/>
          </w:tcPr>
          <w:p>
            <w:pPr>
              <w:ind w:left="80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4900" w:type="dxa"/>
            <w:vAlign w:val="bottom"/>
          </w:tcPr>
          <w:p>
            <w:pPr>
              <w:ind w:left="80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80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49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r>
      <w:tr>
        <w:trPr>
          <w:trHeight w:val="223"/>
        </w:trPr>
        <w:tc>
          <w:tcPr>
            <w:tcW w:w="4900" w:type="dxa"/>
            <w:vAlign w:val="bottom"/>
          </w:tcPr>
          <w:p>
            <w:pPr>
              <w:ind w:left="680"/>
              <w:spacing w:after="0"/>
              <w:rPr>
                <w:sz w:val="20"/>
                <w:szCs w:val="20"/>
                <w:color w:val="auto"/>
              </w:rPr>
            </w:pPr>
            <w:r>
              <w:rPr>
                <w:rFonts w:ascii="Arial" w:cs="Arial" w:eastAsia="Arial" w:hAnsi="Arial"/>
                <w:sz w:val="18"/>
                <w:szCs w:val="18"/>
                <w:color w:val="auto"/>
              </w:rPr>
              <w:t>Benefit for income taxes</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1"/>
        </w:trPr>
        <w:tc>
          <w:tcPr>
            <w:tcW w:w="4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benefit for income taxes calculated at the statutory rate to our benefit for income taxes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left="70"/>
              <w:spacing w:after="0"/>
              <w:rPr>
                <w:sz w:val="20"/>
                <w:szCs w:val="20"/>
                <w:color w:val="auto"/>
              </w:rPr>
            </w:pPr>
            <w:r>
              <w:rPr>
                <w:rFonts w:ascii="Arial" w:cs="Arial" w:eastAsia="Arial" w:hAnsi="Arial"/>
                <w:sz w:val="18"/>
                <w:szCs w:val="18"/>
                <w:b w:val="1"/>
                <w:bCs w:val="1"/>
                <w:color w:val="auto"/>
                <w:w w:val="90"/>
              </w:rPr>
              <w:t>Year Ended December 31,</w:t>
            </w: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4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6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Tax benefit at federal statutory rate</w:t>
            </w:r>
          </w:p>
        </w:tc>
        <w:tc>
          <w:tcPr>
            <w:tcW w:w="9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(53,971)</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(52,546)</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(38,834)</w:t>
            </w:r>
          </w:p>
        </w:tc>
      </w:tr>
      <w:tr>
        <w:trPr>
          <w:trHeight w:val="230"/>
        </w:trPr>
        <w:tc>
          <w:tcPr>
            <w:tcW w:w="4620" w:type="dxa"/>
            <w:vAlign w:val="bottom"/>
          </w:tcPr>
          <w:p>
            <w:pPr>
              <w:ind w:left="680"/>
              <w:spacing w:after="0"/>
              <w:rPr>
                <w:sz w:val="20"/>
                <w:szCs w:val="20"/>
                <w:color w:val="auto"/>
              </w:rPr>
            </w:pPr>
            <w:r>
              <w:rPr>
                <w:rFonts w:ascii="Arial" w:cs="Arial" w:eastAsia="Arial" w:hAnsi="Arial"/>
                <w:sz w:val="18"/>
                <w:szCs w:val="18"/>
                <w:color w:val="auto"/>
              </w:rPr>
              <w:t>State taxes, net of federal benefit</w:t>
            </w:r>
          </w:p>
        </w:tc>
        <w:tc>
          <w:tcPr>
            <w:tcW w:w="9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(12,951)</w:t>
            </w:r>
          </w:p>
        </w:tc>
      </w:tr>
      <w:tr>
        <w:trPr>
          <w:trHeight w:val="229"/>
        </w:trPr>
        <w:tc>
          <w:tcPr>
            <w:tcW w:w="46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4,534</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w:t>
            </w:r>
          </w:p>
        </w:tc>
      </w:tr>
      <w:tr>
        <w:trPr>
          <w:trHeight w:val="230"/>
        </w:trPr>
        <w:tc>
          <w:tcPr>
            <w:tcW w:w="4620" w:type="dxa"/>
            <w:vAlign w:val="bottom"/>
          </w:tcPr>
          <w:p>
            <w:pPr>
              <w:ind w:left="680"/>
              <w:spacing w:after="0"/>
              <w:rPr>
                <w:sz w:val="20"/>
                <w:szCs w:val="20"/>
                <w:color w:val="auto"/>
              </w:rPr>
            </w:pPr>
            <w:r>
              <w:rPr>
                <w:rFonts w:ascii="Arial" w:cs="Arial" w:eastAsia="Arial" w:hAnsi="Arial"/>
                <w:sz w:val="18"/>
                <w:szCs w:val="18"/>
                <w:color w:val="auto"/>
              </w:rPr>
              <w:t>Research tax credits</w:t>
            </w:r>
          </w:p>
        </w:tc>
        <w:tc>
          <w:tcPr>
            <w:tcW w:w="9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(1,714)</w:t>
            </w:r>
          </w:p>
        </w:tc>
      </w:tr>
      <w:tr>
        <w:trPr>
          <w:trHeight w:val="229"/>
        </w:trPr>
        <w:tc>
          <w:tcPr>
            <w:tcW w:w="46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Change in valuation allowance</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52,265</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72,538</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49,989</w:t>
            </w:r>
          </w:p>
        </w:tc>
      </w:tr>
      <w:tr>
        <w:trPr>
          <w:trHeight w:val="230"/>
        </w:trPr>
        <w:tc>
          <w:tcPr>
            <w:tcW w:w="462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r>
      <w:tr>
        <w:trPr>
          <w:trHeight w:val="248"/>
        </w:trPr>
        <w:tc>
          <w:tcPr>
            <w:tcW w:w="462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18"/>
                <w:szCs w:val="18"/>
                <w:color w:val="auto"/>
              </w:rPr>
              <w:t>Benefit for incomes taxes</w:t>
            </w:r>
          </w:p>
        </w:tc>
        <w:tc>
          <w:tcPr>
            <w:tcW w:w="98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left="30"/>
              <w:spacing w:after="0"/>
              <w:rPr>
                <w:sz w:val="20"/>
                <w:szCs w:val="20"/>
                <w:color w:val="auto"/>
              </w:rPr>
            </w:pPr>
            <w:r>
              <w:rPr>
                <w:rFonts w:ascii="Arial" w:cs="Arial" w:eastAsia="Arial" w:hAnsi="Arial"/>
                <w:sz w:val="18"/>
                <w:szCs w:val="18"/>
                <w:b w:val="1"/>
                <w:bCs w:val="1"/>
                <w:color w:val="auto"/>
                <w:w w:val="90"/>
              </w:rPr>
              <w:t>Year Ended December 31,</w:t>
            </w: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46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4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680" w:type="dxa"/>
            <w:vAlign w:val="bottom"/>
          </w:tcPr>
          <w:p>
            <w:pPr>
              <w:ind w:left="880"/>
              <w:spacing w:after="0"/>
              <w:rPr>
                <w:sz w:val="20"/>
                <w:szCs w:val="20"/>
                <w:color w:val="auto"/>
              </w:rPr>
            </w:pPr>
            <w:r>
              <w:rPr>
                <w:rFonts w:ascii="Arial" w:cs="Arial" w:eastAsia="Arial" w:hAnsi="Arial"/>
                <w:sz w:val="18"/>
                <w:szCs w:val="18"/>
                <w:color w:val="auto"/>
              </w:rPr>
              <w:t>Net operating loss carryforwards</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162,996</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115,199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54,018</w:t>
            </w:r>
          </w:p>
        </w:tc>
      </w:tr>
      <w:tr>
        <w:trPr>
          <w:trHeight w:val="230"/>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 credit carryforwards</w:t>
            </w: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r>
      <w:tr>
        <w:trPr>
          <w:trHeight w:val="229"/>
        </w:trPr>
        <w:tc>
          <w:tcPr>
            <w:tcW w:w="4680" w:type="dxa"/>
            <w:vAlign w:val="bottom"/>
          </w:tcPr>
          <w:p>
            <w:pPr>
              <w:ind w:left="880"/>
              <w:spacing w:after="0"/>
              <w:rPr>
                <w:sz w:val="20"/>
                <w:szCs w:val="20"/>
                <w:color w:val="auto"/>
              </w:rPr>
            </w:pPr>
            <w:r>
              <w:rPr>
                <w:rFonts w:ascii="Arial" w:cs="Arial" w:eastAsia="Arial" w:hAnsi="Arial"/>
                <w:sz w:val="18"/>
                <w:szCs w:val="18"/>
                <w:color w:val="auto"/>
              </w:rPr>
              <w:t>Intangibles</w:t>
            </w:r>
          </w:p>
        </w:tc>
        <w:tc>
          <w:tcPr>
            <w:tcW w:w="9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14,648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22,770</w:t>
            </w:r>
          </w:p>
        </w:tc>
      </w:tr>
      <w:tr>
        <w:trPr>
          <w:trHeight w:val="229"/>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r>
      <w:tr>
        <w:trPr>
          <w:trHeight w:val="230"/>
        </w:trPr>
        <w:tc>
          <w:tcPr>
            <w:tcW w:w="4680" w:type="dxa"/>
            <w:vAlign w:val="bottom"/>
          </w:tcPr>
          <w:p>
            <w:pPr>
              <w:ind w:left="880"/>
              <w:spacing w:after="0"/>
              <w:rPr>
                <w:sz w:val="20"/>
                <w:szCs w:val="20"/>
                <w:color w:val="auto"/>
              </w:rPr>
            </w:pPr>
            <w:r>
              <w:rPr>
                <w:rFonts w:ascii="Arial" w:cs="Arial" w:eastAsia="Arial" w:hAnsi="Arial"/>
                <w:sz w:val="18"/>
                <w:szCs w:val="18"/>
                <w:color w:val="auto"/>
              </w:rPr>
              <w:t>Lease liabilities</w:t>
            </w:r>
          </w:p>
        </w:tc>
        <w:tc>
          <w:tcPr>
            <w:tcW w:w="9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16,344</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14,839</w:t>
            </w:r>
          </w:p>
        </w:tc>
      </w:tr>
      <w:tr>
        <w:trPr>
          <w:trHeight w:val="229"/>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based compensation</w:t>
            </w: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r>
      <w:tr>
        <w:trPr>
          <w:trHeight w:val="230"/>
        </w:trPr>
        <w:tc>
          <w:tcPr>
            <w:tcW w:w="4680" w:type="dxa"/>
            <w:vAlign w:val="bottom"/>
          </w:tcPr>
          <w:p>
            <w:pPr>
              <w:ind w:left="880"/>
              <w:spacing w:after="0"/>
              <w:rPr>
                <w:sz w:val="20"/>
                <w:szCs w:val="20"/>
                <w:color w:val="auto"/>
              </w:rPr>
            </w:pPr>
            <w:r>
              <w:rPr>
                <w:rFonts w:ascii="Arial" w:cs="Arial" w:eastAsia="Arial" w:hAnsi="Arial"/>
                <w:sz w:val="18"/>
                <w:szCs w:val="18"/>
                <w:color w:val="auto"/>
              </w:rPr>
              <w:t>Investments</w:t>
            </w:r>
          </w:p>
        </w:tc>
        <w:tc>
          <w:tcPr>
            <w:tcW w:w="9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1,543</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tax assets</w:t>
            </w: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229,970</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105,111</w:t>
            </w:r>
          </w:p>
        </w:tc>
      </w:tr>
      <w:tr>
        <w:trPr>
          <w:trHeight w:val="209"/>
        </w:trPr>
        <w:tc>
          <w:tcPr>
            <w:tcW w:w="4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4680" w:type="dxa"/>
            <w:vAlign w:val="bottom"/>
          </w:tcPr>
          <w:p>
            <w:pPr>
              <w:ind w:left="880"/>
              <w:spacing w:after="0"/>
              <w:rPr>
                <w:sz w:val="20"/>
                <w:szCs w:val="20"/>
                <w:color w:val="auto"/>
              </w:rPr>
            </w:pPr>
            <w:r>
              <w:rPr>
                <w:rFonts w:ascii="Arial" w:cs="Arial" w:eastAsia="Arial" w:hAnsi="Arial"/>
                <w:sz w:val="18"/>
                <w:szCs w:val="18"/>
                <w:color w:val="auto"/>
              </w:rPr>
              <w:t>Fixed assets</w:t>
            </w:r>
          </w:p>
        </w:tc>
        <w:tc>
          <w:tcPr>
            <w:tcW w:w="9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Right of use leased assets</w:t>
            </w: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(12,453)</w:t>
            </w:r>
          </w:p>
        </w:tc>
      </w:tr>
      <w:tr>
        <w:trPr>
          <w:trHeight w:val="229"/>
        </w:trPr>
        <w:tc>
          <w:tcPr>
            <w:tcW w:w="4680" w:type="dxa"/>
            <w:vAlign w:val="bottom"/>
          </w:tcPr>
          <w:p>
            <w:pPr>
              <w:ind w:left="880"/>
              <w:spacing w:after="0"/>
              <w:rPr>
                <w:sz w:val="20"/>
                <w:szCs w:val="20"/>
                <w:color w:val="auto"/>
              </w:rPr>
            </w:pPr>
            <w:r>
              <w:rPr>
                <w:rFonts w:ascii="Arial" w:cs="Arial" w:eastAsia="Arial" w:hAnsi="Arial"/>
                <w:sz w:val="18"/>
                <w:szCs w:val="18"/>
                <w:color w:val="auto"/>
              </w:rPr>
              <w:t>Investments</w:t>
            </w:r>
          </w:p>
        </w:tc>
        <w:tc>
          <w:tcPr>
            <w:tcW w:w="9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8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tax liabilities</w:t>
            </w:r>
          </w:p>
        </w:tc>
        <w:tc>
          <w:tcPr>
            <w:tcW w:w="9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(13,259)</w:t>
            </w:r>
          </w:p>
        </w:tc>
        <w:tc>
          <w:tcPr>
            <w:tcW w:w="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(11,728)</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(13,207)</w:t>
            </w:r>
          </w:p>
        </w:tc>
      </w:tr>
      <w:tr>
        <w:trPr>
          <w:trHeight w:val="223"/>
        </w:trPr>
        <w:tc>
          <w:tcPr>
            <w:tcW w:w="4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deferred tax assets</w:t>
            </w: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216,711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91,904</w:t>
            </w:r>
          </w:p>
        </w:tc>
      </w:tr>
      <w:tr>
        <w:trPr>
          <w:trHeight w:val="229"/>
        </w:trPr>
        <w:tc>
          <w:tcPr>
            <w:tcW w:w="46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Valuation allowance</w:t>
            </w: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(216,711)</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(91,904)</w:t>
            </w:r>
          </w:p>
        </w:tc>
      </w:tr>
      <w:tr>
        <w:trPr>
          <w:trHeight w:val="248"/>
        </w:trPr>
        <w:tc>
          <w:tcPr>
            <w:tcW w:w="4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deferred tax assets</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Realization of deferred tax assets is dependent upon future earnings, if any, the timing and amount of which are uncertain. Due to the lack of earnings history, the net deferred tax assets have been fully offset by a valuation allowance. The valuation allowance increased by approximately $52.3 million, $72.5 million and $50.0 million during the years ended December 31, 2021, 2020 and 2019, respectively.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federal and state NOL carryforwards and federal research and development tax credits as of December 31, 2021: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Amount</w:t>
            </w:r>
          </w:p>
        </w:tc>
        <w:tc>
          <w:tcPr>
            <w:tcW w:w="13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5"/>
              </w:rPr>
              <w:t>Expiration</w:t>
            </w:r>
          </w:p>
        </w:tc>
      </w:tr>
      <w:tr>
        <w:trPr>
          <w:trHeight w:val="223"/>
        </w:trPr>
        <w:tc>
          <w:tcPr>
            <w:tcW w:w="7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b w:val="1"/>
                <w:bCs w:val="1"/>
                <w:color w:val="auto"/>
                <w:w w:val="93"/>
              </w:rPr>
              <w:t>(in thousands)</w:t>
            </w:r>
          </w:p>
        </w:tc>
        <w:tc>
          <w:tcPr>
            <w:tcW w:w="1380" w:type="dxa"/>
            <w:vAlign w:val="bottom"/>
          </w:tcPr>
          <w:p>
            <w:pPr>
              <w:spacing w:after="0"/>
              <w:rPr>
                <w:sz w:val="19"/>
                <w:szCs w:val="19"/>
                <w:color w:val="auto"/>
              </w:rPr>
            </w:pPr>
          </w:p>
        </w:tc>
      </w:tr>
      <w:tr>
        <w:trPr>
          <w:trHeight w:val="230"/>
        </w:trPr>
        <w:tc>
          <w:tcPr>
            <w:tcW w:w="7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operating losses, federal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628,232</w:t>
            </w:r>
          </w:p>
        </w:tc>
        <w:tc>
          <w:tcPr>
            <w:tcW w:w="13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Indefinite</w:t>
            </w:r>
          </w:p>
        </w:tc>
      </w:tr>
      <w:tr>
        <w:trPr>
          <w:trHeight w:val="230"/>
        </w:trPr>
        <w:tc>
          <w:tcPr>
            <w:tcW w:w="7200" w:type="dxa"/>
            <w:vAlign w:val="bottom"/>
          </w:tcPr>
          <w:p>
            <w:pPr>
              <w:ind w:left="680"/>
              <w:spacing w:after="0"/>
              <w:rPr>
                <w:sz w:val="20"/>
                <w:szCs w:val="20"/>
                <w:color w:val="auto"/>
              </w:rPr>
            </w:pPr>
            <w:r>
              <w:rPr>
                <w:rFonts w:ascii="Arial" w:cs="Arial" w:eastAsia="Arial" w:hAnsi="Arial"/>
                <w:sz w:val="18"/>
                <w:szCs w:val="18"/>
                <w:color w:val="auto"/>
              </w:rPr>
              <w:t>Net operating losses, federal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89"/>
              </w:rPr>
              <w:t>2037</w:t>
            </w:r>
          </w:p>
        </w:tc>
      </w:tr>
      <w:tr>
        <w:trPr>
          <w:trHeight w:val="230"/>
        </w:trPr>
        <w:tc>
          <w:tcPr>
            <w:tcW w:w="7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operating losses, state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444,859</w:t>
            </w:r>
          </w:p>
        </w:tc>
        <w:tc>
          <w:tcPr>
            <w:tcW w:w="13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0"/>
              </w:rPr>
              <w:t>2037-2041</w:t>
            </w:r>
          </w:p>
        </w:tc>
      </w:tr>
      <w:tr>
        <w:trPr>
          <w:trHeight w:val="229"/>
        </w:trPr>
        <w:tc>
          <w:tcPr>
            <w:tcW w:w="7200" w:type="dxa"/>
            <w:vAlign w:val="bottom"/>
          </w:tcPr>
          <w:p>
            <w:pPr>
              <w:ind w:left="680"/>
              <w:spacing w:after="0"/>
              <w:rPr>
                <w:sz w:val="20"/>
                <w:szCs w:val="20"/>
                <w:color w:val="auto"/>
              </w:rPr>
            </w:pPr>
            <w:r>
              <w:rPr>
                <w:rFonts w:ascii="Arial" w:cs="Arial" w:eastAsia="Arial" w:hAnsi="Arial"/>
                <w:sz w:val="18"/>
                <w:szCs w:val="18"/>
                <w:color w:val="auto"/>
              </w:rPr>
              <w:t>Tax credits, federal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12,805</w:t>
            </w:r>
          </w:p>
        </w:tc>
        <w:tc>
          <w:tcPr>
            <w:tcW w:w="1380" w:type="dxa"/>
            <w:vAlign w:val="bottom"/>
          </w:tcPr>
          <w:p>
            <w:pPr>
              <w:jc w:val="center"/>
              <w:ind w:left="350"/>
              <w:spacing w:after="0"/>
              <w:rPr>
                <w:sz w:val="20"/>
                <w:szCs w:val="20"/>
                <w:color w:val="auto"/>
              </w:rPr>
            </w:pPr>
            <w:r>
              <w:rPr>
                <w:rFonts w:ascii="Arial" w:cs="Arial" w:eastAsia="Arial" w:hAnsi="Arial"/>
                <w:sz w:val="18"/>
                <w:szCs w:val="18"/>
                <w:color w:val="auto"/>
                <w:w w:val="90"/>
              </w:rPr>
              <w:t>2038-2041</w:t>
            </w:r>
          </w:p>
        </w:tc>
      </w:tr>
      <w:tr>
        <w:trPr>
          <w:trHeight w:val="230"/>
        </w:trPr>
        <w:tc>
          <w:tcPr>
            <w:tcW w:w="7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Tax credits, state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11,691</w:t>
            </w:r>
          </w:p>
        </w:tc>
        <w:tc>
          <w:tcPr>
            <w:tcW w:w="13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Indefinite</w:t>
            </w:r>
          </w:p>
        </w:tc>
      </w:tr>
      <w:tr>
        <w:trPr>
          <w:trHeight w:val="230"/>
        </w:trPr>
        <w:tc>
          <w:tcPr>
            <w:tcW w:w="7200" w:type="dxa"/>
            <w:vAlign w:val="bottom"/>
          </w:tcPr>
          <w:p>
            <w:pPr>
              <w:ind w:left="680"/>
              <w:spacing w:after="0"/>
              <w:rPr>
                <w:sz w:val="20"/>
                <w:szCs w:val="20"/>
                <w:color w:val="auto"/>
              </w:rPr>
            </w:pPr>
            <w:r>
              <w:rPr>
                <w:rFonts w:ascii="Arial" w:cs="Arial" w:eastAsia="Arial" w:hAnsi="Arial"/>
                <w:sz w:val="18"/>
                <w:szCs w:val="18"/>
                <w:color w:val="auto"/>
              </w:rPr>
              <w:t>California Competes Tax credits, state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3,000</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89"/>
              </w:rPr>
              <w:t>2026</w:t>
            </w:r>
          </w:p>
        </w:tc>
      </w:tr>
    </w:tbl>
    <w:p>
      <w:pPr>
        <w:spacing w:after="0" w:line="28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Current federal and California tax laws include substantial restrictions on the utilization of NOLs and tax credit carryforwards in the event of an ownership change of a corporation. Accordingly, the Company's ability to utilize NOLs and tax credit carryforwards may be limited as a result of such ownership changes. Such a limitation could result in the expiration of carryforwards before they are utilized.</w:t>
      </w:r>
    </w:p>
    <w:p>
      <w:pPr>
        <w:spacing w:after="0" w:line="184"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In December 2019, the FASB issued Accounting Standards Update No. 2019-12, Income Taxes (Topic 740): Simplifying the Accounting for Income Taxes (ASU 2019-12), which simplifies the accounting for income taxes, eliminates certain exceptions within ASC 740, Income Taxes, and clarifies certain aspects of the current guidance to promote consistency among reporting entities. This guidance was effective for the Company in the first quarter of 2021 on a prospective basis, and early adoption was permitted. The Company early adopted this standard as of January 1, 2020 on a prospective basis in accordance with ASC 250, Accounting Changes and Error Corrections. The adoption resulted in the Company no longer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needing to determine the tax effect from unrealized gains on available for sale securities, which previously had been disclosed in the consolidated statement of operations as a benefit from income taxes. The impact of the adoption is that the benefit from income taxes in the consolidated statement of operations and comprehensive loss is zero. For the years ended December 31, 2021 and 2020, the Company recorded a tax benefit of zero. For the year ended December 31, 2019, the Company recorded a tax benefit of $0.3 million, in other comprehensive income, related to available-for-sale securities.</w:t>
      </w:r>
    </w:p>
    <w:p>
      <w:pPr>
        <w:spacing w:after="0" w:line="157"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We apply the provisions of ASC Topic 740 to account for uncertain income tax positions. A reconciliation of the beginning and ending amount of unrecognized tax benefits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 thousands)</w:t>
            </w: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680"/>
              <w:spacing w:after="0"/>
              <w:rPr>
                <w:sz w:val="20"/>
                <w:szCs w:val="20"/>
                <w:color w:val="auto"/>
              </w:rPr>
            </w:pPr>
            <w:r>
              <w:rPr>
                <w:rFonts w:ascii="Arial" w:cs="Arial" w:eastAsia="Arial" w:hAnsi="Arial"/>
                <w:sz w:val="18"/>
                <w:szCs w:val="18"/>
                <w:color w:val="auto"/>
              </w:rPr>
              <w:t>Balance at beginning of the year:</w:t>
            </w:r>
          </w:p>
        </w:tc>
        <w:tc>
          <w:tcPr>
            <w:tcW w:w="158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6,161</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176"/>
        </w:trPr>
        <w:tc>
          <w:tcPr>
            <w:tcW w:w="4780" w:type="dxa"/>
            <w:vAlign w:val="bottom"/>
          </w:tcPr>
          <w:p>
            <w:pPr>
              <w:ind w:left="880"/>
              <w:spacing w:after="0" w:line="176" w:lineRule="exact"/>
              <w:rPr>
                <w:sz w:val="20"/>
                <w:szCs w:val="20"/>
                <w:color w:val="auto"/>
              </w:rPr>
            </w:pPr>
            <w:r>
              <w:rPr>
                <w:rFonts w:ascii="Arial" w:cs="Arial" w:eastAsia="Arial" w:hAnsi="Arial"/>
                <w:sz w:val="18"/>
                <w:szCs w:val="18"/>
                <w:color w:val="auto"/>
                <w:w w:val="97"/>
              </w:rPr>
              <w:t>Additions based on tax positions related to current</w:t>
            </w:r>
          </w:p>
        </w:tc>
        <w:tc>
          <w:tcPr>
            <w:tcW w:w="15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3,637</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3,013</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year</w:t>
            </w:r>
          </w:p>
        </w:tc>
        <w:tc>
          <w:tcPr>
            <w:tcW w:w="15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Additions to tax position of prior year</w:t>
            </w:r>
          </w:p>
        </w:tc>
        <w:tc>
          <w:tcPr>
            <w:tcW w:w="15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880"/>
              <w:spacing w:after="0"/>
              <w:rPr>
                <w:sz w:val="20"/>
                <w:szCs w:val="20"/>
                <w:color w:val="auto"/>
              </w:rPr>
            </w:pPr>
            <w:r>
              <w:rPr>
                <w:rFonts w:ascii="Arial" w:cs="Arial" w:eastAsia="Arial" w:hAnsi="Arial"/>
                <w:sz w:val="18"/>
                <w:szCs w:val="18"/>
                <w:color w:val="auto"/>
              </w:rPr>
              <w:t>Reductions to tax position of prior years</w:t>
            </w:r>
          </w:p>
        </w:tc>
        <w:tc>
          <w:tcPr>
            <w:tcW w:w="15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Lapse of the applicable statute of limitations</w:t>
            </w:r>
          </w:p>
        </w:tc>
        <w:tc>
          <w:tcPr>
            <w:tcW w:w="15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Pr>
          <w:p>
            <w:pPr>
              <w:ind w:left="680"/>
              <w:spacing w:after="0"/>
              <w:rPr>
                <w:sz w:val="20"/>
                <w:szCs w:val="20"/>
                <w:color w:val="auto"/>
              </w:rPr>
            </w:pPr>
            <w:r>
              <w:rPr>
                <w:rFonts w:ascii="Arial" w:cs="Arial" w:eastAsia="Arial" w:hAnsi="Arial"/>
                <w:sz w:val="18"/>
                <w:szCs w:val="18"/>
                <w:color w:val="auto"/>
              </w:rPr>
              <w:t>Balance at end of the year</w:t>
            </w:r>
          </w:p>
        </w:tc>
        <w:tc>
          <w:tcPr>
            <w:tcW w:w="15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9,798</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6,161</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It is the Company’s policy to include penalties and interest expense related to income taxes as a component of interest and other income, net, as necessary. As of December 31, 2021, 2020 and 2019, there were no accrued interest and penalties related to uncertain tax positions. The reversal of the uncertain tax benefits would not affect the effective tax rate to the extent that the Company continues to maintain a full valuation allowance against its deferred tax assets. Unrecognized tax benefits may change during the next 12 months for items that arise in the ordinary course of business. We are subject to examination by U.S. federal or state tax authorities for all years since inception.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Loss and Net Loss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the basic and diluted net loss per share (in thousands, except share and per share data):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2019</w:t>
            </w:r>
          </w:p>
        </w:tc>
      </w:tr>
      <w:tr>
        <w:trPr>
          <w:trHeight w:val="210"/>
        </w:trPr>
        <w:tc>
          <w:tcPr>
            <w:tcW w:w="43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Numerator:</w:t>
            </w:r>
          </w:p>
        </w:tc>
        <w:tc>
          <w:tcPr>
            <w:tcW w:w="10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30"/>
        </w:trPr>
        <w:tc>
          <w:tcPr>
            <w:tcW w:w="4320" w:type="dxa"/>
            <w:vAlign w:val="bottom"/>
          </w:tcPr>
          <w:p>
            <w:pPr>
              <w:ind w:left="68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(257,005)</w:t>
            </w:r>
          </w:p>
        </w:tc>
        <w:tc>
          <w:tcPr>
            <w:tcW w:w="10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(250,221)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(184,594)</w:t>
            </w:r>
          </w:p>
        </w:tc>
      </w:tr>
      <w:tr>
        <w:trPr>
          <w:trHeight w:val="229"/>
        </w:trPr>
        <w:tc>
          <w:tcPr>
            <w:tcW w:w="43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Denominator:</w:t>
            </w:r>
          </w:p>
        </w:tc>
        <w:tc>
          <w:tcPr>
            <w:tcW w:w="10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4320" w:type="dxa"/>
            <w:vAlign w:val="bottom"/>
          </w:tcPr>
          <w:p>
            <w:pPr>
              <w:ind w:left="680"/>
              <w:spacing w:after="0"/>
              <w:rPr>
                <w:sz w:val="20"/>
                <w:szCs w:val="20"/>
                <w:color w:val="auto"/>
              </w:rPr>
            </w:pPr>
            <w:r>
              <w:rPr>
                <w:rFonts w:ascii="Arial" w:cs="Arial" w:eastAsia="Arial" w:hAnsi="Arial"/>
                <w:sz w:val="18"/>
                <w:szCs w:val="18"/>
                <w:color w:val="auto"/>
                <w:w w:val="95"/>
              </w:rPr>
              <w:t>Weighted average common shares outstanding</w:t>
            </w:r>
          </w:p>
        </w:tc>
        <w:tc>
          <w:tcPr>
            <w:tcW w:w="1020" w:type="dxa"/>
            <w:vAlign w:val="bottom"/>
          </w:tcPr>
          <w:p>
            <w:pPr>
              <w:spacing w:after="0"/>
              <w:rPr>
                <w:sz w:val="19"/>
                <w:szCs w:val="19"/>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auto"/>
                <w:w w:val="93"/>
              </w:rPr>
              <w:t>135,820,386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auto"/>
                <w:w w:val="93"/>
              </w:rPr>
              <w:t>120,370,177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ind w:left="260"/>
              <w:spacing w:after="0"/>
              <w:rPr>
                <w:sz w:val="20"/>
                <w:szCs w:val="20"/>
                <w:color w:val="auto"/>
              </w:rPr>
            </w:pPr>
            <w:r>
              <w:rPr>
                <w:rFonts w:ascii="Arial" w:cs="Arial" w:eastAsia="Arial" w:hAnsi="Arial"/>
                <w:sz w:val="18"/>
                <w:szCs w:val="18"/>
                <w:color w:val="auto"/>
                <w:w w:val="95"/>
              </w:rPr>
              <w:t>101,061,149</w:t>
            </w:r>
          </w:p>
        </w:tc>
      </w:tr>
      <w:tr>
        <w:trPr>
          <w:trHeight w:val="230"/>
        </w:trPr>
        <w:tc>
          <w:tcPr>
            <w:tcW w:w="43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Net loss per share, basic and diluted</w:t>
            </w: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r>
    </w:tbl>
    <w:p>
      <w:pPr>
        <w:spacing w:after="0" w:line="28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as the inclusion of all potential dilutive securities would have been anti-dilutive. Potentially dilutive securities that were not included in the diluted per share calculations because they would be anti-dilutive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7"/>
              </w:rPr>
              <w:t>Year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FF0FC"/>
            </w:tcBorders>
          </w:tcPr>
          <w:p>
            <w:pPr>
              <w:spacing w:after="0"/>
              <w:rPr>
                <w:sz w:val="19"/>
                <w:szCs w:val="19"/>
                <w:color w:val="auto"/>
              </w:rPr>
            </w:pPr>
          </w:p>
        </w:tc>
        <w:tc>
          <w:tcPr>
            <w:tcW w:w="1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223"/>
        </w:trPr>
        <w:tc>
          <w:tcPr>
            <w:tcW w:w="6100" w:type="dxa"/>
            <w:vAlign w:val="bottom"/>
            <w:shd w:val="clear" w:color="auto" w:fill="CFF0FC"/>
          </w:tcPr>
          <w:p>
            <w:pPr>
              <w:ind w:left="680"/>
              <w:spacing w:after="0"/>
              <w:rPr>
                <w:sz w:val="20"/>
                <w:szCs w:val="20"/>
                <w:color w:val="auto"/>
              </w:rPr>
            </w:pPr>
            <w:r>
              <w:rPr>
                <w:rFonts w:ascii="Arial" w:cs="Arial" w:eastAsia="Arial" w:hAnsi="Arial"/>
                <w:sz w:val="18"/>
                <w:szCs w:val="18"/>
                <w:color w:val="auto"/>
              </w:rPr>
              <w:t>Stock options to purchase common stock</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10,239,167</w:t>
            </w: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10,434,034</w:t>
            </w:r>
          </w:p>
        </w:tc>
        <w:tc>
          <w:tcPr>
            <w:tcW w:w="100" w:type="dxa"/>
            <w:vAlign w:val="bottom"/>
            <w:shd w:val="clear" w:color="auto" w:fill="CFF0FC"/>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9,190,522</w:t>
            </w:r>
          </w:p>
        </w:tc>
      </w:tr>
      <w:tr>
        <w:trPr>
          <w:trHeight w:val="230"/>
        </w:trPr>
        <w:tc>
          <w:tcPr>
            <w:tcW w:w="6100" w:type="dxa"/>
            <w:vAlign w:val="bottom"/>
          </w:tcPr>
          <w:p>
            <w:pPr>
              <w:ind w:left="680"/>
              <w:spacing w:after="0"/>
              <w:rPr>
                <w:sz w:val="20"/>
                <w:szCs w:val="20"/>
                <w:color w:val="auto"/>
              </w:rPr>
            </w:pPr>
            <w:r>
              <w:rPr>
                <w:rFonts w:ascii="Arial" w:cs="Arial" w:eastAsia="Arial" w:hAnsi="Arial"/>
                <w:sz w:val="18"/>
                <w:szCs w:val="18"/>
                <w:color w:val="auto"/>
              </w:rPr>
              <w:t>Restricted stock units subject to vesting</w:t>
            </w:r>
          </w:p>
        </w:tc>
        <w:tc>
          <w:tcPr>
            <w:tcW w:w="1660" w:type="dxa"/>
            <w:vAlign w:val="bottom"/>
          </w:tcPr>
          <w:p>
            <w:pPr>
              <w:jc w:val="right"/>
              <w:spacing w:after="0"/>
              <w:rPr>
                <w:sz w:val="20"/>
                <w:szCs w:val="20"/>
                <w:color w:val="auto"/>
              </w:rPr>
            </w:pPr>
            <w:r>
              <w:rPr>
                <w:rFonts w:ascii="Arial" w:cs="Arial" w:eastAsia="Arial" w:hAnsi="Arial"/>
                <w:sz w:val="18"/>
                <w:szCs w:val="18"/>
                <w:color w:val="auto"/>
              </w:rPr>
              <w:t>4,261,108</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2,493,920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1,941</w:t>
            </w:r>
          </w:p>
        </w:tc>
      </w:tr>
      <w:tr>
        <w:trPr>
          <w:trHeight w:val="229"/>
        </w:trPr>
        <w:tc>
          <w:tcPr>
            <w:tcW w:w="6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Expected shares purchased under Employee Stock Purchase Plan</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474,966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195,161</w:t>
            </w:r>
          </w:p>
        </w:tc>
      </w:tr>
      <w:tr>
        <w:trPr>
          <w:trHeight w:val="230"/>
        </w:trPr>
        <w:tc>
          <w:tcPr>
            <w:tcW w:w="6100" w:type="dxa"/>
            <w:vAlign w:val="bottom"/>
          </w:tcPr>
          <w:p>
            <w:pPr>
              <w:ind w:left="680"/>
              <w:spacing w:after="0"/>
              <w:rPr>
                <w:sz w:val="20"/>
                <w:szCs w:val="20"/>
                <w:color w:val="auto"/>
              </w:rPr>
            </w:pPr>
            <w:r>
              <w:rPr>
                <w:rFonts w:ascii="Arial" w:cs="Arial" w:eastAsia="Arial" w:hAnsi="Arial"/>
                <w:sz w:val="18"/>
                <w:szCs w:val="18"/>
                <w:color w:val="auto"/>
              </w:rPr>
              <w:t>Founder shares subject to future vesting</w:t>
            </w:r>
          </w:p>
        </w:tc>
        <w:tc>
          <w:tcPr>
            <w:tcW w:w="1660" w:type="dxa"/>
            <w:vAlign w:val="bottom"/>
          </w:tcPr>
          <w:p>
            <w:pPr>
              <w:jc w:val="right"/>
              <w:spacing w:after="0"/>
              <w:rPr>
                <w:sz w:val="20"/>
                <w:szCs w:val="20"/>
                <w:color w:val="auto"/>
              </w:rPr>
            </w:pPr>
            <w:r>
              <w:rPr>
                <w:rFonts w:ascii="Arial" w:cs="Arial" w:eastAsia="Arial" w:hAnsi="Arial"/>
                <w:sz w:val="18"/>
                <w:szCs w:val="18"/>
                <w:color w:val="auto"/>
              </w:rPr>
              <w:t>1,514,424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7,572,119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13,629,803</w:t>
            </w:r>
          </w:p>
        </w:tc>
      </w:tr>
      <w:tr>
        <w:trPr>
          <w:trHeight w:val="230"/>
        </w:trPr>
        <w:tc>
          <w:tcPr>
            <w:tcW w:w="6100" w:type="dxa"/>
            <w:vAlign w:val="bottom"/>
            <w:shd w:val="clear" w:color="auto" w:fill="CFF0FC"/>
          </w:tcPr>
          <w:p>
            <w:pPr>
              <w:ind w:left="680"/>
              <w:spacing w:after="0"/>
              <w:rPr>
                <w:sz w:val="20"/>
                <w:szCs w:val="20"/>
                <w:color w:val="auto"/>
              </w:rPr>
            </w:pPr>
            <w:r>
              <w:rPr>
                <w:rFonts w:ascii="Arial" w:cs="Arial" w:eastAsia="Arial" w:hAnsi="Arial"/>
                <w:sz w:val="18"/>
                <w:szCs w:val="18"/>
                <w:color w:val="auto"/>
              </w:rPr>
              <w:t>Early exercised stock options subject to future vesting</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720,321</w:t>
            </w:r>
          </w:p>
        </w:tc>
        <w:tc>
          <w:tcPr>
            <w:tcW w:w="10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1,737,137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2,992,290</w:t>
            </w:r>
          </w:p>
        </w:tc>
      </w:tr>
      <w:tr>
        <w:trPr>
          <w:trHeight w:val="223"/>
        </w:trPr>
        <w:tc>
          <w:tcPr>
            <w:tcW w:w="6100" w:type="dxa"/>
            <w:vAlign w:val="bottom"/>
          </w:tcPr>
          <w:p>
            <w:pPr>
              <w:ind w:left="88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17,209,986</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22,549,960</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27,948,931</w:t>
            </w:r>
          </w:p>
        </w:tc>
      </w:tr>
      <w:tr>
        <w:trPr>
          <w:trHeight w:val="20"/>
        </w:trPr>
        <w:tc>
          <w:tcPr>
            <w:tcW w:w="6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January 5, 2022, the Company entered into an exclusive collaboration and global license agreement (Antion Collaboration and License Agreement) with Antion Biosciences SA (Antion) for Antion’s miRNA technology (miCAR), to advance multiplex gene silencing as an additional tool to develop next generation allogeneic CAR T products. Pursuant to the agreement, Antion will exclusively collaborate with the Company on oncology products for a defined period. The Company will also have exclusive worldwide rights to commercialize products incorporating Antion technology developed during the collaboration.</w:t>
      </w:r>
    </w:p>
    <w:p>
      <w:pPr>
        <w:spacing w:after="0" w:line="188"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Antion Collaboration and License Agreement includes an exclusive research collaboration to conduct research and development of the use of Antion’s proprietary technologies to produce certain products for a defined period, which will be conducted in accordance with an agreed research plan and budget under the oversight of a joint steering committee. The Company will reimburse Antion's costs incurred in accordance with such plan and budget.</w:t>
      </w:r>
    </w:p>
    <w:p>
      <w:pPr>
        <w:spacing w:after="0" w:line="149"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In connection with the execution of the Antion Collaboration and License Agreement, the Company made an upfront payment to Antion of $3.3 million. In addition, the Company made a $3.0 million investment in Antion's preferred stock. In connection with this investment, a Company representative was appointed to Antion’s Board of Directors.</w:t>
      </w:r>
    </w:p>
    <w:p>
      <w:pPr>
        <w:spacing w:after="0" w:line="21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Under the Antion Collaboration and License Agreement, Antion will be eligible to receive up to $35.3 million for four products upon achievement of certain development and regulatory milestones. For each additional product, Antion will be eligible to receive $2.0 million upon achievement of a regulatory milestone. Antion is also entitled to receive a low single-digit royalty on the Company’s sales of licensed products, subject to certain reductions.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the Effectiveness of Disclosure Controls and Procedures</w:t>
      </w:r>
    </w:p>
    <w:p>
      <w:pPr>
        <w:spacing w:after="0" w:line="108"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As of December 31, 2021,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w:t>
      </w:r>
    </w:p>
    <w:p>
      <w:pPr>
        <w:spacing w:after="0" w:line="189" w:lineRule="exact"/>
        <w:rPr>
          <w:sz w:val="20"/>
          <w:szCs w:val="20"/>
          <w:color w:val="auto"/>
        </w:rPr>
      </w:pPr>
    </w:p>
    <w:p>
      <w:pPr>
        <w:jc w:val="both"/>
        <w:ind w:right="160" w:firstLine="648"/>
        <w:spacing w:after="0" w:line="243"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2021, the design and operation of our disclosure controls and procedures were effective at a reasonable assurance level.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Controls Over Financial Reporting</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as of December 31, 2021.</w:t>
      </w:r>
    </w:p>
    <w:p>
      <w:pPr>
        <w:spacing w:after="0" w:line="165"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an independent registered public accounting firm, as stated in their attestation report herein, which expresses an unqualified opinion on the effectiveness of our internal control over financial reporting as of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Controls</w:t>
      </w:r>
    </w:p>
    <w:p>
      <w:pPr>
        <w:spacing w:after="0" w:line="121"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180" w:firstLine="648"/>
        <w:spacing w:after="0" w:line="241" w:lineRule="auto"/>
        <w:rPr>
          <w:sz w:val="20"/>
          <w:szCs w:val="20"/>
          <w:color w:val="auto"/>
        </w:rPr>
      </w:pPr>
      <w:r>
        <w:rPr>
          <w:rFonts w:ascii="Arial" w:cs="Arial" w:eastAsia="Arial" w:hAnsi="Arial"/>
          <w:sz w:val="18"/>
          <w:szCs w:val="18"/>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There were no changes in our internal control over financial reporting that occurred during the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Allogene Therapeutic,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We have audited Allogene Therapeutics, Inc.’s internal control over financial reporting as of December 31, 2021, based on criteria established in Internal Control—Integrated Framework issued by the Committee of Sponsoring Organizations of the Treadway Commission (2013 framework) (the COSO criteria). In our opinion, Allogene Therapeutics, Inc. (the Company) maintained, in all material respects, effective internal control over financial reporting as of December 31, 2021, based on the COSO criteria.</w:t>
      </w:r>
    </w:p>
    <w:p>
      <w:pPr>
        <w:spacing w:after="0" w:line="202" w:lineRule="exact"/>
        <w:rPr>
          <w:sz w:val="20"/>
          <w:szCs w:val="20"/>
          <w:color w:val="auto"/>
        </w:rPr>
      </w:pPr>
    </w:p>
    <w:p>
      <w:pPr>
        <w:ind w:right="820"/>
        <w:spacing w:after="0" w:line="274"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2021 consolidated financial statements of the Company and our report dated February 23, 2022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ind w:right="320"/>
        <w:spacing w:after="0" w:line="253"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and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information required by this Item and not set forth below will be set forth in the section headed “—Election of Directors” and “Information Regarding the Board of Directors and Corporate Governance” in our definitive Proxy Statement for our 2022 Annual Meeting of Stockholders to be filed with the SEC by May 2, 2022 (our Proxy Statement) and is incorporated in this Annual Report by reference.</w:t>
      </w:r>
    </w:p>
    <w:p>
      <w:pPr>
        <w:spacing w:after="0" w:line="184"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 xml:space="preserve">We have adopted a code of ethics for directors, officers (including our principal executive officer, principal financial officer and principal accounting officer) and employees, known as the Code of Business Conduct and Ethics. The Code of Business Conduct and Ethics is available on our website at </w:t>
      </w:r>
      <w:r>
        <w:rPr>
          <w:rFonts w:ascii="Arial" w:cs="Arial" w:eastAsia="Arial" w:hAnsi="Arial"/>
          <w:sz w:val="16"/>
          <w:szCs w:val="16"/>
          <w:i w:val="1"/>
          <w:iCs w:val="1"/>
          <w:color w:val="auto"/>
        </w:rPr>
        <w:t>http://www.allogene.com</w:t>
      </w:r>
      <w:r>
        <w:rPr>
          <w:rFonts w:ascii="Arial" w:cs="Arial" w:eastAsia="Arial" w:hAnsi="Arial"/>
          <w:sz w:val="16"/>
          <w:szCs w:val="16"/>
          <w:color w:val="auto"/>
        </w:rPr>
        <w:t xml:space="preserve"> under the Governance section of our Investors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Shareholders may request a free copy of the Code of Business Conduct and Ethics from our Compliance Officer, c/o Allogene Therapeutics, Inc., 210 E. Grand Avenue, South San Francisco, CA 94080.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“Executive Compensation” in our Proxy Statement and is incorporated in this Annual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“Security Ownership of Certain Beneficial Owners and Management” in our Proxy Statement and is incorporated in this Annual Report by reference.</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Information regarding our equity compensation plans will be set forth in the section headed “Executive Compensation” in our Proxy Statement and is incorporated in this Annual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“Transactions With Related Persons” in our Proxy Statement and is incorporated in this Annual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“—Ratification of Selection of Independent Registered Public Accounting Firm” in our Proxy Statement and is incorporated in this Annual Report by reference.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response to this portion of Item 15 is set forth under Part II, Item 8 above.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Financial Statements or Notes thereto set forth under Item 8 above.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in the Exhibit Index below are filed or incorporated by reference as part of this Annual Report.</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0" w:type="dxa"/>
            <w:vAlign w:val="bottom"/>
            <w:gridSpan w:val="25"/>
          </w:tcPr>
          <w:p>
            <w:pPr>
              <w:ind w:left="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20" w:type="dxa"/>
            <w:vAlign w:val="bottom"/>
            <w:gridSpan w:val="24"/>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32"/>
          </w:tcPr>
          <w:p>
            <w:pPr>
              <w:spacing w:after="0"/>
              <w:rPr>
                <w:rFonts w:ascii="Arial" w:cs="Arial" w:eastAsia="Arial" w:hAnsi="Arial"/>
                <w:sz w:val="18"/>
                <w:szCs w:val="18"/>
                <w:color w:val="0000FF"/>
                <w:w w:val="92"/>
              </w:rPr>
            </w:pPr>
            <w:hyperlink r:id="rId159">
              <w:r>
                <w:rPr>
                  <w:rFonts w:ascii="Arial" w:cs="Arial" w:eastAsia="Arial" w:hAnsi="Arial"/>
                  <w:sz w:val="18"/>
                  <w:szCs w:val="18"/>
                  <w:color w:val="0000FF"/>
                  <w:w w:val="92"/>
                </w:rPr>
                <w:t>Amended and Restated Certificate of Incorporation of the Registrant (incorporated by reference to Exhibit 3.1 to the Registrant’s Current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Report on Form 8-K (File No. 001-38693), filed with the SEC on October 15,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32"/>
          </w:tcPr>
          <w:p>
            <w:pPr>
              <w:spacing w:after="0"/>
              <w:rPr>
                <w:rFonts w:ascii="Arial" w:cs="Arial" w:eastAsia="Arial" w:hAnsi="Arial"/>
                <w:sz w:val="18"/>
                <w:szCs w:val="18"/>
                <w:color w:val="0000FF"/>
                <w:w w:val="91"/>
              </w:rPr>
            </w:pPr>
            <w:hyperlink r:id="rId160">
              <w:r>
                <w:rPr>
                  <w:rFonts w:ascii="Arial" w:cs="Arial" w:eastAsia="Arial" w:hAnsi="Arial"/>
                  <w:sz w:val="18"/>
                  <w:szCs w:val="18"/>
                  <w:color w:val="0000FF"/>
                  <w:w w:val="91"/>
                </w:rPr>
                <w:t>Amended and Restated Bylaws of the Registrant (incorporated by reference to Exhibit 3.2 to the Registrant’s Current Report on Form 8-K</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(File No. 001-38693), filed with the SEC on October 15, 2018).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tcBorders>
              <w:top w:val="single" w:sz="8" w:color="0000FF"/>
            </w:tcBorders>
            <w:gridSpan w:val="8"/>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159">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60">
              <w:r>
                <w:rPr>
                  <w:rFonts w:ascii="Arial" w:cs="Arial" w:eastAsia="Arial" w:hAnsi="Arial"/>
                  <w:sz w:val="18"/>
                  <w:szCs w:val="18"/>
                  <w:color w:val="0000FF"/>
                </w:rPr>
                <w:t>3.2</w:t>
              </w:r>
            </w:hyperlink>
          </w:p>
        </w:tc>
        <w:tc>
          <w:tcPr>
            <w:tcW w:w="5420" w:type="dxa"/>
            <w:vAlign w:val="bottom"/>
            <w:gridSpan w:val="2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32"/>
          </w:tcPr>
          <w:p>
            <w:pPr>
              <w:spacing w:after="0"/>
              <w:rPr>
                <w:rFonts w:ascii="Arial" w:cs="Arial" w:eastAsia="Arial" w:hAnsi="Arial"/>
                <w:sz w:val="18"/>
                <w:szCs w:val="18"/>
                <w:color w:val="0000FF"/>
                <w:w w:val="92"/>
              </w:rPr>
            </w:pPr>
            <w:hyperlink r:id="rId161">
              <w:r>
                <w:rPr>
                  <w:rFonts w:ascii="Arial" w:cs="Arial" w:eastAsia="Arial" w:hAnsi="Arial"/>
                  <w:sz w:val="18"/>
                  <w:szCs w:val="18"/>
                  <w:color w:val="0000FF"/>
                  <w:w w:val="92"/>
                </w:rPr>
                <w:t>Form of Common Stock Certificate of the Registrant (incorporated by reference to Exhibit 4.1 to the Registrant’s Registration Statement</w:t>
              </w:r>
            </w:hyperlink>
          </w:p>
        </w:tc>
        <w:tc>
          <w:tcPr>
            <w:tcW w:w="0" w:type="dxa"/>
            <w:vAlign w:val="bottom"/>
          </w:tcPr>
          <w:p>
            <w:pPr>
              <w:spacing w:after="0"/>
              <w:rPr>
                <w:sz w:val="1"/>
                <w:szCs w:val="1"/>
                <w:color w:val="auto"/>
              </w:rPr>
            </w:pPr>
          </w:p>
        </w:tc>
      </w:tr>
      <w:tr>
        <w:trPr>
          <w:trHeight w:val="156"/>
        </w:trPr>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on Form S-1, as amended (File No. 333-227333), filed with the SEC on October 2, 2018.</w:t>
              </w:r>
            </w:hyperlink>
          </w:p>
        </w:tc>
        <w:tc>
          <w:tcPr>
            <w:tcW w:w="340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32"/>
          </w:tcPr>
          <w:p>
            <w:pPr>
              <w:spacing w:after="0"/>
              <w:rPr>
                <w:rFonts w:ascii="Arial" w:cs="Arial" w:eastAsia="Arial" w:hAnsi="Arial"/>
                <w:sz w:val="18"/>
                <w:szCs w:val="18"/>
                <w:color w:val="0000FF"/>
                <w:w w:val="94"/>
              </w:rPr>
            </w:pPr>
            <w:hyperlink r:id="rId162">
              <w:r>
                <w:rPr>
                  <w:rFonts w:ascii="Arial" w:cs="Arial" w:eastAsia="Arial" w:hAnsi="Arial"/>
                  <w:sz w:val="18"/>
                  <w:szCs w:val="18"/>
                  <w:color w:val="0000FF"/>
                  <w:w w:val="94"/>
                </w:rPr>
                <w:t>Description of Common Stock (incorporated by reference to Exhibit 4.3 to the Registrant’s Annual Report on Form 10-K, as amended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(File No. 001-38693), filed with the SEC on February 27, 2020).</w:t>
              </w:r>
            </w:hyperlink>
          </w:p>
        </w:tc>
        <w:tc>
          <w:tcPr>
            <w:tcW w:w="5000" w:type="dxa"/>
            <w:vAlign w:val="bottom"/>
            <w:tcBorders>
              <w:top w:val="single" w:sz="8" w:color="0000FF"/>
            </w:tcBorders>
            <w:gridSpan w:val="1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32"/>
          </w:tcPr>
          <w:p>
            <w:pPr>
              <w:spacing w:after="0"/>
              <w:rPr>
                <w:rFonts w:ascii="Arial" w:cs="Arial" w:eastAsia="Arial" w:hAnsi="Arial"/>
                <w:sz w:val="18"/>
                <w:szCs w:val="18"/>
                <w:color w:val="0000FF"/>
                <w:w w:val="91"/>
              </w:rPr>
            </w:pPr>
            <w:hyperlink r:id="rId163">
              <w:r>
                <w:rPr>
                  <w:rFonts w:ascii="Arial" w:cs="Arial" w:eastAsia="Arial" w:hAnsi="Arial"/>
                  <w:sz w:val="18"/>
                  <w:szCs w:val="18"/>
                  <w:color w:val="0000FF"/>
                  <w:w w:val="91"/>
                </w:rPr>
                <w:t>Investors’ Rights Agreement, dated April 6, 2018, by and among the Registrant and certain of its securityholders, as amended September</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29"/>
          </w:tcPr>
          <w:p>
            <w:pPr>
              <w:spacing w:after="0" w:line="156"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5, 2018, (incorporated by reference to Exhibit 4.2 to the Registrant’s Registration Statement on Form S-1, as amended (File No. 333-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63">
              <w:r>
                <w:rPr>
                  <w:rFonts w:ascii="Arial" w:cs="Arial" w:eastAsia="Arial" w:hAnsi="Arial"/>
                  <w:sz w:val="18"/>
                  <w:szCs w:val="18"/>
                  <w:color w:val="0000FF"/>
                  <w:w w:val="90"/>
                </w:rPr>
                <w:t>227333)</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 xml:space="preserve"> filed with the SEC on September 14, 2018)</w:t>
              </w:r>
            </w:hyperlink>
          </w:p>
        </w:tc>
        <w:tc>
          <w:tcPr>
            <w:tcW w:w="578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2"/>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32"/>
          </w:tcPr>
          <w:p>
            <w:pPr>
              <w:spacing w:after="0"/>
              <w:rPr>
                <w:rFonts w:ascii="Arial" w:cs="Arial" w:eastAsia="Arial" w:hAnsi="Arial"/>
                <w:sz w:val="18"/>
                <w:szCs w:val="18"/>
                <w:color w:val="0000FF"/>
                <w:w w:val="93"/>
              </w:rPr>
            </w:pPr>
            <w:hyperlink r:id="rId164">
              <w:r>
                <w:rPr>
                  <w:rFonts w:ascii="Arial" w:cs="Arial" w:eastAsia="Arial" w:hAnsi="Arial"/>
                  <w:sz w:val="18"/>
                  <w:szCs w:val="18"/>
                  <w:color w:val="0000FF"/>
                  <w:w w:val="93"/>
                </w:rPr>
                <w:t>Form of Indemnity Agreement by and between the Registrant and its directors and officers (incorporated by reference to Exhibit 10.1 to</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the Registrant’s Registration Statement on Form S-1, as amended (File No. 333-227333), filed with the SEC on October 2, 2018).</w:t>
              </w:r>
            </w:hyperlink>
          </w:p>
        </w:tc>
        <w:tc>
          <w:tcPr>
            <w:tcW w:w="440" w:type="dxa"/>
            <w:vAlign w:val="bottom"/>
            <w:tcBorders>
              <w:top w:val="single" w:sz="8" w:color="0000FF"/>
            </w:tcBorders>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2"/>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32"/>
          </w:tcPr>
          <w:p>
            <w:pPr>
              <w:spacing w:after="0"/>
              <w:rPr>
                <w:rFonts w:ascii="Arial" w:cs="Arial" w:eastAsia="Arial" w:hAnsi="Arial"/>
                <w:sz w:val="18"/>
                <w:szCs w:val="18"/>
                <w:color w:val="0000FF"/>
                <w:w w:val="92"/>
              </w:rPr>
            </w:pPr>
            <w:hyperlink r:id="rId165">
              <w:r>
                <w:rPr>
                  <w:rFonts w:ascii="Arial" w:cs="Arial" w:eastAsia="Arial" w:hAnsi="Arial"/>
                  <w:sz w:val="18"/>
                  <w:szCs w:val="18"/>
                  <w:color w:val="0000FF"/>
                  <w:w w:val="92"/>
                </w:rPr>
                <w:t>Indemnification Agreement, dated April 6, 2018, by and between the Registrant and John DeYoung (incorporated by reference to Exhibit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the Registrant’s Registration Statement on Form S-1, as amended (File No. 333-227333), filed with the SEC on October 2, 2018).</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2"/>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20"/>
          </w:tcPr>
          <w:p>
            <w:pPr>
              <w:spacing w:after="0"/>
              <w:rPr>
                <w:rFonts w:ascii="Arial" w:cs="Arial" w:eastAsia="Arial" w:hAnsi="Arial"/>
                <w:sz w:val="18"/>
                <w:szCs w:val="18"/>
                <w:color w:val="0000FF"/>
                <w:w w:val="91"/>
              </w:rPr>
            </w:pPr>
            <w:hyperlink r:id="rId166">
              <w:r>
                <w:rPr>
                  <w:rFonts w:ascii="Arial" w:cs="Arial" w:eastAsia="Arial" w:hAnsi="Arial"/>
                  <w:sz w:val="18"/>
                  <w:szCs w:val="18"/>
                  <w:color w:val="0000FF"/>
                  <w:w w:val="91"/>
                </w:rPr>
                <w:t>Allogene Therapeutics, Inc. Amended and Restated 2018 Equity Incentive Plan (Prior Plan) and Forms of Stock Option Grant Notice,</w:t>
              </w:r>
            </w:hyperlink>
          </w:p>
        </w:tc>
        <w:tc>
          <w:tcPr>
            <w:tcW w:w="3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32"/>
          </w:tcPr>
          <w:p>
            <w:pPr>
              <w:spacing w:after="0" w:line="156"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Option Agreement, Notice of Exercise and Early Exercise Stock Purchase Agreement thereunder, as amended (incorporated by reference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5"/>
          </w:tcPr>
          <w:p>
            <w:pPr>
              <w:spacing w:after="0" w:line="156" w:lineRule="exact"/>
              <w:rPr>
                <w:rFonts w:ascii="Arial" w:cs="Arial" w:eastAsia="Arial" w:hAnsi="Arial"/>
                <w:sz w:val="18"/>
                <w:szCs w:val="18"/>
                <w:color w:val="0000FF"/>
                <w:w w:val="96"/>
              </w:rPr>
            </w:pPr>
            <w:hyperlink r:id="rId166">
              <w:r>
                <w:rPr>
                  <w:rFonts w:ascii="Arial" w:cs="Arial" w:eastAsia="Arial" w:hAnsi="Arial"/>
                  <w:sz w:val="18"/>
                  <w:szCs w:val="18"/>
                  <w:color w:val="0000FF"/>
                  <w:w w:val="96"/>
                </w:rPr>
                <w:t>to Exhibit 10.2 to the Registrant’s Registration Statement on Form S-1, as amended (File No. 333-227333), filed with the SEC on</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66">
              <w:r>
                <w:rPr>
                  <w:rFonts w:ascii="Arial" w:cs="Arial" w:eastAsia="Arial" w:hAnsi="Arial"/>
                  <w:sz w:val="18"/>
                  <w:szCs w:val="18"/>
                  <w:color w:val="0000FF"/>
                  <w:w w:val="88"/>
                </w:rPr>
                <w:t>September 14, 2018).</w:t>
              </w:r>
            </w:hyperlink>
          </w:p>
        </w:tc>
        <w:tc>
          <w:tcPr>
            <w:tcW w:w="7760" w:type="dxa"/>
            <w:vAlign w:val="bottom"/>
            <w:tcBorders>
              <w:top w:val="single" w:sz="8" w:color="0000FF"/>
            </w:tcBorders>
            <w:gridSpan w:val="15"/>
          </w:tcPr>
          <w:p>
            <w:pPr>
              <w:spacing w:after="0"/>
              <w:rPr>
                <w:sz w:val="13"/>
                <w:szCs w:val="13"/>
                <w:color w:val="auto"/>
              </w:rPr>
            </w:pPr>
          </w:p>
        </w:tc>
        <w:tc>
          <w:tcPr>
            <w:tcW w:w="380" w:type="dxa"/>
            <w:vAlign w:val="bottom"/>
            <w:gridSpan w:val="5"/>
          </w:tcPr>
          <w:p>
            <w:pPr>
              <w:spacing w:after="0"/>
              <w:rPr>
                <w:sz w:val="13"/>
                <w:szCs w:val="13"/>
                <w:color w:val="auto"/>
              </w:rPr>
            </w:pPr>
          </w:p>
        </w:tc>
        <w:tc>
          <w:tcPr>
            <w:tcW w:w="2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2"/>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tcBorders>
              <w:bottom w:val="single" w:sz="8" w:color="0000FF"/>
            </w:tcBorders>
            <w:gridSpan w:val="16"/>
          </w:tcPr>
          <w:p>
            <w:pPr>
              <w:spacing w:after="0"/>
              <w:rPr>
                <w:rFonts w:ascii="Arial" w:cs="Arial" w:eastAsia="Arial" w:hAnsi="Arial"/>
                <w:sz w:val="18"/>
                <w:szCs w:val="18"/>
                <w:color w:val="0000FF"/>
                <w:w w:val="91"/>
              </w:rPr>
            </w:pPr>
            <w:hyperlink r:id="rId167">
              <w:r>
                <w:rPr>
                  <w:rFonts w:ascii="Arial" w:cs="Arial" w:eastAsia="Arial" w:hAnsi="Arial"/>
                  <w:sz w:val="18"/>
                  <w:szCs w:val="18"/>
                  <w:color w:val="0000FF"/>
                  <w:w w:val="91"/>
                </w:rPr>
                <w:t>Allogene Therapeutics, Inc. Amended and Restated 2018 Equity Incentive Plan and Forms of Stock Option Grant Notice, Option</w:t>
              </w:r>
            </w:hyperlink>
          </w:p>
        </w:tc>
        <w:tc>
          <w:tcPr>
            <w:tcW w:w="70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32"/>
          </w:tcPr>
          <w:p>
            <w:pPr>
              <w:spacing w:after="0" w:line="15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Agreement, Notice of Exercise, Restricted Stock Unit Grant Notice and Restricted Stock Unit Award Agreement thereunder (incorporated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by reference to Exhibit 99.2 to the Registrant’s Registration Statement on Form S-8 (File No. 333-227965), filed with the SEC on October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Arial" w:cs="Arial" w:eastAsia="Arial" w:hAnsi="Arial"/>
                <w:sz w:val="18"/>
                <w:szCs w:val="18"/>
                <w:color w:val="0000FF"/>
                <w:w w:val="88"/>
              </w:rPr>
            </w:pPr>
            <w:hyperlink r:id="rId167">
              <w:r>
                <w:rPr>
                  <w:rFonts w:ascii="Arial" w:cs="Arial" w:eastAsia="Arial" w:hAnsi="Arial"/>
                  <w:sz w:val="18"/>
                  <w:szCs w:val="18"/>
                  <w:color w:val="0000FF"/>
                  <w:w w:val="88"/>
                </w:rPr>
                <w:t>24, 2018).</w:t>
              </w:r>
            </w:hyperlink>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2"/>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32"/>
          </w:tcPr>
          <w:p>
            <w:pPr>
              <w:spacing w:after="0"/>
              <w:rPr>
                <w:rFonts w:ascii="Arial" w:cs="Arial" w:eastAsia="Arial" w:hAnsi="Arial"/>
                <w:sz w:val="18"/>
                <w:szCs w:val="18"/>
                <w:color w:val="0000FF"/>
                <w:w w:val="99"/>
              </w:rPr>
            </w:pPr>
            <w:hyperlink r:id="rId168">
              <w:r>
                <w:rPr>
                  <w:rFonts w:ascii="Arial" w:cs="Arial" w:eastAsia="Arial" w:hAnsi="Arial"/>
                  <w:sz w:val="18"/>
                  <w:szCs w:val="18"/>
                  <w:color w:val="0000FF"/>
                  <w:w w:val="99"/>
                </w:rPr>
                <w:t>Allogene Therapeutics, Inc. 2018 Employee Stock Purchase Plan (incorporated by reference to Exhibit 99.3 to the Registrant’s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Registration Statement on Form S-8 (File No. 333-227965), filed with the SEC on October 24, 2018).</w:t>
              </w:r>
            </w:hyperlink>
          </w:p>
        </w:tc>
        <w:tc>
          <w:tcPr>
            <w:tcW w:w="580" w:type="dxa"/>
            <w:vAlign w:val="bottom"/>
            <w:gridSpan w:val="7"/>
          </w:tcPr>
          <w:p>
            <w:pPr>
              <w:spacing w:after="0"/>
              <w:rPr>
                <w:sz w:val="13"/>
                <w:szCs w:val="13"/>
                <w:color w:val="auto"/>
              </w:rPr>
            </w:pPr>
          </w:p>
        </w:tc>
        <w:tc>
          <w:tcPr>
            <w:tcW w:w="2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20" w:type="dxa"/>
            <w:vAlign w:val="bottom"/>
            <w:gridSpan w:val="1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2"/>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32"/>
          </w:tcPr>
          <w:p>
            <w:pPr>
              <w:spacing w:after="0"/>
              <w:rPr>
                <w:rFonts w:ascii="Arial" w:cs="Arial" w:eastAsia="Arial" w:hAnsi="Arial"/>
                <w:sz w:val="18"/>
                <w:szCs w:val="18"/>
                <w:color w:val="0000FF"/>
                <w:w w:val="93"/>
              </w:rPr>
            </w:pPr>
            <w:hyperlink r:id="rId169">
              <w:r>
                <w:rPr>
                  <w:rFonts w:ascii="Arial" w:cs="Arial" w:eastAsia="Arial" w:hAnsi="Arial"/>
                  <w:sz w:val="18"/>
                  <w:szCs w:val="18"/>
                  <w:color w:val="0000FF"/>
                  <w:w w:val="93"/>
                </w:rPr>
                <w:t>Allogene Therapeutics, Inc. 2018 Change in Control Plan and Severance Benefit Plan (incorporated by reference to Exhibit 10.6 to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69">
              <w:r>
                <w:rPr>
                  <w:rFonts w:ascii="Arial" w:cs="Arial" w:eastAsia="Arial" w:hAnsi="Arial"/>
                  <w:sz w:val="18"/>
                  <w:szCs w:val="18"/>
                  <w:color w:val="0000FF"/>
                  <w:w w:val="90"/>
                </w:rPr>
                <w:t>Registrant’s Registration Statement on Form S-1, as amended (File No. 333-227333), filed with the SEC on October 2, 2018).</w:t>
              </w:r>
            </w:hyperlink>
          </w:p>
        </w:tc>
        <w:tc>
          <w:tcPr>
            <w:tcW w:w="620" w:type="dxa"/>
            <w:vAlign w:val="bottom"/>
            <w:tcBorders>
              <w:top w:val="single" w:sz="8" w:color="0000FF"/>
            </w:tcBorders>
            <w:gridSpan w:val="8"/>
          </w:tcPr>
          <w:p>
            <w:pPr>
              <w:spacing w:after="0"/>
              <w:rPr>
                <w:sz w:val="13"/>
                <w:szCs w:val="13"/>
                <w:color w:val="auto"/>
              </w:rPr>
            </w:pPr>
          </w:p>
        </w:tc>
        <w:tc>
          <w:tcPr>
            <w:tcW w:w="2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2"/>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32"/>
          </w:tcPr>
          <w:p>
            <w:pPr>
              <w:spacing w:after="0"/>
              <w:rPr>
                <w:rFonts w:ascii="Arial" w:cs="Arial" w:eastAsia="Arial" w:hAnsi="Arial"/>
                <w:sz w:val="18"/>
                <w:szCs w:val="18"/>
                <w:color w:val="0000FF"/>
                <w:w w:val="92"/>
              </w:rPr>
            </w:pPr>
            <w:hyperlink r:id="rId170">
              <w:r>
                <w:rPr>
                  <w:rFonts w:ascii="Arial" w:cs="Arial" w:eastAsia="Arial" w:hAnsi="Arial"/>
                  <w:sz w:val="18"/>
                  <w:szCs w:val="18"/>
                  <w:color w:val="0000FF"/>
                  <w:w w:val="92"/>
                </w:rPr>
                <w:t>Non-Employee Director Compensation Policy (incorporated by reference to Exhibit 10.23 to the Registrant’s Annual Report on Form 10-</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K (File No. 001-38693) for the year ended December 31, 2020, filed with the SEC on February 25, 2021).</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top w:val="single" w:sz="8" w:color="0000FF"/>
            </w:tcBorders>
            <w:gridSpan w:val="8"/>
          </w:tcPr>
          <w:p>
            <w:pPr>
              <w:ind w:left="4240"/>
              <w:spacing w:after="0"/>
              <w:rPr>
                <w:sz w:val="20"/>
                <w:szCs w:val="20"/>
                <w:color w:val="auto"/>
              </w:rPr>
            </w:pPr>
            <w:r>
              <w:rPr>
                <w:rFonts w:ascii="Arial" w:cs="Arial" w:eastAsia="Arial" w:hAnsi="Arial"/>
                <w:sz w:val="18"/>
                <w:szCs w:val="18"/>
                <w:color w:val="auto"/>
              </w:rPr>
              <w:t>126</w:t>
            </w:r>
          </w:p>
        </w:tc>
        <w:tc>
          <w:tcPr>
            <w:tcW w:w="80" w:type="dxa"/>
            <w:vAlign w:val="bottom"/>
            <w:tcBorders>
              <w:top w:val="single" w:sz="8" w:color="0000FF"/>
            </w:tcBorders>
          </w:tcPr>
          <w:p>
            <w:pPr>
              <w:spacing w:after="0"/>
              <w:rPr>
                <w:sz w:val="24"/>
                <w:szCs w:val="24"/>
                <w:color w:val="auto"/>
              </w:rPr>
            </w:pPr>
          </w:p>
        </w:tc>
        <w:tc>
          <w:tcPr>
            <w:tcW w:w="14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1240" w:right="80" w:hanging="880"/>
        <w:spacing w:after="0" w:line="264" w:lineRule="auto"/>
        <w:tabs>
          <w:tab w:leader="none" w:pos="122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173">
        <w:r>
          <w:rPr>
            <w:rFonts w:ascii="Arial" w:cs="Arial" w:eastAsia="Arial" w:hAnsi="Arial"/>
            <w:sz w:val="16"/>
            <w:szCs w:val="16"/>
            <w:u w:val="single" w:color="auto"/>
            <w:color w:val="0000FF"/>
          </w:rPr>
          <w:t>Employment Agreement by and between the Registrant and David Chang, M.D., Ph.D. (incorporated by reference to Exhibit 10.12 to the</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Registrant’s Registration Statement on Form S-1, as amended (File No. 333-227333), filed with the SEC on September 14, 2018).</w:t>
        </w:r>
      </w:hyperlink>
    </w:p>
    <w:p>
      <w:pPr>
        <w:spacing w:after="0" w:line="1" w:lineRule="exact"/>
        <w:rPr>
          <w:sz w:val="20"/>
          <w:szCs w:val="20"/>
          <w:color w:val="auto"/>
        </w:rPr>
      </w:pPr>
    </w:p>
    <w:p>
      <w:pPr>
        <w:jc w:val="right"/>
        <w:ind w:left="360" w:right="56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10.9+     </w:t>
      </w:r>
      <w:hyperlink r:id="rId174">
        <w:r>
          <w:rPr>
            <w:rFonts w:ascii="Arial" w:cs="Arial" w:eastAsia="Arial" w:hAnsi="Arial"/>
            <w:sz w:val="17"/>
            <w:szCs w:val="17"/>
            <w:u w:val="single" w:color="auto"/>
            <w:color w:val="0000FF"/>
          </w:rPr>
          <w:t>Employment Agreement by and between the Registrant and Eric Schmidt, Ph.D. (incorporated by reference to Exhibit 10.13 to the</w:t>
        </w:r>
      </w:hyperlink>
      <w:r>
        <w:rPr>
          <w:rFonts w:ascii="Arial" w:cs="Arial" w:eastAsia="Arial" w:hAnsi="Arial"/>
          <w:sz w:val="17"/>
          <w:szCs w:val="17"/>
          <w:color w:val="auto"/>
        </w:rPr>
        <w:t xml:space="preserve"> </w:t>
      </w:r>
      <w:hyperlink r:id="rId174">
        <w:r>
          <w:rPr>
            <w:rFonts w:ascii="Arial" w:cs="Arial" w:eastAsia="Arial" w:hAnsi="Arial"/>
            <w:sz w:val="17"/>
            <w:szCs w:val="17"/>
            <w:u w:val="single" w:color="auto"/>
            <w:color w:val="0000FF"/>
          </w:rPr>
          <w:t>Registrant’s Registration Statement on Form S-1, as amended (File No. 333-227333), filed with the SEC on September 14, 2018).</w:t>
        </w:r>
      </w:hyperlink>
    </w:p>
    <w:p>
      <w:pPr>
        <w:spacing w:after="0" w:line="1" w:lineRule="exact"/>
        <w:rPr>
          <w:sz w:val="20"/>
          <w:szCs w:val="20"/>
          <w:color w:val="auto"/>
        </w:rPr>
      </w:pPr>
    </w:p>
    <w:p>
      <w:pPr>
        <w:ind w:left="1240" w:right="500" w:hanging="925"/>
        <w:spacing w:after="0" w:line="264" w:lineRule="auto"/>
        <w:tabs>
          <w:tab w:leader="none" w:pos="122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175">
        <w:r>
          <w:rPr>
            <w:rFonts w:ascii="Arial" w:cs="Arial" w:eastAsia="Arial" w:hAnsi="Arial"/>
            <w:sz w:val="16"/>
            <w:szCs w:val="16"/>
            <w:u w:val="single" w:color="auto"/>
            <w:color w:val="0000FF"/>
          </w:rPr>
          <w:t>Employment Agreement by and between the Registrant and Alison Moore, Ph.D. (incorporated by reference to Exhibit 10.14 to the</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Registrant’s Registration Statement on Form S-1, as amended (File No. 333-227333), filed with the SEC on September 14, 2018).</w:t>
        </w:r>
      </w:hyperlink>
    </w:p>
    <w:p>
      <w:pPr>
        <w:sectPr>
          <w:pgSz w:w="11900" w:h="16838" w:orient="portrait"/>
          <w:cols w:equalWidth="0" w:num="1">
            <w:col w:w="11200"/>
          </w:cols>
          <w:pgMar w:left="320" w:top="368" w:right="379" w:bottom="1440" w:gutter="0" w:footer="0" w:header="0"/>
        </w:sectPr>
      </w:pPr>
    </w:p>
    <w:p>
      <w:pPr>
        <w:ind w:left="320"/>
        <w:spacing w:after="0"/>
        <w:rPr>
          <w:sz w:val="20"/>
          <w:szCs w:val="20"/>
          <w:color w:val="auto"/>
        </w:rPr>
      </w:pPr>
      <w:r>
        <w:rPr>
          <w:rFonts w:ascii="Arial" w:cs="Arial" w:eastAsia="Arial" w:hAnsi="Arial"/>
          <w:sz w:val="16"/>
          <w:szCs w:val="16"/>
          <w:color w:val="auto"/>
        </w:rPr>
        <w:t>10.11+</w:t>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10.12+</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10.13*</w:t>
      </w:r>
    </w:p>
    <w:p>
      <w:pPr>
        <w:spacing w:after="0" w:line="26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10.14†</w:t>
      </w:r>
    </w:p>
    <w:p>
      <w:pPr>
        <w:spacing w:after="0" w:line="20" w:lineRule="exact"/>
        <w:rPr>
          <w:sz w:val="20"/>
          <w:szCs w:val="20"/>
          <w:color w:val="auto"/>
        </w:rPr>
      </w:pPr>
      <w:r>
        <w:rPr>
          <w:sz w:val="20"/>
          <w:szCs w:val="20"/>
          <w:color w:val="auto"/>
        </w:rPr>
        <w:br w:type="column"/>
      </w:r>
    </w:p>
    <w:p>
      <w:pPr>
        <w:jc w:val="both"/>
        <w:ind w:right="380"/>
        <w:spacing w:after="0" w:line="248" w:lineRule="auto"/>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Employment Letter of Agreement, dated July 29, 2019, by and between the Registrant and Rafael G. Amado, M.D. (incorporated by</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reference to Exhibit 10.11 to the Registrant’s Annual Report on Form 10-K, as amended (File No. 001-38693), filed with the SEC on</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February 27, 2020).</w:t>
        </w:r>
      </w:hyperlink>
    </w:p>
    <w:p>
      <w:pPr>
        <w:spacing w:after="0" w:line="20" w:lineRule="exact"/>
        <w:rPr>
          <w:rFonts w:ascii="Arial" w:cs="Arial" w:eastAsia="Arial" w:hAnsi="Arial"/>
          <w:sz w:val="18"/>
          <w:szCs w:val="18"/>
          <w:u w:val="single" w:color="auto"/>
          <w:color w:val="0000FF"/>
        </w:rPr>
      </w:pPr>
    </w:p>
    <w:p>
      <w:pPr>
        <w:ind w:right="60"/>
        <w:spacing w:after="0" w:line="299" w:lineRule="auto"/>
        <w:rPr>
          <w:rFonts w:ascii="Arial" w:cs="Arial" w:eastAsia="Arial" w:hAnsi="Arial"/>
          <w:sz w:val="16"/>
          <w:szCs w:val="16"/>
          <w:u w:val="single" w:color="auto"/>
          <w:color w:val="0000FF"/>
        </w:rPr>
      </w:pPr>
      <w:hyperlink r:id="rId177">
        <w:r>
          <w:rPr>
            <w:rFonts w:ascii="Arial" w:cs="Arial" w:eastAsia="Arial" w:hAnsi="Arial"/>
            <w:sz w:val="16"/>
            <w:szCs w:val="16"/>
            <w:u w:val="single" w:color="auto"/>
            <w:color w:val="0000FF"/>
          </w:rPr>
          <w:t>Employment Letter of Agreement, dated April 30, 2018, by and between the Registrant and Veer Bhavnagri (incorporated by reference to</w:t>
        </w:r>
      </w:hyperlink>
      <w:r>
        <w:rPr>
          <w:rFonts w:ascii="Arial" w:cs="Arial" w:eastAsia="Arial" w:hAnsi="Arial"/>
          <w:sz w:val="16"/>
          <w:szCs w:val="16"/>
          <w:u w:val="single" w:color="auto"/>
          <w:color w:val="0000FF"/>
        </w:rPr>
        <w:t xml:space="preserve"> </w:t>
      </w:r>
      <w:hyperlink r:id="rId177">
        <w:r>
          <w:rPr>
            <w:rFonts w:ascii="Arial" w:cs="Arial" w:eastAsia="Arial" w:hAnsi="Arial"/>
            <w:sz w:val="16"/>
            <w:szCs w:val="16"/>
            <w:u w:val="single" w:color="auto"/>
            <w:color w:val="0000FF"/>
          </w:rPr>
          <w:t>Exhibit 10.1 to the Registrant’s Quarterly Report on Form 10-Q (File No. 001-38693), filed with the SEC on May 6, 2020).</w:t>
        </w:r>
      </w:hyperlink>
    </w:p>
    <w:p>
      <w:pPr>
        <w:spacing w:after="0" w:line="1" w:lineRule="exact"/>
        <w:rPr>
          <w:sz w:val="20"/>
          <w:szCs w:val="20"/>
          <w:color w:val="auto"/>
        </w:rPr>
      </w:pPr>
    </w:p>
    <w:p>
      <w:pPr>
        <w:ind w:right="380"/>
        <w:spacing w:after="0" w:line="273" w:lineRule="auto"/>
        <w:rPr>
          <w:rFonts w:ascii="Arial" w:cs="Arial" w:eastAsia="Arial" w:hAnsi="Arial"/>
          <w:sz w:val="17"/>
          <w:szCs w:val="17"/>
          <w:u w:val="single" w:color="auto"/>
          <w:color w:val="0000FF"/>
        </w:rPr>
      </w:pPr>
      <w:hyperlink r:id="rId178">
        <w:r>
          <w:rPr>
            <w:rFonts w:ascii="Arial" w:cs="Arial" w:eastAsia="Arial" w:hAnsi="Arial"/>
            <w:sz w:val="17"/>
            <w:szCs w:val="17"/>
            <w:u w:val="single" w:color="auto"/>
            <w:color w:val="0000FF"/>
          </w:rPr>
          <w:t>License Agreement, dated March 8, 2019, between the Registrant and Cellectis S.A. (incorporated by reference to Exhibit 10.2 to the</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Registrant’s Quarterly Report on Form 10-Q (File No. 001-38693), filed with the SEC on May 7, 2019).</w:t>
        </w:r>
      </w:hyperlink>
    </w:p>
    <w:p>
      <w:pPr>
        <w:spacing w:after="0" w:line="1" w:lineRule="exact"/>
        <w:rPr>
          <w:sz w:val="20"/>
          <w:szCs w:val="20"/>
          <w:color w:val="auto"/>
        </w:rPr>
      </w:pPr>
    </w:p>
    <w:p>
      <w:pPr>
        <w:ind w:right="40"/>
        <w:spacing w:after="0" w:line="237" w:lineRule="auto"/>
        <w:rPr>
          <w:rFonts w:ascii="Arial" w:cs="Arial" w:eastAsia="Arial" w:hAnsi="Arial"/>
          <w:sz w:val="17"/>
          <w:szCs w:val="17"/>
          <w:u w:val="single" w:color="auto"/>
          <w:color w:val="0000FF"/>
        </w:rPr>
      </w:pPr>
      <w:hyperlink r:id="rId179">
        <w:r>
          <w:rPr>
            <w:rFonts w:ascii="Arial" w:cs="Arial" w:eastAsia="Arial" w:hAnsi="Arial"/>
            <w:sz w:val="17"/>
            <w:szCs w:val="17"/>
            <w:u w:val="single" w:color="auto"/>
            <w:color w:val="0000FF"/>
          </w:rPr>
          <w:t>Exclusive License and Collaboration Agreement, dated October 30, 2015, by and between the Registrant (assignee of Pfizer Inc.) and Les</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Laboratoires Servier and Institut de Recherches Internationales Servier (incorporated by reference to Exhibit 10.7 to the Registrant’s</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Registration Statement on Form S-1, as amended (File No. 333-227333), filed with the SEC on September 17, 2018).</w:t>
        </w:r>
      </w:hyperlink>
    </w:p>
    <w:p>
      <w:pPr>
        <w:spacing w:after="0" w:line="1" w:lineRule="exact"/>
        <w:rPr>
          <w:rFonts w:ascii="Arial" w:cs="Arial" w:eastAsia="Arial" w:hAnsi="Arial"/>
          <w:sz w:val="17"/>
          <w:szCs w:val="17"/>
          <w:u w:val="single" w:color="auto"/>
          <w:color w:val="0000FF"/>
        </w:rPr>
      </w:pPr>
    </w:p>
    <w:p>
      <w:pPr>
        <w:sectPr>
          <w:pgSz w:w="11900" w:h="16838" w:orient="portrait"/>
          <w:cols w:equalWidth="0" w:num="2">
            <w:col w:w="820" w:space="420"/>
            <w:col w:w="9960"/>
          </w:cols>
          <w:pgMar w:left="320" w:top="368" w:right="379" w:bottom="1440" w:gutter="0" w:footer="0" w:header="0"/>
          <w:type w:val="continuous"/>
        </w:sectPr>
      </w:pPr>
    </w:p>
    <w:p>
      <w:pPr>
        <w:ind w:left="320"/>
        <w:spacing w:after="0"/>
        <w:tabs>
          <w:tab w:leader="none" w:pos="122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180">
        <w:r>
          <w:rPr>
            <w:rFonts w:ascii="Arial" w:cs="Arial" w:eastAsia="Arial" w:hAnsi="Arial"/>
            <w:sz w:val="16"/>
            <w:szCs w:val="16"/>
            <w:u w:val="single" w:color="auto"/>
            <w:color w:val="0000FF"/>
          </w:rPr>
          <w:t>Asset Contribution Agreement, dated April 2, 2018, by and between the Registrant and Pfizer Inc. (incorporated by reference to Exhibit</w:t>
        </w:r>
      </w:hyperlink>
    </w:p>
    <w:p>
      <w:pPr>
        <w:ind w:left="1240"/>
        <w:spacing w:after="0" w:line="229" w:lineRule="auto"/>
        <w:rPr>
          <w:rFonts w:ascii="Arial" w:cs="Arial" w:eastAsia="Arial" w:hAnsi="Arial"/>
          <w:sz w:val="16"/>
          <w:szCs w:val="16"/>
          <w:u w:val="single" w:color="auto"/>
          <w:color w:val="0000FF"/>
        </w:rPr>
      </w:pPr>
      <w:hyperlink r:id="rId180">
        <w:r>
          <w:rPr>
            <w:rFonts w:ascii="Arial" w:cs="Arial" w:eastAsia="Arial" w:hAnsi="Arial"/>
            <w:sz w:val="16"/>
            <w:szCs w:val="16"/>
            <w:u w:val="single" w:color="auto"/>
            <w:color w:val="0000FF"/>
          </w:rPr>
          <w:t>10.8 to the Registrant’s Registration Statement on Form S-1, as amended (File No. 333-227333), filed with the SEC on September 14,</w:t>
        </w:r>
      </w:hyperlink>
    </w:p>
    <w:p>
      <w:pPr>
        <w:spacing w:after="0" w:line="1" w:lineRule="exact"/>
        <w:rPr>
          <w:rFonts w:ascii="Arial" w:cs="Arial" w:eastAsia="Arial" w:hAnsi="Arial"/>
          <w:sz w:val="17"/>
          <w:szCs w:val="17"/>
          <w:u w:val="single" w:color="auto"/>
          <w:color w:val="0000FF"/>
        </w:rPr>
      </w:pPr>
    </w:p>
    <w:p>
      <w:pPr>
        <w:ind w:left="1240"/>
        <w:spacing w:after="0"/>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2018).</w:t>
        </w:r>
      </w:hyperlink>
    </w:p>
    <w:p>
      <w:pPr>
        <w:spacing w:after="0" w:line="7" w:lineRule="exact"/>
        <w:rPr>
          <w:rFonts w:ascii="Arial" w:cs="Arial" w:eastAsia="Arial" w:hAnsi="Arial"/>
          <w:sz w:val="17"/>
          <w:szCs w:val="17"/>
          <w:u w:val="single" w:color="auto"/>
          <w:color w:val="0000FF"/>
        </w:rPr>
      </w:pPr>
    </w:p>
    <w:p>
      <w:pPr>
        <w:ind w:left="1240" w:hanging="919"/>
        <w:spacing w:after="0" w:line="248"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81">
        <w:r>
          <w:rPr>
            <w:rFonts w:ascii="Arial" w:cs="Arial" w:eastAsia="Arial" w:hAnsi="Arial"/>
            <w:sz w:val="18"/>
            <w:szCs w:val="18"/>
            <w:u w:val="single" w:color="auto"/>
            <w:color w:val="0000FF"/>
          </w:rPr>
          <w:t>Collaboration and License Agreement, dated November 1, 2019, by and between the Registrant and Notch Therapeutics Inc.</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(incorporated by reference to Exhibit 10.15 to the Registrant’s Annual Report on Form 10-K, as amended (File No. 001-38693), filed with</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the SEC on February 27, 2020).</w:t>
        </w:r>
      </w:hyperlink>
    </w:p>
    <w:p>
      <w:pPr>
        <w:spacing w:after="0" w:line="19" w:lineRule="exact"/>
        <w:rPr>
          <w:rFonts w:ascii="Arial" w:cs="Arial" w:eastAsia="Arial" w:hAnsi="Arial"/>
          <w:sz w:val="18"/>
          <w:szCs w:val="18"/>
          <w:u w:val="single" w:color="auto"/>
          <w:color w:val="0000FF"/>
        </w:rPr>
      </w:pPr>
    </w:p>
    <w:p>
      <w:pPr>
        <w:ind w:left="1240" w:right="40" w:hanging="874"/>
        <w:spacing w:after="0" w:line="22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82">
        <w:r>
          <w:rPr>
            <w:rFonts w:ascii="Arial" w:cs="Arial" w:eastAsia="Arial" w:hAnsi="Arial"/>
            <w:sz w:val="18"/>
            <w:szCs w:val="18"/>
            <w:u w:val="single" w:color="auto"/>
            <w:color w:val="0000FF"/>
          </w:rPr>
          <w:t>Lease, dated August 1, 2018, by and between the Registrant and Britannia Pointe Grand Limited Partnership. (incorporated by reference</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to Exhibit 10.11 to the Registrant’s Registration Statement on Form S-1, as amended (File No. 333-227333), originally filed with the SEC</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on September 14, 2018).</w:t>
        </w:r>
      </w:hyperlink>
    </w:p>
    <w:p>
      <w:pPr>
        <w:spacing w:after="0" w:line="2" w:lineRule="exact"/>
        <w:rPr>
          <w:rFonts w:ascii="Arial" w:cs="Arial" w:eastAsia="Arial" w:hAnsi="Arial"/>
          <w:sz w:val="18"/>
          <w:szCs w:val="18"/>
          <w:u w:val="single" w:color="auto"/>
          <w:color w:val="0000FF"/>
        </w:rPr>
      </w:pPr>
    </w:p>
    <w:p>
      <w:pPr>
        <w:ind w:left="1240" w:right="380" w:hanging="874"/>
        <w:spacing w:after="0" w:line="245"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w:anchor="page133">
        <w:r>
          <w:rPr>
            <w:rFonts w:ascii="Arial" w:cs="Arial" w:eastAsia="Arial" w:hAnsi="Arial"/>
            <w:sz w:val="18"/>
            <w:szCs w:val="18"/>
            <w:u w:val="single" w:color="auto"/>
            <w:color w:val="0000FF"/>
          </w:rPr>
          <w:t>First Amendment, dated December 10, 2021, to the Lease, dated August 1, 2018, by and between the Registrant and Britannia Pointe</w:t>
        </w:r>
      </w:hyperlink>
      <w:r>
        <w:rPr>
          <w:rFonts w:ascii="Arial" w:cs="Arial" w:eastAsia="Arial" w:hAnsi="Arial"/>
          <w:sz w:val="18"/>
          <w:szCs w:val="18"/>
          <w:u w:val="single" w:color="auto"/>
          <w:color w:val="0000FF"/>
        </w:rPr>
        <w:t xml:space="preserve"> </w:t>
      </w:r>
      <w:hyperlink w:anchor="page133">
        <w:r>
          <w:rPr>
            <w:rFonts w:ascii="Arial" w:cs="Arial" w:eastAsia="Arial" w:hAnsi="Arial"/>
            <w:sz w:val="18"/>
            <w:szCs w:val="18"/>
            <w:u w:val="single" w:color="auto"/>
            <w:color w:val="0000FF"/>
          </w:rPr>
          <w:t>Grand Limited Partnership.</w:t>
        </w:r>
      </w:hyperlink>
    </w:p>
    <w:p>
      <w:pPr>
        <w:spacing w:after="0" w:line="9" w:lineRule="exact"/>
        <w:rPr>
          <w:sz w:val="20"/>
          <w:szCs w:val="20"/>
          <w:color w:val="auto"/>
        </w:rPr>
      </w:pPr>
    </w:p>
    <w:p>
      <w:pPr>
        <w:ind w:left="1240" w:hanging="874"/>
        <w:spacing w:after="0" w:line="261"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83">
        <w:r>
          <w:rPr>
            <w:rFonts w:ascii="Arial" w:cs="Arial" w:eastAsia="Arial" w:hAnsi="Arial"/>
            <w:sz w:val="18"/>
            <w:szCs w:val="18"/>
            <w:u w:val="single" w:color="auto"/>
            <w:color w:val="0000FF"/>
          </w:rPr>
          <w:t>Lease Agreement, dated October 25, 2018, by and between the Registrant and HCP, Inc. (incorporated by reference to Exhibit 10.18 to the</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Registrant’s Annual Report on Form 10-K (File No. 001-38693), filed with the SEC on March 8, 2019).</w:t>
        </w:r>
      </w:hyperlink>
    </w:p>
    <w:p>
      <w:pPr>
        <w:spacing w:after="0" w:line="9" w:lineRule="exact"/>
        <w:rPr>
          <w:sz w:val="20"/>
          <w:szCs w:val="20"/>
          <w:color w:val="auto"/>
        </w:rPr>
      </w:pPr>
    </w:p>
    <w:p>
      <w:pPr>
        <w:ind w:left="1240" w:right="600" w:hanging="874"/>
        <w:spacing w:after="0" w:line="246"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w:anchor="page145">
        <w:r>
          <w:rPr>
            <w:rFonts w:ascii="Arial" w:cs="Arial" w:eastAsia="Arial" w:hAnsi="Arial"/>
            <w:sz w:val="18"/>
            <w:szCs w:val="18"/>
            <w:u w:val="single" w:color="auto"/>
            <w:color w:val="0000FF"/>
          </w:rPr>
          <w:t>First Amendment, dated December 10, 2021, to the Lease Agreement, dated October 25, 2018, by and between the Registrant and</w:t>
        </w:r>
      </w:hyperlink>
      <w:r>
        <w:rPr>
          <w:rFonts w:ascii="Arial" w:cs="Arial" w:eastAsia="Arial" w:hAnsi="Arial"/>
          <w:sz w:val="18"/>
          <w:szCs w:val="18"/>
          <w:u w:val="single" w:color="auto"/>
          <w:color w:val="0000FF"/>
        </w:rPr>
        <w:t xml:space="preserve"> </w:t>
      </w:r>
      <w:hyperlink w:anchor="page145">
        <w:r>
          <w:rPr>
            <w:rFonts w:ascii="Arial" w:cs="Arial" w:eastAsia="Arial" w:hAnsi="Arial"/>
            <w:sz w:val="18"/>
            <w:szCs w:val="18"/>
            <w:u w:val="single" w:color="auto"/>
            <w:color w:val="0000FF"/>
          </w:rPr>
          <w:t>Healthpeak Properties, Inc. (formerly known as HCP, Inc.).</w:t>
        </w:r>
      </w:hyperlink>
    </w:p>
    <w:p>
      <w:pPr>
        <w:spacing w:after="0" w:line="8" w:lineRule="exact"/>
        <w:rPr>
          <w:sz w:val="20"/>
          <w:szCs w:val="20"/>
          <w:color w:val="auto"/>
        </w:rPr>
      </w:pPr>
    </w:p>
    <w:p>
      <w:pPr>
        <w:ind w:left="1240" w:right="80" w:hanging="874"/>
        <w:spacing w:after="0" w:line="248"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84">
        <w:r>
          <w:rPr>
            <w:rFonts w:ascii="Arial" w:cs="Arial" w:eastAsia="Arial" w:hAnsi="Arial"/>
            <w:sz w:val="18"/>
            <w:szCs w:val="18"/>
            <w:u w:val="single" w:color="auto"/>
            <w:color w:val="0000FF"/>
          </w:rPr>
          <w:t>Lease Agreement, dated February 19, 2019, by and between the Registrant and Silicon Valley Gateway Technology Center, LLC</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(incorporated by reference to Exhibit 10.18 to the Registrant’s Annual Report on Form 10-K (File No. 001-38693), filed with the SEC on</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March 8, 2019).</w:t>
        </w:r>
      </w:hyperlink>
    </w:p>
    <w:p>
      <w:pPr>
        <w:spacing w:after="0" w:line="20" w:lineRule="exact"/>
        <w:rPr>
          <w:rFonts w:ascii="Arial" w:cs="Arial" w:eastAsia="Arial" w:hAnsi="Arial"/>
          <w:sz w:val="18"/>
          <w:szCs w:val="18"/>
          <w:u w:val="single" w:color="auto"/>
          <w:color w:val="0000FF"/>
        </w:rPr>
      </w:pPr>
    </w:p>
    <w:p>
      <w:pPr>
        <w:ind w:left="1240" w:right="40" w:hanging="874"/>
        <w:spacing w:after="0" w:line="248"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85">
        <w:r>
          <w:rPr>
            <w:rFonts w:ascii="Arial" w:cs="Arial" w:eastAsia="Arial" w:hAnsi="Arial"/>
            <w:sz w:val="18"/>
            <w:szCs w:val="18"/>
            <w:u w:val="single" w:color="auto"/>
            <w:color w:val="0000FF"/>
          </w:rPr>
          <w:t>First Amendment, dated September 4, 2019, to the Lease Agreement, dated February 19, 2019, by and between the Registrant and Silicon</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Valley Gateway Technology Center, LLC (incorporated by reference to Exhibit 10.1 to the Registrant’s Quarterly Report on Form 10-Q</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(File No. 001-38693), filed with the SEC on November 5, 2019).</w:t>
        </w:r>
      </w:hyperlink>
    </w:p>
    <w:p>
      <w:pPr>
        <w:spacing w:after="0" w:line="20" w:lineRule="exact"/>
        <w:rPr>
          <w:rFonts w:ascii="Arial" w:cs="Arial" w:eastAsia="Arial" w:hAnsi="Arial"/>
          <w:sz w:val="18"/>
          <w:szCs w:val="18"/>
          <w:u w:val="single" w:color="auto"/>
          <w:color w:val="0000FF"/>
        </w:rPr>
      </w:pPr>
    </w:p>
    <w:p>
      <w:pPr>
        <w:jc w:val="both"/>
        <w:ind w:left="1240" w:right="200" w:hanging="874"/>
        <w:spacing w:after="0" w:line="270" w:lineRule="auto"/>
        <w:tabs>
          <w:tab w:leader="none" w:pos="1220" w:val="left"/>
        </w:tabs>
        <w:rPr>
          <w:rFonts w:ascii="Arial" w:cs="Arial" w:eastAsia="Arial" w:hAnsi="Arial"/>
          <w:sz w:val="17"/>
          <w:szCs w:val="17"/>
          <w:u w:val="single" w:color="auto"/>
          <w:color w:val="0000FF"/>
        </w:rPr>
      </w:pPr>
      <w:r>
        <w:rPr>
          <w:rFonts w:ascii="Arial" w:cs="Arial" w:eastAsia="Arial" w:hAnsi="Arial"/>
          <w:sz w:val="18"/>
          <w:szCs w:val="18"/>
          <w:color w:val="auto"/>
        </w:rPr>
        <w:t>10.23</w:t>
      </w:r>
      <w:r>
        <w:rPr>
          <w:sz w:val="20"/>
          <w:szCs w:val="20"/>
          <w:color w:val="auto"/>
        </w:rPr>
        <w:tab/>
      </w:r>
      <w:hyperlink r:id="rId186">
        <w:r>
          <w:rPr>
            <w:rFonts w:ascii="Arial" w:cs="Arial" w:eastAsia="Arial" w:hAnsi="Arial"/>
            <w:sz w:val="17"/>
            <w:szCs w:val="17"/>
            <w:u w:val="single" w:color="auto"/>
            <w:color w:val="0000FF"/>
          </w:rPr>
          <w:t>Second Amendment, dated July 15, 2020, to the Lease Agreement, dated February 19, 2019, by and between the Registrant and Silicon</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Valley Gateway Technology Center, LLC (incorporated by reference to Exhibit 10.1 to the Registrant’s Quarterly Report on Form 10-Q</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(File No. 001-38693) for the quarter ended June 30, 2020, filed with the SEC on August 5, 2020).</w:t>
        </w:r>
      </w:hyperlink>
    </w:p>
    <w:p>
      <w:pPr>
        <w:spacing w:after="0" w:line="2" w:lineRule="exact"/>
        <w:rPr>
          <w:rFonts w:ascii="Arial" w:cs="Arial" w:eastAsia="Arial" w:hAnsi="Arial"/>
          <w:sz w:val="17"/>
          <w:szCs w:val="17"/>
          <w:u w:val="single" w:color="auto"/>
          <w:color w:val="0000FF"/>
        </w:rPr>
      </w:pPr>
    </w:p>
    <w:p>
      <w:pPr>
        <w:ind w:left="1240" w:right="140" w:hanging="874"/>
        <w:spacing w:after="0" w:line="308" w:lineRule="auto"/>
        <w:tabs>
          <w:tab w:leader="none" w:pos="122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187">
        <w:r>
          <w:rPr>
            <w:rFonts w:ascii="Arial" w:cs="Arial" w:eastAsia="Arial" w:hAnsi="Arial"/>
            <w:sz w:val="16"/>
            <w:szCs w:val="16"/>
            <w:u w:val="single" w:color="auto"/>
            <w:color w:val="0000FF"/>
          </w:rPr>
          <w:t>Sales Agreement, dated November 5, 2019, by and between the Registrant and Cowen and Company, LLC (incorporated by reference to</w:t>
        </w:r>
      </w:hyperlink>
      <w:r>
        <w:rPr>
          <w:rFonts w:ascii="Arial" w:cs="Arial" w:eastAsia="Arial" w:hAnsi="Arial"/>
          <w:sz w:val="16"/>
          <w:szCs w:val="16"/>
          <w:u w:val="single" w:color="auto"/>
          <w:color w:val="0000FF"/>
        </w:rPr>
        <w:t xml:space="preserve"> </w:t>
      </w:r>
      <w:hyperlink r:id="rId187">
        <w:r>
          <w:rPr>
            <w:rFonts w:ascii="Arial" w:cs="Arial" w:eastAsia="Arial" w:hAnsi="Arial"/>
            <w:sz w:val="16"/>
            <w:szCs w:val="16"/>
            <w:u w:val="single" w:color="auto"/>
            <w:color w:val="0000FF"/>
          </w:rPr>
          <w:t>Exhibit 1.2 to the Registrant’s Registration Statement on Form S-3 (File No. 333-234516), filed with the SEC on November 5, 2019).</w:t>
        </w:r>
      </w:hyperlink>
    </w:p>
    <w:p>
      <w:pPr>
        <w:ind w:left="1240" w:right="80" w:hanging="964"/>
        <w:spacing w:after="0" w:line="248"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88">
        <w:r>
          <w:rPr>
            <w:rFonts w:ascii="Arial" w:cs="Arial" w:eastAsia="Arial" w:hAnsi="Arial"/>
            <w:sz w:val="18"/>
            <w:szCs w:val="18"/>
            <w:u w:val="single" w:color="auto"/>
            <w:color w:val="0000FF"/>
          </w:rPr>
          <w:t>Exclusive License Agreement, dated December 14, 2020, by and between the Registrant and Allogene Overland Biopharm (CY) Limited</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(incorporated by reference to Exhibit 10.23 to the Registrant’s Annual Report on Form 10-K (File No. 001-38693) for the year ended</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December 31, 2020, filed with the SEC on February 25, 2021).</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3"/>
              </w:rPr>
              <w:t>10.26*¥</w:t>
            </w:r>
          </w:p>
        </w:tc>
        <w:tc>
          <w:tcPr>
            <w:tcW w:w="9780" w:type="dxa"/>
            <w:vAlign w:val="bottom"/>
            <w:tcBorders>
              <w:bottom w:val="single" w:sz="8" w:color="0000FF"/>
            </w:tcBorders>
            <w:gridSpan w:val="12"/>
          </w:tcPr>
          <w:p>
            <w:pPr>
              <w:spacing w:after="0"/>
              <w:rPr>
                <w:rFonts w:ascii="Arial" w:cs="Arial" w:eastAsia="Arial" w:hAnsi="Arial"/>
                <w:sz w:val="18"/>
                <w:szCs w:val="18"/>
                <w:color w:val="0000FF"/>
                <w:w w:val="89"/>
              </w:rPr>
            </w:pPr>
            <w:hyperlink r:id="rId190">
              <w:r>
                <w:rPr>
                  <w:rFonts w:ascii="Arial" w:cs="Arial" w:eastAsia="Arial" w:hAnsi="Arial"/>
                  <w:sz w:val="18"/>
                  <w:szCs w:val="18"/>
                  <w:color w:val="0000FF"/>
                  <w:w w:val="89"/>
                </w:rPr>
                <w:t>Share Purchase Agreement, dated December 14, 2020, by and among the Registrant, Overland Pharmaceuticals (CY) Inc. and Allogene</w:t>
              </w:r>
            </w:hyperlink>
          </w:p>
        </w:tc>
        <w:tc>
          <w:tcPr>
            <w:tcW w:w="100" w:type="dxa"/>
            <w:vAlign w:val="bottom"/>
            <w:gridSpan w:val="2"/>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9880" w:type="dxa"/>
            <w:vAlign w:val="bottom"/>
            <w:gridSpan w:val="14"/>
          </w:tcPr>
          <w:p>
            <w:pPr>
              <w:spacing w:after="0" w:line="182" w:lineRule="exact"/>
              <w:rPr>
                <w:rFonts w:ascii="Arial" w:cs="Arial" w:eastAsia="Arial" w:hAnsi="Arial"/>
                <w:sz w:val="18"/>
                <w:szCs w:val="18"/>
                <w:color w:val="0000FF"/>
                <w:w w:val="92"/>
              </w:rPr>
            </w:pPr>
            <w:hyperlink r:id="rId190">
              <w:r>
                <w:rPr>
                  <w:rFonts w:ascii="Arial" w:cs="Arial" w:eastAsia="Arial" w:hAnsi="Arial"/>
                  <w:sz w:val="18"/>
                  <w:szCs w:val="18"/>
                  <w:color w:val="0000FF"/>
                  <w:w w:val="92"/>
                </w:rPr>
                <w:t>Overland Biopharm (CY) Limited (incorporated by reference to Exhibit 10.24 to the Registrant’s Annual Report on Form 10-K (File No.</w:t>
              </w:r>
            </w:hyperlink>
          </w:p>
        </w:tc>
      </w:tr>
      <w:tr>
        <w:trPr>
          <w:trHeight w:val="183"/>
        </w:trPr>
        <w:tc>
          <w:tcPr>
            <w:tcW w:w="1000" w:type="dxa"/>
            <w:vAlign w:val="bottom"/>
          </w:tcPr>
          <w:p>
            <w:pPr>
              <w:spacing w:after="0"/>
              <w:rPr>
                <w:sz w:val="15"/>
                <w:szCs w:val="15"/>
                <w:color w:val="auto"/>
              </w:rPr>
            </w:pPr>
          </w:p>
        </w:tc>
        <w:tc>
          <w:tcPr>
            <w:tcW w:w="68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0"/>
              </w:rPr>
            </w:pPr>
            <w:hyperlink r:id="rId190">
              <w:r>
                <w:rPr>
                  <w:rFonts w:ascii="Arial" w:cs="Arial" w:eastAsia="Arial" w:hAnsi="Arial"/>
                  <w:sz w:val="18"/>
                  <w:szCs w:val="18"/>
                  <w:color w:val="0000FF"/>
                  <w:w w:val="90"/>
                </w:rPr>
                <w:t>001-38693) for the year ended December 31, 2020, filed with the SEC on February 25, 2021).</w:t>
              </w:r>
            </w:hyperlink>
          </w:p>
        </w:tc>
        <w:tc>
          <w:tcPr>
            <w:tcW w:w="306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5"/>
              </w:rPr>
              <w:t>10.27*</w:t>
            </w:r>
          </w:p>
        </w:tc>
        <w:tc>
          <w:tcPr>
            <w:tcW w:w="9880" w:type="dxa"/>
            <w:vAlign w:val="bottom"/>
            <w:gridSpan w:val="14"/>
          </w:tcPr>
          <w:p>
            <w:pPr>
              <w:spacing w:after="0"/>
              <w:rPr>
                <w:rFonts w:ascii="Arial" w:cs="Arial" w:eastAsia="Arial" w:hAnsi="Arial"/>
                <w:sz w:val="18"/>
                <w:szCs w:val="18"/>
                <w:color w:val="0000FF"/>
                <w:w w:val="92"/>
              </w:rPr>
            </w:pPr>
            <w:hyperlink r:id="rId191">
              <w:r>
                <w:rPr>
                  <w:rFonts w:ascii="Arial" w:cs="Arial" w:eastAsia="Arial" w:hAnsi="Arial"/>
                  <w:sz w:val="18"/>
                  <w:szCs w:val="18"/>
                  <w:color w:val="0000FF"/>
                  <w:w w:val="92"/>
                </w:rPr>
                <w:t>Shareholders' Agreement, dated December 14, 2020, by and among the Registrant, Overland Pharmaceuticals (CY) Inc. and Allogene</w:t>
              </w:r>
            </w:hyperlink>
          </w:p>
        </w:tc>
      </w:tr>
      <w:tr>
        <w:trPr>
          <w:trHeight w:val="183"/>
        </w:trPr>
        <w:tc>
          <w:tcPr>
            <w:tcW w:w="1000" w:type="dxa"/>
            <w:vAlign w:val="bottom"/>
          </w:tcPr>
          <w:p>
            <w:pPr>
              <w:spacing w:after="0"/>
              <w:rPr>
                <w:sz w:val="15"/>
                <w:szCs w:val="15"/>
                <w:color w:val="auto"/>
              </w:rPr>
            </w:pPr>
          </w:p>
        </w:tc>
        <w:tc>
          <w:tcPr>
            <w:tcW w:w="9640" w:type="dxa"/>
            <w:vAlign w:val="bottom"/>
            <w:tcBorders>
              <w:top w:val="single" w:sz="8" w:color="0000FF"/>
            </w:tcBorders>
            <w:gridSpan w:val="11"/>
          </w:tcPr>
          <w:p>
            <w:pPr>
              <w:spacing w:after="0" w:line="182" w:lineRule="exact"/>
              <w:rPr>
                <w:rFonts w:ascii="Arial" w:cs="Arial" w:eastAsia="Arial" w:hAnsi="Arial"/>
                <w:sz w:val="18"/>
                <w:szCs w:val="18"/>
                <w:color w:val="0000FF"/>
                <w:w w:val="93"/>
              </w:rPr>
            </w:pPr>
            <w:hyperlink r:id="rId191">
              <w:r>
                <w:rPr>
                  <w:rFonts w:ascii="Arial" w:cs="Arial" w:eastAsia="Arial" w:hAnsi="Arial"/>
                  <w:sz w:val="18"/>
                  <w:szCs w:val="18"/>
                  <w:color w:val="0000FF"/>
                  <w:w w:val="93"/>
                </w:rPr>
                <w:t>Overland Biopharm (CY) Limited (incorporated by reference to Exhibit 10.25 to the Registrant’s Annual Report on Form 10-K (File</w:t>
              </w:r>
            </w:hyperlink>
          </w:p>
        </w:tc>
        <w:tc>
          <w:tcPr>
            <w:tcW w:w="240" w:type="dxa"/>
            <w:vAlign w:val="bottom"/>
            <w:gridSpan w:val="3"/>
          </w:tcPr>
          <w:p>
            <w:pPr>
              <w:spacing w:after="0" w:line="182" w:lineRule="exact"/>
              <w:rPr>
                <w:rFonts w:ascii="Arial" w:cs="Arial" w:eastAsia="Arial" w:hAnsi="Arial"/>
                <w:sz w:val="18"/>
                <w:szCs w:val="18"/>
                <w:color w:val="0000FF"/>
                <w:w w:val="78"/>
              </w:rPr>
            </w:pPr>
            <w:hyperlink r:id="rId191">
              <w:r>
                <w:rPr>
                  <w:rFonts w:ascii="Arial" w:cs="Arial" w:eastAsia="Arial" w:hAnsi="Arial"/>
                  <w:sz w:val="18"/>
                  <w:szCs w:val="18"/>
                  <w:color w:val="0000FF"/>
                  <w:w w:val="78"/>
                </w:rPr>
                <w:t>No.</w:t>
              </w:r>
            </w:hyperlink>
          </w:p>
        </w:tc>
      </w:tr>
      <w:tr>
        <w:trPr>
          <w:trHeight w:val="183"/>
        </w:trPr>
        <w:tc>
          <w:tcPr>
            <w:tcW w:w="1000" w:type="dxa"/>
            <w:vAlign w:val="bottom"/>
          </w:tcPr>
          <w:p>
            <w:pPr>
              <w:spacing w:after="0"/>
              <w:rPr>
                <w:sz w:val="15"/>
                <w:szCs w:val="15"/>
                <w:color w:val="auto"/>
              </w:rPr>
            </w:pPr>
          </w:p>
        </w:tc>
        <w:tc>
          <w:tcPr>
            <w:tcW w:w="67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0"/>
              </w:rPr>
            </w:pPr>
            <w:hyperlink r:id="rId191">
              <w:r>
                <w:rPr>
                  <w:rFonts w:ascii="Arial" w:cs="Arial" w:eastAsia="Arial" w:hAnsi="Arial"/>
                  <w:sz w:val="18"/>
                  <w:szCs w:val="18"/>
                  <w:color w:val="0000FF"/>
                  <w:w w:val="90"/>
                </w:rPr>
                <w:t>001-38693) for the year ended December 31, 2020, filed with the SEC on February 25, 2021).</w:t>
              </w:r>
            </w:hyperlink>
          </w:p>
        </w:tc>
        <w:tc>
          <w:tcPr>
            <w:tcW w:w="308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5"/>
              </w:rPr>
              <w:t>23.1</w:t>
            </w:r>
          </w:p>
        </w:tc>
        <w:tc>
          <w:tcPr>
            <w:tcW w:w="9880" w:type="dxa"/>
            <w:vAlign w:val="bottom"/>
            <w:gridSpan w:val="14"/>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Consent of Independent Registered Public Accounting Firm.</w:t>
              </w:r>
            </w:hyperlink>
          </w:p>
        </w:tc>
      </w:tr>
      <w:tr>
        <w:trPr>
          <w:trHeight w:val="20"/>
        </w:trPr>
        <w:tc>
          <w:tcPr>
            <w:tcW w:w="10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210"/>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5"/>
              </w:rPr>
              <w:t>24.1</w:t>
            </w:r>
          </w:p>
        </w:tc>
        <w:tc>
          <w:tcPr>
            <w:tcW w:w="9880" w:type="dxa"/>
            <w:vAlign w:val="bottom"/>
            <w:gridSpan w:val="14"/>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Power of Attorney. Reference is made to the signature page hereto.</w:t>
              </w:r>
            </w:hyperlink>
          </w:p>
        </w:tc>
      </w:tr>
      <w:tr>
        <w:trPr>
          <w:trHeight w:val="20"/>
        </w:trPr>
        <w:tc>
          <w:tcPr>
            <w:tcW w:w="10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209"/>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5"/>
              </w:rPr>
              <w:t>31.1</w:t>
            </w:r>
          </w:p>
        </w:tc>
        <w:tc>
          <w:tcPr>
            <w:tcW w:w="9880" w:type="dxa"/>
            <w:vAlign w:val="bottom"/>
            <w:gridSpan w:val="14"/>
          </w:tcPr>
          <w:p>
            <w:pPr>
              <w:spacing w:after="0"/>
              <w:rPr>
                <w:rFonts w:ascii="Arial" w:cs="Arial" w:eastAsia="Arial" w:hAnsi="Arial"/>
                <w:sz w:val="18"/>
                <w:szCs w:val="18"/>
                <w:color w:val="0000FF"/>
                <w:w w:val="93"/>
              </w:rPr>
            </w:pPr>
            <w:hyperlink w:anchor="page152">
              <w:r>
                <w:rPr>
                  <w:rFonts w:ascii="Arial" w:cs="Arial" w:eastAsia="Arial" w:hAnsi="Arial"/>
                  <w:sz w:val="18"/>
                  <w:szCs w:val="18"/>
                  <w:color w:val="0000FF"/>
                  <w:w w:val="93"/>
                </w:rPr>
                <w:t>Certification of Principal Executive Officer Pursuant to Rules 13a-14(a) and 15d-14(a) under the Securities Exchange Act of 1934, as</w:t>
              </w:r>
            </w:hyperlink>
          </w:p>
        </w:tc>
      </w:tr>
      <w:tr>
        <w:trPr>
          <w:trHeight w:val="156"/>
        </w:trPr>
        <w:tc>
          <w:tcPr>
            <w:tcW w:w="1000" w:type="dxa"/>
            <w:vAlign w:val="bottom"/>
          </w:tcPr>
          <w:p>
            <w:pPr>
              <w:spacing w:after="0"/>
              <w:rPr>
                <w:sz w:val="13"/>
                <w:szCs w:val="13"/>
                <w:color w:val="auto"/>
              </w:rPr>
            </w:pPr>
          </w:p>
        </w:tc>
        <w:tc>
          <w:tcPr>
            <w:tcW w:w="96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152">
              <w:r>
                <w:rPr>
                  <w:rFonts w:ascii="Arial" w:cs="Arial" w:eastAsia="Arial" w:hAnsi="Arial"/>
                  <w:sz w:val="18"/>
                  <w:szCs w:val="18"/>
                  <w:color w:val="0000FF"/>
                </w:rPr>
                <w:t>Adopted Pursuant to Section 302 of the Sarbanes-Oxley Act of 2002.</w:t>
              </w:r>
            </w:hyperlink>
          </w:p>
        </w:tc>
        <w:tc>
          <w:tcPr>
            <w:tcW w:w="260" w:type="dxa"/>
            <w:vAlign w:val="bottom"/>
            <w:gridSpan w:val="4"/>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09"/>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5"/>
              </w:rPr>
              <w:t>31.2</w:t>
            </w:r>
          </w:p>
        </w:tc>
        <w:tc>
          <w:tcPr>
            <w:tcW w:w="9880" w:type="dxa"/>
            <w:vAlign w:val="bottom"/>
            <w:gridSpan w:val="14"/>
          </w:tcPr>
          <w:p>
            <w:pPr>
              <w:spacing w:after="0"/>
              <w:rPr>
                <w:rFonts w:ascii="Arial" w:cs="Arial" w:eastAsia="Arial" w:hAnsi="Arial"/>
                <w:sz w:val="18"/>
                <w:szCs w:val="18"/>
                <w:color w:val="0000FF"/>
                <w:w w:val="94"/>
              </w:rPr>
            </w:pPr>
            <w:hyperlink w:anchor="page153">
              <w:r>
                <w:rPr>
                  <w:rFonts w:ascii="Arial" w:cs="Arial" w:eastAsia="Arial" w:hAnsi="Arial"/>
                  <w:sz w:val="18"/>
                  <w:szCs w:val="18"/>
                  <w:color w:val="0000FF"/>
                  <w:w w:val="94"/>
                </w:rPr>
                <w:t>Certification of Principal Financial Officer Pursuant to Rules 13a-14(a) and 15d-14(a) under the Securities Exchange Act of 1934, as</w:t>
              </w:r>
            </w:hyperlink>
          </w:p>
        </w:tc>
      </w:tr>
      <w:tr>
        <w:trPr>
          <w:trHeight w:val="156"/>
        </w:trPr>
        <w:tc>
          <w:tcPr>
            <w:tcW w:w="1000" w:type="dxa"/>
            <w:vAlign w:val="bottom"/>
          </w:tcPr>
          <w:p>
            <w:pPr>
              <w:spacing w:after="0"/>
              <w:rPr>
                <w:sz w:val="13"/>
                <w:szCs w:val="13"/>
                <w:color w:val="auto"/>
              </w:rPr>
            </w:pPr>
          </w:p>
        </w:tc>
        <w:tc>
          <w:tcPr>
            <w:tcW w:w="95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153">
              <w:r>
                <w:rPr>
                  <w:rFonts w:ascii="Arial" w:cs="Arial" w:eastAsia="Arial" w:hAnsi="Arial"/>
                  <w:sz w:val="18"/>
                  <w:szCs w:val="18"/>
                  <w:color w:val="0000FF"/>
                </w:rPr>
                <w:t>Adopted Pursuant to Section 302 of the Sarbanes-Oxley Act of 2002.</w:t>
              </w:r>
            </w:hyperlink>
          </w:p>
        </w:tc>
        <w:tc>
          <w:tcPr>
            <w:tcW w:w="20" w:type="dxa"/>
            <w:vAlign w:val="bottom"/>
          </w:tcPr>
          <w:p>
            <w:pPr>
              <w:spacing w:after="0"/>
              <w:rPr>
                <w:sz w:val="13"/>
                <w:szCs w:val="13"/>
                <w:color w:val="auto"/>
              </w:rPr>
            </w:pPr>
          </w:p>
        </w:tc>
        <w:tc>
          <w:tcPr>
            <w:tcW w:w="280" w:type="dxa"/>
            <w:vAlign w:val="bottom"/>
            <w:gridSpan w:val="5"/>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09"/>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5"/>
              </w:rPr>
              <w:t>32.1</w:t>
            </w:r>
          </w:p>
        </w:tc>
        <w:tc>
          <w:tcPr>
            <w:tcW w:w="9880" w:type="dxa"/>
            <w:vAlign w:val="bottom"/>
            <w:gridSpan w:val="14"/>
          </w:tcPr>
          <w:p>
            <w:pPr>
              <w:spacing w:after="0"/>
              <w:rPr>
                <w:rFonts w:ascii="Arial" w:cs="Arial" w:eastAsia="Arial" w:hAnsi="Arial"/>
                <w:sz w:val="18"/>
                <w:szCs w:val="18"/>
                <w:color w:val="0000FF"/>
                <w:w w:val="93"/>
              </w:rPr>
            </w:pPr>
            <w:hyperlink w:anchor="page154">
              <w:r>
                <w:rPr>
                  <w:rFonts w:ascii="Arial" w:cs="Arial" w:eastAsia="Arial" w:hAnsi="Arial"/>
                  <w:sz w:val="18"/>
                  <w:szCs w:val="18"/>
                  <w:color w:val="0000FF"/>
                  <w:w w:val="93"/>
                </w:rPr>
                <w:t>Certification of Principal Executive Officer Pursuant to 18 U.S.C. Section 1350, as Adopted Pursuant to Section 906 of the Sarbanes-</w:t>
              </w:r>
            </w:hyperlink>
          </w:p>
        </w:tc>
      </w:tr>
      <w:tr>
        <w:trPr>
          <w:trHeight w:val="155"/>
        </w:trPr>
        <w:tc>
          <w:tcPr>
            <w:tcW w:w="100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154">
              <w:r>
                <w:rPr>
                  <w:rFonts w:ascii="Arial" w:cs="Arial" w:eastAsia="Arial" w:hAnsi="Arial"/>
                  <w:sz w:val="18"/>
                  <w:szCs w:val="18"/>
                  <w:color w:val="0000FF"/>
                  <w:w w:val="93"/>
                </w:rPr>
                <w:t>Oxley Act of 2002.</w:t>
              </w:r>
            </w:hyperlink>
          </w:p>
        </w:tc>
        <w:tc>
          <w:tcPr>
            <w:tcW w:w="8200" w:type="dxa"/>
            <w:vAlign w:val="bottom"/>
            <w:tcBorders>
              <w:top w:val="single" w:sz="8" w:color="0000FF"/>
            </w:tcBorders>
            <w:gridSpan w:val="8"/>
          </w:tcPr>
          <w:p>
            <w:pPr>
              <w:spacing w:after="0"/>
              <w:rPr>
                <w:sz w:val="13"/>
                <w:szCs w:val="13"/>
                <w:color w:val="auto"/>
              </w:rPr>
            </w:pPr>
          </w:p>
        </w:tc>
        <w:tc>
          <w:tcPr>
            <w:tcW w:w="280" w:type="dxa"/>
            <w:vAlign w:val="bottom"/>
            <w:gridSpan w:val="5"/>
          </w:tcPr>
          <w:p>
            <w:pPr>
              <w:spacing w:after="0"/>
              <w:rPr>
                <w:sz w:val="13"/>
                <w:szCs w:val="13"/>
                <w:color w:val="auto"/>
              </w:rPr>
            </w:pPr>
          </w:p>
        </w:tc>
      </w:tr>
      <w:tr>
        <w:trPr>
          <w:trHeight w:val="210"/>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5"/>
              </w:rPr>
              <w:t>32.2</w:t>
            </w:r>
          </w:p>
        </w:tc>
        <w:tc>
          <w:tcPr>
            <w:tcW w:w="9880" w:type="dxa"/>
            <w:vAlign w:val="bottom"/>
            <w:gridSpan w:val="14"/>
          </w:tcPr>
          <w:p>
            <w:pPr>
              <w:spacing w:after="0"/>
              <w:rPr>
                <w:rFonts w:ascii="Arial" w:cs="Arial" w:eastAsia="Arial" w:hAnsi="Arial"/>
                <w:sz w:val="18"/>
                <w:szCs w:val="18"/>
                <w:color w:val="0000FF"/>
                <w:w w:val="93"/>
              </w:rPr>
            </w:pPr>
            <w:hyperlink w:anchor="page155">
              <w:r>
                <w:rPr>
                  <w:rFonts w:ascii="Arial" w:cs="Arial" w:eastAsia="Arial" w:hAnsi="Arial"/>
                  <w:sz w:val="18"/>
                  <w:szCs w:val="18"/>
                  <w:color w:val="0000FF"/>
                  <w:w w:val="93"/>
                </w:rPr>
                <w:t>Certification of Principal Financial Officer Pursuant to 18 U.S.C. Section 1350, as Adopted Pursuant to Section 906 of the Sarbanes-</w:t>
              </w:r>
            </w:hyperlink>
          </w:p>
        </w:tc>
      </w:tr>
      <w:tr>
        <w:trPr>
          <w:trHeight w:val="155"/>
        </w:trPr>
        <w:tc>
          <w:tcPr>
            <w:tcW w:w="100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155">
              <w:r>
                <w:rPr>
                  <w:rFonts w:ascii="Arial" w:cs="Arial" w:eastAsia="Arial" w:hAnsi="Arial"/>
                  <w:sz w:val="18"/>
                  <w:szCs w:val="18"/>
                  <w:color w:val="0000FF"/>
                  <w:w w:val="93"/>
                </w:rPr>
                <w:t>Oxley Act of 2002.</w:t>
              </w:r>
            </w:hyperlink>
          </w:p>
        </w:tc>
        <w:tc>
          <w:tcPr>
            <w:tcW w:w="8160" w:type="dxa"/>
            <w:vAlign w:val="bottom"/>
            <w:tcBorders>
              <w:top w:val="single" w:sz="8" w:color="0000FF"/>
            </w:tcBorders>
            <w:gridSpan w:val="6"/>
          </w:tcPr>
          <w:p>
            <w:pPr>
              <w:spacing w:after="0"/>
              <w:rPr>
                <w:sz w:val="13"/>
                <w:szCs w:val="13"/>
                <w:color w:val="auto"/>
              </w:rPr>
            </w:pPr>
          </w:p>
        </w:tc>
        <w:tc>
          <w:tcPr>
            <w:tcW w:w="320" w:type="dxa"/>
            <w:vAlign w:val="bottom"/>
            <w:gridSpan w:val="7"/>
          </w:tcPr>
          <w:p>
            <w:pPr>
              <w:spacing w:after="0"/>
              <w:rPr>
                <w:sz w:val="13"/>
                <w:szCs w:val="13"/>
                <w:color w:val="auto"/>
              </w:rPr>
            </w:pPr>
          </w:p>
        </w:tc>
      </w:tr>
      <w:tr>
        <w:trPr>
          <w:trHeight w:val="249"/>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5"/>
              </w:rPr>
              <w:t>101.INS</w:t>
            </w:r>
          </w:p>
        </w:tc>
        <w:tc>
          <w:tcPr>
            <w:tcW w:w="988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r>
      <w:tr>
        <w:trPr>
          <w:trHeight w:val="229"/>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0"/>
              </w:rPr>
              <w:t>101.SCH</w:t>
            </w:r>
          </w:p>
        </w:tc>
        <w:tc>
          <w:tcPr>
            <w:tcW w:w="988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4"/>
              </w:rPr>
              <w:t>101.CAL</w:t>
            </w:r>
          </w:p>
        </w:tc>
        <w:tc>
          <w:tcPr>
            <w:tcW w:w="988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2"/>
              </w:rPr>
              <w:t>101.DEF</w:t>
            </w:r>
          </w:p>
        </w:tc>
        <w:tc>
          <w:tcPr>
            <w:tcW w:w="988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5"/>
              </w:rPr>
              <w:t>101.LAB</w:t>
            </w:r>
          </w:p>
        </w:tc>
        <w:tc>
          <w:tcPr>
            <w:tcW w:w="988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1"/>
              </w:rPr>
              <w:t>101.PRE</w:t>
            </w:r>
          </w:p>
        </w:tc>
        <w:tc>
          <w:tcPr>
            <w:tcW w:w="988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6"/>
              </w:rPr>
              <w:t>104</w:t>
            </w:r>
          </w:p>
        </w:tc>
        <w:tc>
          <w:tcPr>
            <w:tcW w:w="9880" w:type="dxa"/>
            <w:vAlign w:val="bottom"/>
            <w:gridSpan w:val="14"/>
          </w:tcPr>
          <w:p>
            <w:pPr>
              <w:spacing w:after="0"/>
              <w:rPr>
                <w:sz w:val="20"/>
                <w:szCs w:val="20"/>
                <w:color w:val="auto"/>
              </w:rPr>
            </w:pPr>
            <w:r>
              <w:rPr>
                <w:rFonts w:ascii="Arial" w:cs="Arial" w:eastAsia="Arial" w:hAnsi="Arial"/>
                <w:sz w:val="18"/>
                <w:szCs w:val="18"/>
                <w:color w:val="auto"/>
              </w:rPr>
              <w:t>The cover page of the Company’s Annual Report on Form 10-K has been formatted in Inline XBRL.</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660" w:right="520" w:hanging="652"/>
        <w:spacing w:after="0" w:line="250" w:lineRule="auto"/>
        <w:tabs>
          <w:tab w:leader="none" w:pos="6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1" w:lineRule="exact"/>
        <w:rPr>
          <w:sz w:val="20"/>
          <w:szCs w:val="20"/>
          <w:color w:val="auto"/>
        </w:rPr>
      </w:pPr>
    </w:p>
    <w:p>
      <w:pPr>
        <w:ind w:left="660" w:right="580" w:hanging="652"/>
        <w:spacing w:after="0" w:line="242" w:lineRule="auto"/>
        <w:tabs>
          <w:tab w:leader="none" w:pos="64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as the Registrant has determined (i) the omitted information is not material and (ii) the omitted information would likely cause harm to the Registrant if publicly disclosed.</w:t>
      </w:r>
    </w:p>
    <w:p>
      <w:pPr>
        <w:spacing w:after="0" w:line="1" w:lineRule="exact"/>
        <w:rPr>
          <w:sz w:val="20"/>
          <w:szCs w:val="20"/>
          <w:color w:val="auto"/>
        </w:rPr>
      </w:pPr>
    </w:p>
    <w:p>
      <w:pPr>
        <w:ind w:left="660" w:hanging="652"/>
        <w:spacing w:after="0" w:line="276" w:lineRule="auto"/>
        <w:tabs>
          <w:tab w:leader="none" w:pos="6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 The Registrant undertakes to furnish supplemental copies of any of the omitted schedules to the SEC upon request.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305"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 in South San Francisco, California, on February 23, 2022.</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Allogene Therapeutics, Inc.</w:t>
      </w:r>
    </w:p>
    <w:p>
      <w:pPr>
        <w:spacing w:after="0" w:line="283" w:lineRule="exact"/>
        <w:rPr>
          <w:sz w:val="20"/>
          <w:szCs w:val="20"/>
          <w:color w:val="auto"/>
        </w:rPr>
      </w:pPr>
    </w:p>
    <w:p>
      <w:pPr>
        <w:ind w:left="554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Chang,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486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David Chang, M.D., Ph.D.</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President, Chief Executive Officer and Member of the Board of</w:t>
      </w:r>
    </w:p>
    <w:p>
      <w:pPr>
        <w:ind w:left="6140"/>
        <w:spacing w:after="0"/>
        <w:rPr>
          <w:sz w:val="20"/>
          <w:szCs w:val="20"/>
          <w:color w:val="auto"/>
        </w:rPr>
      </w:pPr>
      <w:r>
        <w:rPr>
          <w:rFonts w:ascii="Arial" w:cs="Arial" w:eastAsia="Arial" w:hAnsi="Arial"/>
          <w:sz w:val="18"/>
          <w:szCs w:val="18"/>
          <w:color w:val="auto"/>
        </w:rPr>
        <w:t>Directors</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4"/>
          <w:szCs w:val="14"/>
          <w:color w:val="auto"/>
        </w:rPr>
        <w: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David Chang, M.D., Ph.D. and Eric Schmidt, Ph.D., and each of them, as his or her true and lawful attorneys-in-fact and agents, each with the full power of substitution, for him or her and in his or her name, place or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tbl>
      <w:tblPr>
        <w:tblLayout w:type="fixed"/>
        <w:tblInd w:w="0" w:type="dxa"/>
        <w:tblCellMar>
          <w:top w:w="0" w:type="dxa"/>
          <w:left w:w="0" w:type="dxa"/>
          <w:bottom w:w="0" w:type="dxa"/>
          <w:right w:w="0" w:type="dxa"/>
        </w:tblCellMar>
      </w:tblPr>
      <w:tr>
        <w:trPr>
          <w:trHeight w:val="188"/>
        </w:trPr>
        <w:tc>
          <w:tcPr>
            <w:tcW w:w="3000" w:type="dxa"/>
            <w:vAlign w:val="bottom"/>
            <w:tcBorders>
              <w:bottom w:val="single" w:sz="8" w:color="auto"/>
            </w:tcBorders>
          </w:tcPr>
          <w:p>
            <w:pPr>
              <w:jc w:val="center"/>
              <w:ind w:left="571"/>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6120" w:type="dxa"/>
            <w:vAlign w:val="bottom"/>
            <w:tcBorders>
              <w:bottom w:val="single" w:sz="8" w:color="auto"/>
            </w:tcBorders>
          </w:tcPr>
          <w:p>
            <w:pPr>
              <w:jc w:val="center"/>
              <w:ind w:left="551"/>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ind w:left="571"/>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1"/>
        </w:trPr>
        <w:tc>
          <w:tcPr>
            <w:tcW w:w="3000" w:type="dxa"/>
            <w:vAlign w:val="bottom"/>
            <w:vMerge w:val="restart"/>
          </w:tcPr>
          <w:p>
            <w:pPr>
              <w:jc w:val="center"/>
              <w:ind w:left="571"/>
              <w:spacing w:after="0"/>
              <w:rPr>
                <w:sz w:val="20"/>
                <w:szCs w:val="20"/>
                <w:color w:val="auto"/>
              </w:rPr>
            </w:pPr>
            <w:r>
              <w:rPr>
                <w:rFonts w:ascii="Arial" w:cs="Arial" w:eastAsia="Arial" w:hAnsi="Arial"/>
                <w:sz w:val="18"/>
                <w:szCs w:val="18"/>
                <w:color w:val="auto"/>
                <w:w w:val="92"/>
              </w:rPr>
              <w:t>/s/ David Chang, M.D., Ph.D.</w:t>
            </w:r>
          </w:p>
        </w:tc>
        <w:tc>
          <w:tcPr>
            <w:tcW w:w="120" w:type="dxa"/>
            <w:vAlign w:val="bottom"/>
          </w:tcPr>
          <w:p>
            <w:pPr>
              <w:spacing w:after="0"/>
              <w:rPr>
                <w:sz w:val="18"/>
                <w:szCs w:val="18"/>
                <w:color w:val="auto"/>
              </w:rPr>
            </w:pPr>
          </w:p>
        </w:tc>
        <w:tc>
          <w:tcPr>
            <w:tcW w:w="6220" w:type="dxa"/>
            <w:vAlign w:val="bottom"/>
            <w:gridSpan w:val="2"/>
          </w:tcPr>
          <w:p>
            <w:pPr>
              <w:jc w:val="center"/>
              <w:ind w:left="411"/>
              <w:spacing w:after="0"/>
              <w:rPr>
                <w:sz w:val="20"/>
                <w:szCs w:val="20"/>
                <w:color w:val="auto"/>
              </w:rPr>
            </w:pPr>
            <w:r>
              <w:rPr>
                <w:rFonts w:ascii="Arial" w:cs="Arial" w:eastAsia="Arial" w:hAnsi="Arial"/>
                <w:sz w:val="18"/>
                <w:szCs w:val="18"/>
                <w:color w:val="auto"/>
                <w:w w:val="92"/>
              </w:rPr>
              <w:t>President, Chief Executive Officer</w:t>
            </w:r>
          </w:p>
        </w:tc>
        <w:tc>
          <w:tcPr>
            <w:tcW w:w="1900" w:type="dxa"/>
            <w:vAlign w:val="bottom"/>
          </w:tcPr>
          <w:p>
            <w:pPr>
              <w:jc w:val="center"/>
              <w:ind w:left="571"/>
              <w:spacing w:after="0"/>
              <w:rPr>
                <w:sz w:val="20"/>
                <w:szCs w:val="20"/>
                <w:color w:val="auto"/>
              </w:rPr>
            </w:pPr>
            <w:r>
              <w:rPr>
                <w:rFonts w:ascii="Arial" w:cs="Arial" w:eastAsia="Arial" w:hAnsi="Arial"/>
                <w:sz w:val="18"/>
                <w:szCs w:val="18"/>
                <w:color w:val="auto"/>
                <w:w w:val="90"/>
              </w:rPr>
              <w:t>February 23,</w:t>
            </w: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220" w:type="dxa"/>
            <w:vAlign w:val="bottom"/>
            <w:gridSpan w:val="2"/>
          </w:tcPr>
          <w:p>
            <w:pPr>
              <w:ind w:left="1680"/>
              <w:spacing w:after="0"/>
              <w:rPr>
                <w:sz w:val="20"/>
                <w:szCs w:val="20"/>
                <w:color w:val="auto"/>
              </w:rPr>
            </w:pPr>
            <w:r>
              <w:rPr>
                <w:rFonts w:ascii="Arial" w:cs="Arial" w:eastAsia="Arial" w:hAnsi="Arial"/>
                <w:sz w:val="18"/>
                <w:szCs w:val="18"/>
                <w:color w:val="auto"/>
              </w:rPr>
              <w:t>and Member of the Board of Directors</w:t>
            </w:r>
          </w:p>
        </w:tc>
        <w:tc>
          <w:tcPr>
            <w:tcW w:w="1900" w:type="dxa"/>
            <w:vAlign w:val="bottom"/>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000" w:type="dxa"/>
            <w:vAlign w:val="bottom"/>
          </w:tcPr>
          <w:p>
            <w:pPr>
              <w:jc w:val="center"/>
              <w:ind w:left="571"/>
              <w:spacing w:after="0"/>
              <w:rPr>
                <w:sz w:val="20"/>
                <w:szCs w:val="20"/>
                <w:color w:val="auto"/>
              </w:rPr>
            </w:pPr>
            <w:r>
              <w:rPr>
                <w:rFonts w:ascii="Arial" w:cs="Arial" w:eastAsia="Arial" w:hAnsi="Arial"/>
                <w:sz w:val="18"/>
                <w:szCs w:val="18"/>
                <w:color w:val="auto"/>
                <w:w w:val="93"/>
              </w:rPr>
              <w:t>David Chang, M.D., Ph.D.</w:t>
            </w:r>
          </w:p>
        </w:tc>
        <w:tc>
          <w:tcPr>
            <w:tcW w:w="120" w:type="dxa"/>
            <w:vAlign w:val="bottom"/>
          </w:tcPr>
          <w:p>
            <w:pPr>
              <w:spacing w:after="0"/>
              <w:rPr>
                <w:sz w:val="19"/>
                <w:szCs w:val="19"/>
                <w:color w:val="auto"/>
              </w:rPr>
            </w:pPr>
          </w:p>
        </w:tc>
        <w:tc>
          <w:tcPr>
            <w:tcW w:w="6220" w:type="dxa"/>
            <w:vAlign w:val="bottom"/>
            <w:gridSpan w:val="2"/>
          </w:tcPr>
          <w:p>
            <w:pPr>
              <w:jc w:val="center"/>
              <w:ind w:left="471"/>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vMerge w:val="restart"/>
          </w:tcPr>
          <w:p>
            <w:pPr>
              <w:jc w:val="center"/>
              <w:ind w:left="571"/>
              <w:spacing w:after="0"/>
              <w:rPr>
                <w:sz w:val="20"/>
                <w:szCs w:val="20"/>
                <w:color w:val="auto"/>
              </w:rPr>
            </w:pPr>
            <w:r>
              <w:rPr>
                <w:rFonts w:ascii="Arial" w:cs="Arial" w:eastAsia="Arial" w:hAnsi="Arial"/>
                <w:sz w:val="18"/>
                <w:szCs w:val="18"/>
                <w:color w:val="auto"/>
                <w:w w:val="92"/>
              </w:rPr>
              <w:t>/s/ Eric Schmidt, Ph.D.</w:t>
            </w:r>
          </w:p>
        </w:tc>
        <w:tc>
          <w:tcPr>
            <w:tcW w:w="120" w:type="dxa"/>
            <w:vAlign w:val="bottom"/>
          </w:tcPr>
          <w:p>
            <w:pPr>
              <w:spacing w:after="0"/>
              <w:rPr>
                <w:sz w:val="19"/>
                <w:szCs w:val="19"/>
                <w:color w:val="auto"/>
              </w:rPr>
            </w:pPr>
          </w:p>
        </w:tc>
        <w:tc>
          <w:tcPr>
            <w:tcW w:w="6220" w:type="dxa"/>
            <w:vAlign w:val="bottom"/>
            <w:gridSpan w:val="2"/>
          </w:tcPr>
          <w:p>
            <w:pPr>
              <w:jc w:val="center"/>
              <w:ind w:left="451"/>
              <w:spacing w:after="0"/>
              <w:rPr>
                <w:sz w:val="20"/>
                <w:szCs w:val="20"/>
                <w:color w:val="auto"/>
              </w:rPr>
            </w:pPr>
            <w:r>
              <w:rPr>
                <w:rFonts w:ascii="Arial" w:cs="Arial" w:eastAsia="Arial" w:hAnsi="Arial"/>
                <w:sz w:val="18"/>
                <w:szCs w:val="18"/>
                <w:color w:val="auto"/>
                <w:w w:val="94"/>
              </w:rPr>
              <w:t>Chief Financial Officer</w:t>
            </w:r>
          </w:p>
        </w:tc>
        <w:tc>
          <w:tcPr>
            <w:tcW w:w="1900" w:type="dxa"/>
            <w:vAlign w:val="bottom"/>
          </w:tcPr>
          <w:p>
            <w:pPr>
              <w:jc w:val="center"/>
              <w:ind w:left="571"/>
              <w:spacing w:after="0"/>
              <w:rPr>
                <w:sz w:val="20"/>
                <w:szCs w:val="20"/>
                <w:color w:val="auto"/>
              </w:rPr>
            </w:pPr>
            <w:r>
              <w:rPr>
                <w:rFonts w:ascii="Arial" w:cs="Arial" w:eastAsia="Arial" w:hAnsi="Arial"/>
                <w:sz w:val="18"/>
                <w:szCs w:val="18"/>
                <w:color w:val="auto"/>
                <w:w w:val="90"/>
              </w:rPr>
              <w:t>February 23,</w:t>
            </w:r>
          </w:p>
        </w:tc>
        <w:tc>
          <w:tcPr>
            <w:tcW w:w="0" w:type="dxa"/>
            <w:vAlign w:val="bottom"/>
          </w:tcPr>
          <w:p>
            <w:pPr>
              <w:spacing w:after="0"/>
              <w:rPr>
                <w:sz w:val="1"/>
                <w:szCs w:val="1"/>
                <w:color w:val="auto"/>
              </w:rPr>
            </w:pPr>
          </w:p>
        </w:tc>
      </w:tr>
      <w:tr>
        <w:trPr>
          <w:trHeight w:val="235"/>
        </w:trPr>
        <w:tc>
          <w:tcPr>
            <w:tcW w:w="3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000" w:type="dxa"/>
            <w:vAlign w:val="bottom"/>
          </w:tcPr>
          <w:p>
            <w:pPr>
              <w:jc w:val="center"/>
              <w:ind w:left="571"/>
              <w:spacing w:after="0"/>
              <w:rPr>
                <w:sz w:val="20"/>
                <w:szCs w:val="20"/>
                <w:color w:val="auto"/>
              </w:rPr>
            </w:pPr>
            <w:r>
              <w:rPr>
                <w:rFonts w:ascii="Arial" w:cs="Arial" w:eastAsia="Arial" w:hAnsi="Arial"/>
                <w:sz w:val="18"/>
                <w:szCs w:val="18"/>
                <w:color w:val="auto"/>
                <w:w w:val="93"/>
              </w:rPr>
              <w:t>Eric Schmidt, Ph.D.</w:t>
            </w:r>
          </w:p>
        </w:tc>
        <w:tc>
          <w:tcPr>
            <w:tcW w:w="120" w:type="dxa"/>
            <w:vAlign w:val="bottom"/>
          </w:tcPr>
          <w:p>
            <w:pPr>
              <w:spacing w:after="0"/>
              <w:rPr>
                <w:sz w:val="19"/>
                <w:szCs w:val="19"/>
                <w:color w:val="auto"/>
              </w:rPr>
            </w:pPr>
          </w:p>
        </w:tc>
        <w:tc>
          <w:tcPr>
            <w:tcW w:w="6220" w:type="dxa"/>
            <w:vAlign w:val="bottom"/>
            <w:gridSpan w:val="2"/>
          </w:tcPr>
          <w:p>
            <w:pPr>
              <w:jc w:val="center"/>
              <w:ind w:left="451"/>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jc w:val="center"/>
              <w:ind w:left="571"/>
              <w:spacing w:after="0"/>
              <w:rPr>
                <w:sz w:val="20"/>
                <w:szCs w:val="20"/>
                <w:color w:val="auto"/>
              </w:rPr>
            </w:pPr>
            <w:r>
              <w:rPr>
                <w:rFonts w:ascii="Arial" w:cs="Arial" w:eastAsia="Arial" w:hAnsi="Arial"/>
                <w:sz w:val="18"/>
                <w:szCs w:val="18"/>
                <w:color w:val="auto"/>
                <w:w w:val="94"/>
              </w:rPr>
              <w:t>/s/ Arie Belldegrun, M.D.,</w:t>
            </w:r>
          </w:p>
        </w:tc>
        <w:tc>
          <w:tcPr>
            <w:tcW w:w="120" w:type="dxa"/>
            <w:vAlign w:val="bottom"/>
          </w:tcPr>
          <w:p>
            <w:pPr>
              <w:spacing w:after="0"/>
              <w:rPr>
                <w:sz w:val="19"/>
                <w:szCs w:val="19"/>
                <w:color w:val="auto"/>
              </w:rPr>
            </w:pPr>
          </w:p>
        </w:tc>
        <w:tc>
          <w:tcPr>
            <w:tcW w:w="6220" w:type="dxa"/>
            <w:vAlign w:val="bottom"/>
            <w:gridSpan w:val="2"/>
          </w:tcPr>
          <w:p>
            <w:pPr>
              <w:jc w:val="center"/>
              <w:ind w:left="471"/>
              <w:spacing w:after="0"/>
              <w:rPr>
                <w:sz w:val="20"/>
                <w:szCs w:val="20"/>
                <w:color w:val="auto"/>
              </w:rPr>
            </w:pPr>
            <w:r>
              <w:rPr>
                <w:rFonts w:ascii="Arial" w:cs="Arial" w:eastAsia="Arial" w:hAnsi="Arial"/>
                <w:sz w:val="18"/>
                <w:szCs w:val="18"/>
                <w:color w:val="auto"/>
                <w:w w:val="92"/>
              </w:rPr>
              <w:t>Executive Chair of the Board of Directors</w:t>
            </w:r>
          </w:p>
        </w:tc>
        <w:tc>
          <w:tcPr>
            <w:tcW w:w="1900" w:type="dxa"/>
            <w:vAlign w:val="bottom"/>
          </w:tcPr>
          <w:p>
            <w:pPr>
              <w:jc w:val="center"/>
              <w:ind w:left="571"/>
              <w:spacing w:after="0"/>
              <w:rPr>
                <w:sz w:val="20"/>
                <w:szCs w:val="20"/>
                <w:color w:val="auto"/>
              </w:rPr>
            </w:pPr>
            <w:r>
              <w:rPr>
                <w:rFonts w:ascii="Arial" w:cs="Arial" w:eastAsia="Arial" w:hAnsi="Arial"/>
                <w:sz w:val="18"/>
                <w:szCs w:val="18"/>
                <w:color w:val="auto"/>
                <w:w w:val="90"/>
              </w:rPr>
              <w:t>February 23,</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FACS</w:t>
            </w: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000" w:type="dxa"/>
            <w:vAlign w:val="bottom"/>
          </w:tcPr>
          <w:p>
            <w:pPr>
              <w:jc w:val="center"/>
              <w:ind w:left="591"/>
              <w:spacing w:after="0"/>
              <w:rPr>
                <w:sz w:val="20"/>
                <w:szCs w:val="20"/>
                <w:color w:val="auto"/>
              </w:rPr>
            </w:pPr>
            <w:r>
              <w:rPr>
                <w:rFonts w:ascii="Arial" w:cs="Arial" w:eastAsia="Arial" w:hAnsi="Arial"/>
                <w:sz w:val="18"/>
                <w:szCs w:val="18"/>
                <w:color w:val="auto"/>
                <w:w w:val="94"/>
              </w:rPr>
              <w:t>Arie Belldegrun, M.D., FACS</w:t>
            </w: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vMerge w:val="restart"/>
          </w:tcPr>
          <w:p>
            <w:pPr>
              <w:jc w:val="center"/>
              <w:ind w:left="591"/>
              <w:spacing w:after="0"/>
              <w:rPr>
                <w:sz w:val="20"/>
                <w:szCs w:val="20"/>
                <w:color w:val="auto"/>
              </w:rPr>
            </w:pPr>
            <w:r>
              <w:rPr>
                <w:rFonts w:ascii="Arial" w:cs="Arial" w:eastAsia="Arial" w:hAnsi="Arial"/>
                <w:sz w:val="18"/>
                <w:szCs w:val="18"/>
                <w:color w:val="auto"/>
                <w:w w:val="91"/>
              </w:rPr>
              <w:t>/s/ Elizabeth Barrett</w:t>
            </w:r>
          </w:p>
        </w:tc>
        <w:tc>
          <w:tcPr>
            <w:tcW w:w="120" w:type="dxa"/>
            <w:vAlign w:val="bottom"/>
          </w:tcPr>
          <w:p>
            <w:pPr>
              <w:spacing w:after="0"/>
              <w:rPr>
                <w:sz w:val="19"/>
                <w:szCs w:val="19"/>
                <w:color w:val="auto"/>
              </w:rPr>
            </w:pPr>
          </w:p>
        </w:tc>
        <w:tc>
          <w:tcPr>
            <w:tcW w:w="6220" w:type="dxa"/>
            <w:vAlign w:val="bottom"/>
            <w:gridSpan w:val="2"/>
          </w:tcPr>
          <w:p>
            <w:pPr>
              <w:jc w:val="center"/>
              <w:ind w:left="451"/>
              <w:spacing w:after="0"/>
              <w:rPr>
                <w:sz w:val="20"/>
                <w:szCs w:val="20"/>
                <w:color w:val="auto"/>
              </w:rPr>
            </w:pPr>
            <w:r>
              <w:rPr>
                <w:rFonts w:ascii="Arial" w:cs="Arial" w:eastAsia="Arial" w:hAnsi="Arial"/>
                <w:sz w:val="18"/>
                <w:szCs w:val="18"/>
                <w:color w:val="auto"/>
                <w:w w:val="93"/>
              </w:rPr>
              <w:t>Member of the Board of Directors</w:t>
            </w:r>
          </w:p>
        </w:tc>
        <w:tc>
          <w:tcPr>
            <w:tcW w:w="1900" w:type="dxa"/>
            <w:vAlign w:val="bottom"/>
          </w:tcPr>
          <w:p>
            <w:pPr>
              <w:jc w:val="center"/>
              <w:ind w:left="571"/>
              <w:spacing w:after="0"/>
              <w:rPr>
                <w:sz w:val="20"/>
                <w:szCs w:val="20"/>
                <w:color w:val="auto"/>
              </w:rPr>
            </w:pPr>
            <w:r>
              <w:rPr>
                <w:rFonts w:ascii="Arial" w:cs="Arial" w:eastAsia="Arial" w:hAnsi="Arial"/>
                <w:sz w:val="18"/>
                <w:szCs w:val="18"/>
                <w:color w:val="auto"/>
                <w:w w:val="90"/>
              </w:rPr>
              <w:t>February 23,</w:t>
            </w: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000" w:type="dxa"/>
            <w:vAlign w:val="bottom"/>
          </w:tcPr>
          <w:p>
            <w:pPr>
              <w:jc w:val="center"/>
              <w:ind w:left="571"/>
              <w:spacing w:after="0"/>
              <w:rPr>
                <w:sz w:val="20"/>
                <w:szCs w:val="20"/>
                <w:color w:val="auto"/>
              </w:rPr>
            </w:pPr>
            <w:r>
              <w:rPr>
                <w:rFonts w:ascii="Arial" w:cs="Arial" w:eastAsia="Arial" w:hAnsi="Arial"/>
                <w:sz w:val="18"/>
                <w:szCs w:val="18"/>
                <w:color w:val="auto"/>
                <w:w w:val="91"/>
              </w:rPr>
              <w:t>Elizabeth Barrett</w:t>
            </w: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vMerge w:val="restart"/>
          </w:tcPr>
          <w:p>
            <w:pPr>
              <w:jc w:val="center"/>
              <w:ind w:left="571"/>
              <w:spacing w:after="0"/>
              <w:rPr>
                <w:sz w:val="20"/>
                <w:szCs w:val="20"/>
                <w:color w:val="auto"/>
              </w:rPr>
            </w:pPr>
            <w:r>
              <w:rPr>
                <w:rFonts w:ascii="Arial" w:cs="Arial" w:eastAsia="Arial" w:hAnsi="Arial"/>
                <w:sz w:val="18"/>
                <w:szCs w:val="18"/>
                <w:color w:val="auto"/>
                <w:w w:val="91"/>
              </w:rPr>
              <w:t>/s/ David Bonderman</w:t>
            </w:r>
          </w:p>
        </w:tc>
        <w:tc>
          <w:tcPr>
            <w:tcW w:w="120" w:type="dxa"/>
            <w:vAlign w:val="bottom"/>
          </w:tcPr>
          <w:p>
            <w:pPr>
              <w:spacing w:after="0"/>
              <w:rPr>
                <w:sz w:val="19"/>
                <w:szCs w:val="19"/>
                <w:color w:val="auto"/>
              </w:rPr>
            </w:pPr>
          </w:p>
        </w:tc>
        <w:tc>
          <w:tcPr>
            <w:tcW w:w="6220" w:type="dxa"/>
            <w:vAlign w:val="bottom"/>
            <w:gridSpan w:val="2"/>
          </w:tcPr>
          <w:p>
            <w:pPr>
              <w:jc w:val="center"/>
              <w:ind w:left="451"/>
              <w:spacing w:after="0"/>
              <w:rPr>
                <w:sz w:val="20"/>
                <w:szCs w:val="20"/>
                <w:color w:val="auto"/>
              </w:rPr>
            </w:pPr>
            <w:r>
              <w:rPr>
                <w:rFonts w:ascii="Arial" w:cs="Arial" w:eastAsia="Arial" w:hAnsi="Arial"/>
                <w:sz w:val="18"/>
                <w:szCs w:val="18"/>
                <w:color w:val="auto"/>
                <w:w w:val="93"/>
              </w:rPr>
              <w:t>Member of the Board of Directors</w:t>
            </w:r>
          </w:p>
        </w:tc>
        <w:tc>
          <w:tcPr>
            <w:tcW w:w="1900" w:type="dxa"/>
            <w:vAlign w:val="bottom"/>
          </w:tcPr>
          <w:p>
            <w:pPr>
              <w:jc w:val="center"/>
              <w:ind w:left="571"/>
              <w:spacing w:after="0"/>
              <w:rPr>
                <w:sz w:val="20"/>
                <w:szCs w:val="20"/>
                <w:color w:val="auto"/>
              </w:rPr>
            </w:pPr>
            <w:r>
              <w:rPr>
                <w:rFonts w:ascii="Arial" w:cs="Arial" w:eastAsia="Arial" w:hAnsi="Arial"/>
                <w:sz w:val="18"/>
                <w:szCs w:val="18"/>
                <w:color w:val="auto"/>
                <w:w w:val="90"/>
              </w:rPr>
              <w:t>February 23,</w:t>
            </w:r>
          </w:p>
        </w:tc>
        <w:tc>
          <w:tcPr>
            <w:tcW w:w="0" w:type="dxa"/>
            <w:vAlign w:val="bottom"/>
          </w:tcPr>
          <w:p>
            <w:pPr>
              <w:spacing w:after="0"/>
              <w:rPr>
                <w:sz w:val="1"/>
                <w:szCs w:val="1"/>
                <w:color w:val="auto"/>
              </w:rPr>
            </w:pPr>
          </w:p>
        </w:tc>
      </w:tr>
      <w:tr>
        <w:trPr>
          <w:trHeight w:val="235"/>
        </w:trPr>
        <w:tc>
          <w:tcPr>
            <w:tcW w:w="3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000" w:type="dxa"/>
            <w:vAlign w:val="bottom"/>
          </w:tcPr>
          <w:p>
            <w:pPr>
              <w:jc w:val="center"/>
              <w:ind w:left="571"/>
              <w:spacing w:after="0"/>
              <w:rPr>
                <w:sz w:val="20"/>
                <w:szCs w:val="20"/>
                <w:color w:val="auto"/>
              </w:rPr>
            </w:pPr>
            <w:r>
              <w:rPr>
                <w:rFonts w:ascii="Arial" w:cs="Arial" w:eastAsia="Arial" w:hAnsi="Arial"/>
                <w:sz w:val="18"/>
                <w:szCs w:val="18"/>
                <w:color w:val="auto"/>
                <w:w w:val="92"/>
              </w:rPr>
              <w:t>David Bonderman</w:t>
            </w: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vMerge w:val="restart"/>
          </w:tcPr>
          <w:p>
            <w:pPr>
              <w:jc w:val="center"/>
              <w:ind w:left="571"/>
              <w:spacing w:after="0"/>
              <w:rPr>
                <w:sz w:val="20"/>
                <w:szCs w:val="20"/>
                <w:color w:val="auto"/>
              </w:rPr>
            </w:pPr>
            <w:r>
              <w:rPr>
                <w:rFonts w:ascii="Arial" w:cs="Arial" w:eastAsia="Arial" w:hAnsi="Arial"/>
                <w:sz w:val="18"/>
                <w:szCs w:val="18"/>
                <w:color w:val="auto"/>
                <w:w w:val="90"/>
              </w:rPr>
              <w:t>/s/ John DeYoung</w:t>
            </w:r>
          </w:p>
        </w:tc>
        <w:tc>
          <w:tcPr>
            <w:tcW w:w="120" w:type="dxa"/>
            <w:vAlign w:val="bottom"/>
          </w:tcPr>
          <w:p>
            <w:pPr>
              <w:spacing w:after="0"/>
              <w:rPr>
                <w:sz w:val="19"/>
                <w:szCs w:val="19"/>
                <w:color w:val="auto"/>
              </w:rPr>
            </w:pPr>
          </w:p>
        </w:tc>
        <w:tc>
          <w:tcPr>
            <w:tcW w:w="6220" w:type="dxa"/>
            <w:vAlign w:val="bottom"/>
            <w:gridSpan w:val="2"/>
          </w:tcPr>
          <w:p>
            <w:pPr>
              <w:jc w:val="center"/>
              <w:ind w:left="451"/>
              <w:spacing w:after="0"/>
              <w:rPr>
                <w:sz w:val="20"/>
                <w:szCs w:val="20"/>
                <w:color w:val="auto"/>
              </w:rPr>
            </w:pPr>
            <w:r>
              <w:rPr>
                <w:rFonts w:ascii="Arial" w:cs="Arial" w:eastAsia="Arial" w:hAnsi="Arial"/>
                <w:sz w:val="18"/>
                <w:szCs w:val="18"/>
                <w:color w:val="auto"/>
                <w:w w:val="93"/>
              </w:rPr>
              <w:t>Member of the Board of Directors</w:t>
            </w:r>
          </w:p>
        </w:tc>
        <w:tc>
          <w:tcPr>
            <w:tcW w:w="1900" w:type="dxa"/>
            <w:vAlign w:val="bottom"/>
          </w:tcPr>
          <w:p>
            <w:pPr>
              <w:jc w:val="center"/>
              <w:ind w:left="571"/>
              <w:spacing w:after="0"/>
              <w:rPr>
                <w:sz w:val="20"/>
                <w:szCs w:val="20"/>
                <w:color w:val="auto"/>
              </w:rPr>
            </w:pPr>
            <w:r>
              <w:rPr>
                <w:rFonts w:ascii="Arial" w:cs="Arial" w:eastAsia="Arial" w:hAnsi="Arial"/>
                <w:sz w:val="18"/>
                <w:szCs w:val="18"/>
                <w:color w:val="auto"/>
                <w:w w:val="90"/>
              </w:rPr>
              <w:t>February 23,</w:t>
            </w: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000" w:type="dxa"/>
            <w:vAlign w:val="bottom"/>
          </w:tcPr>
          <w:p>
            <w:pPr>
              <w:jc w:val="center"/>
              <w:ind w:left="571"/>
              <w:spacing w:after="0"/>
              <w:rPr>
                <w:sz w:val="20"/>
                <w:szCs w:val="20"/>
                <w:color w:val="auto"/>
              </w:rPr>
            </w:pPr>
            <w:r>
              <w:rPr>
                <w:rFonts w:ascii="Arial" w:cs="Arial" w:eastAsia="Arial" w:hAnsi="Arial"/>
                <w:sz w:val="18"/>
                <w:szCs w:val="18"/>
                <w:color w:val="auto"/>
                <w:w w:val="88"/>
              </w:rPr>
              <w:t>John DeYoung</w:t>
            </w: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vMerge w:val="restart"/>
          </w:tcPr>
          <w:p>
            <w:pPr>
              <w:jc w:val="center"/>
              <w:ind w:left="571"/>
              <w:spacing w:after="0"/>
              <w:rPr>
                <w:sz w:val="20"/>
                <w:szCs w:val="20"/>
                <w:color w:val="auto"/>
              </w:rPr>
            </w:pPr>
            <w:r>
              <w:rPr>
                <w:rFonts w:ascii="Arial" w:cs="Arial" w:eastAsia="Arial" w:hAnsi="Arial"/>
                <w:sz w:val="18"/>
                <w:szCs w:val="18"/>
                <w:color w:val="auto"/>
                <w:w w:val="90"/>
              </w:rPr>
              <w:t>/s/ Franz Humer, Ph.D.</w:t>
            </w:r>
          </w:p>
        </w:tc>
        <w:tc>
          <w:tcPr>
            <w:tcW w:w="120" w:type="dxa"/>
            <w:vAlign w:val="bottom"/>
          </w:tcPr>
          <w:p>
            <w:pPr>
              <w:spacing w:after="0"/>
              <w:rPr>
                <w:sz w:val="19"/>
                <w:szCs w:val="19"/>
                <w:color w:val="auto"/>
              </w:rPr>
            </w:pPr>
          </w:p>
        </w:tc>
        <w:tc>
          <w:tcPr>
            <w:tcW w:w="6220" w:type="dxa"/>
            <w:vAlign w:val="bottom"/>
            <w:gridSpan w:val="2"/>
          </w:tcPr>
          <w:p>
            <w:pPr>
              <w:jc w:val="center"/>
              <w:ind w:left="451"/>
              <w:spacing w:after="0"/>
              <w:rPr>
                <w:sz w:val="20"/>
                <w:szCs w:val="20"/>
                <w:color w:val="auto"/>
              </w:rPr>
            </w:pPr>
            <w:r>
              <w:rPr>
                <w:rFonts w:ascii="Arial" w:cs="Arial" w:eastAsia="Arial" w:hAnsi="Arial"/>
                <w:sz w:val="18"/>
                <w:szCs w:val="18"/>
                <w:color w:val="auto"/>
                <w:w w:val="93"/>
              </w:rPr>
              <w:t>Member of the Board of Directors</w:t>
            </w:r>
          </w:p>
        </w:tc>
        <w:tc>
          <w:tcPr>
            <w:tcW w:w="1900" w:type="dxa"/>
            <w:vAlign w:val="bottom"/>
          </w:tcPr>
          <w:p>
            <w:pPr>
              <w:jc w:val="center"/>
              <w:ind w:left="571"/>
              <w:spacing w:after="0"/>
              <w:rPr>
                <w:sz w:val="20"/>
                <w:szCs w:val="20"/>
                <w:color w:val="auto"/>
              </w:rPr>
            </w:pPr>
            <w:r>
              <w:rPr>
                <w:rFonts w:ascii="Arial" w:cs="Arial" w:eastAsia="Arial" w:hAnsi="Arial"/>
                <w:sz w:val="18"/>
                <w:szCs w:val="18"/>
                <w:color w:val="auto"/>
                <w:w w:val="90"/>
              </w:rPr>
              <w:t>February 23,</w:t>
            </w: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000" w:type="dxa"/>
            <w:vAlign w:val="bottom"/>
          </w:tcPr>
          <w:p>
            <w:pPr>
              <w:jc w:val="center"/>
              <w:ind w:left="571"/>
              <w:spacing w:after="0"/>
              <w:rPr>
                <w:sz w:val="20"/>
                <w:szCs w:val="20"/>
                <w:color w:val="auto"/>
              </w:rPr>
            </w:pPr>
            <w:r>
              <w:rPr>
                <w:rFonts w:ascii="Arial" w:cs="Arial" w:eastAsia="Arial" w:hAnsi="Arial"/>
                <w:sz w:val="18"/>
                <w:szCs w:val="18"/>
                <w:color w:val="auto"/>
                <w:w w:val="91"/>
              </w:rPr>
              <w:t>Franz Humer, Ph.D.</w:t>
            </w: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vMerge w:val="restart"/>
          </w:tcPr>
          <w:p>
            <w:pPr>
              <w:jc w:val="center"/>
              <w:ind w:left="571"/>
              <w:spacing w:after="0"/>
              <w:rPr>
                <w:sz w:val="20"/>
                <w:szCs w:val="20"/>
                <w:color w:val="auto"/>
              </w:rPr>
            </w:pPr>
            <w:r>
              <w:rPr>
                <w:rFonts w:ascii="Arial" w:cs="Arial" w:eastAsia="Arial" w:hAnsi="Arial"/>
                <w:sz w:val="18"/>
                <w:szCs w:val="18"/>
                <w:color w:val="auto"/>
                <w:w w:val="88"/>
              </w:rPr>
              <w:t>/s/ Joshua Kazam</w:t>
            </w:r>
          </w:p>
        </w:tc>
        <w:tc>
          <w:tcPr>
            <w:tcW w:w="120" w:type="dxa"/>
            <w:vAlign w:val="bottom"/>
          </w:tcPr>
          <w:p>
            <w:pPr>
              <w:spacing w:after="0"/>
              <w:rPr>
                <w:sz w:val="19"/>
                <w:szCs w:val="19"/>
                <w:color w:val="auto"/>
              </w:rPr>
            </w:pPr>
          </w:p>
        </w:tc>
        <w:tc>
          <w:tcPr>
            <w:tcW w:w="6220" w:type="dxa"/>
            <w:vAlign w:val="bottom"/>
            <w:gridSpan w:val="2"/>
          </w:tcPr>
          <w:p>
            <w:pPr>
              <w:jc w:val="center"/>
              <w:ind w:left="451"/>
              <w:spacing w:after="0"/>
              <w:rPr>
                <w:sz w:val="20"/>
                <w:szCs w:val="20"/>
                <w:color w:val="auto"/>
              </w:rPr>
            </w:pPr>
            <w:r>
              <w:rPr>
                <w:rFonts w:ascii="Arial" w:cs="Arial" w:eastAsia="Arial" w:hAnsi="Arial"/>
                <w:sz w:val="18"/>
                <w:szCs w:val="18"/>
                <w:color w:val="auto"/>
                <w:w w:val="93"/>
              </w:rPr>
              <w:t>Member of the Board of Directors</w:t>
            </w:r>
          </w:p>
        </w:tc>
        <w:tc>
          <w:tcPr>
            <w:tcW w:w="1900" w:type="dxa"/>
            <w:vAlign w:val="bottom"/>
          </w:tcPr>
          <w:p>
            <w:pPr>
              <w:jc w:val="center"/>
              <w:ind w:left="571"/>
              <w:spacing w:after="0"/>
              <w:rPr>
                <w:sz w:val="20"/>
                <w:szCs w:val="20"/>
                <w:color w:val="auto"/>
              </w:rPr>
            </w:pPr>
            <w:r>
              <w:rPr>
                <w:rFonts w:ascii="Arial" w:cs="Arial" w:eastAsia="Arial" w:hAnsi="Arial"/>
                <w:sz w:val="18"/>
                <w:szCs w:val="18"/>
                <w:color w:val="auto"/>
                <w:w w:val="90"/>
              </w:rPr>
              <w:t>February 23,</w:t>
            </w: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000" w:type="dxa"/>
            <w:vAlign w:val="bottom"/>
          </w:tcPr>
          <w:p>
            <w:pPr>
              <w:jc w:val="center"/>
              <w:ind w:left="571"/>
              <w:spacing w:after="0"/>
              <w:rPr>
                <w:sz w:val="20"/>
                <w:szCs w:val="20"/>
                <w:color w:val="auto"/>
              </w:rPr>
            </w:pPr>
            <w:r>
              <w:rPr>
                <w:rFonts w:ascii="Arial" w:cs="Arial" w:eastAsia="Arial" w:hAnsi="Arial"/>
                <w:sz w:val="18"/>
                <w:szCs w:val="18"/>
                <w:color w:val="auto"/>
                <w:w w:val="88"/>
              </w:rPr>
              <w:t>Joshua Kazam</w:t>
            </w: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vMerge w:val="restart"/>
          </w:tcPr>
          <w:p>
            <w:pPr>
              <w:jc w:val="center"/>
              <w:ind w:left="571"/>
              <w:spacing w:after="0"/>
              <w:rPr>
                <w:sz w:val="20"/>
                <w:szCs w:val="20"/>
                <w:color w:val="auto"/>
              </w:rPr>
            </w:pPr>
            <w:r>
              <w:rPr>
                <w:rFonts w:ascii="Arial" w:cs="Arial" w:eastAsia="Arial" w:hAnsi="Arial"/>
                <w:sz w:val="18"/>
                <w:szCs w:val="18"/>
                <w:color w:val="auto"/>
                <w:w w:val="88"/>
              </w:rPr>
              <w:t>/s/ Deborah Messemer</w:t>
            </w:r>
          </w:p>
        </w:tc>
        <w:tc>
          <w:tcPr>
            <w:tcW w:w="120" w:type="dxa"/>
            <w:vAlign w:val="bottom"/>
          </w:tcPr>
          <w:p>
            <w:pPr>
              <w:spacing w:after="0"/>
              <w:rPr>
                <w:sz w:val="19"/>
                <w:szCs w:val="19"/>
                <w:color w:val="auto"/>
              </w:rPr>
            </w:pPr>
          </w:p>
        </w:tc>
        <w:tc>
          <w:tcPr>
            <w:tcW w:w="6220" w:type="dxa"/>
            <w:vAlign w:val="bottom"/>
            <w:gridSpan w:val="2"/>
          </w:tcPr>
          <w:p>
            <w:pPr>
              <w:jc w:val="center"/>
              <w:ind w:left="451"/>
              <w:spacing w:after="0"/>
              <w:rPr>
                <w:sz w:val="20"/>
                <w:szCs w:val="20"/>
                <w:color w:val="auto"/>
              </w:rPr>
            </w:pPr>
            <w:r>
              <w:rPr>
                <w:rFonts w:ascii="Arial" w:cs="Arial" w:eastAsia="Arial" w:hAnsi="Arial"/>
                <w:sz w:val="18"/>
                <w:szCs w:val="18"/>
                <w:color w:val="auto"/>
                <w:w w:val="93"/>
              </w:rPr>
              <w:t>Member of the Board of Directors</w:t>
            </w:r>
          </w:p>
        </w:tc>
        <w:tc>
          <w:tcPr>
            <w:tcW w:w="1900" w:type="dxa"/>
            <w:vAlign w:val="bottom"/>
          </w:tcPr>
          <w:p>
            <w:pPr>
              <w:jc w:val="center"/>
              <w:ind w:left="571"/>
              <w:spacing w:after="0"/>
              <w:rPr>
                <w:sz w:val="20"/>
                <w:szCs w:val="20"/>
                <w:color w:val="auto"/>
              </w:rPr>
            </w:pPr>
            <w:r>
              <w:rPr>
                <w:rFonts w:ascii="Arial" w:cs="Arial" w:eastAsia="Arial" w:hAnsi="Arial"/>
                <w:sz w:val="18"/>
                <w:szCs w:val="18"/>
                <w:color w:val="auto"/>
                <w:w w:val="90"/>
              </w:rPr>
              <w:t>February 23,</w:t>
            </w:r>
          </w:p>
        </w:tc>
        <w:tc>
          <w:tcPr>
            <w:tcW w:w="0" w:type="dxa"/>
            <w:vAlign w:val="bottom"/>
          </w:tcPr>
          <w:p>
            <w:pPr>
              <w:spacing w:after="0"/>
              <w:rPr>
                <w:sz w:val="1"/>
                <w:szCs w:val="1"/>
                <w:color w:val="auto"/>
              </w:rPr>
            </w:pPr>
          </w:p>
        </w:tc>
      </w:tr>
      <w:tr>
        <w:trPr>
          <w:trHeight w:val="235"/>
        </w:trPr>
        <w:tc>
          <w:tcPr>
            <w:tcW w:w="3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000" w:type="dxa"/>
            <w:vAlign w:val="bottom"/>
          </w:tcPr>
          <w:p>
            <w:pPr>
              <w:jc w:val="center"/>
              <w:ind w:left="571"/>
              <w:spacing w:after="0"/>
              <w:rPr>
                <w:sz w:val="20"/>
                <w:szCs w:val="20"/>
                <w:color w:val="auto"/>
              </w:rPr>
            </w:pPr>
            <w:r>
              <w:rPr>
                <w:rFonts w:ascii="Arial" w:cs="Arial" w:eastAsia="Arial" w:hAnsi="Arial"/>
                <w:sz w:val="18"/>
                <w:szCs w:val="18"/>
                <w:color w:val="auto"/>
                <w:w w:val="89"/>
              </w:rPr>
              <w:t>Deborah Messemer</w:t>
            </w: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vMerge w:val="restart"/>
          </w:tcPr>
          <w:p>
            <w:pPr>
              <w:jc w:val="center"/>
              <w:ind w:left="571"/>
              <w:spacing w:after="0"/>
              <w:rPr>
                <w:sz w:val="20"/>
                <w:szCs w:val="20"/>
                <w:color w:val="auto"/>
              </w:rPr>
            </w:pPr>
            <w:r>
              <w:rPr>
                <w:rFonts w:ascii="Arial" w:cs="Arial" w:eastAsia="Arial" w:hAnsi="Arial"/>
                <w:sz w:val="18"/>
                <w:szCs w:val="18"/>
                <w:color w:val="auto"/>
                <w:w w:val="91"/>
              </w:rPr>
              <w:t>/s/ Vicki Sato, Ph.D.</w:t>
            </w:r>
          </w:p>
        </w:tc>
        <w:tc>
          <w:tcPr>
            <w:tcW w:w="120" w:type="dxa"/>
            <w:vAlign w:val="bottom"/>
          </w:tcPr>
          <w:p>
            <w:pPr>
              <w:spacing w:after="0"/>
              <w:rPr>
                <w:sz w:val="19"/>
                <w:szCs w:val="19"/>
                <w:color w:val="auto"/>
              </w:rPr>
            </w:pPr>
          </w:p>
        </w:tc>
        <w:tc>
          <w:tcPr>
            <w:tcW w:w="6220" w:type="dxa"/>
            <w:vAlign w:val="bottom"/>
            <w:gridSpan w:val="2"/>
          </w:tcPr>
          <w:p>
            <w:pPr>
              <w:jc w:val="center"/>
              <w:ind w:left="451"/>
              <w:spacing w:after="0"/>
              <w:rPr>
                <w:sz w:val="20"/>
                <w:szCs w:val="20"/>
                <w:color w:val="auto"/>
              </w:rPr>
            </w:pPr>
            <w:r>
              <w:rPr>
                <w:rFonts w:ascii="Arial" w:cs="Arial" w:eastAsia="Arial" w:hAnsi="Arial"/>
                <w:sz w:val="18"/>
                <w:szCs w:val="18"/>
                <w:color w:val="auto"/>
                <w:w w:val="93"/>
              </w:rPr>
              <w:t>Member of the Board of Directors</w:t>
            </w:r>
          </w:p>
        </w:tc>
        <w:tc>
          <w:tcPr>
            <w:tcW w:w="1900" w:type="dxa"/>
            <w:vAlign w:val="bottom"/>
          </w:tcPr>
          <w:p>
            <w:pPr>
              <w:jc w:val="center"/>
              <w:ind w:left="571"/>
              <w:spacing w:after="0"/>
              <w:rPr>
                <w:sz w:val="20"/>
                <w:szCs w:val="20"/>
                <w:color w:val="auto"/>
              </w:rPr>
            </w:pPr>
            <w:r>
              <w:rPr>
                <w:rFonts w:ascii="Arial" w:cs="Arial" w:eastAsia="Arial" w:hAnsi="Arial"/>
                <w:sz w:val="18"/>
                <w:szCs w:val="18"/>
                <w:color w:val="auto"/>
                <w:w w:val="90"/>
              </w:rPr>
              <w:t>February 23,</w:t>
            </w:r>
          </w:p>
        </w:tc>
        <w:tc>
          <w:tcPr>
            <w:tcW w:w="0" w:type="dxa"/>
            <w:vAlign w:val="bottom"/>
          </w:tcPr>
          <w:p>
            <w:pPr>
              <w:spacing w:after="0"/>
              <w:rPr>
                <w:sz w:val="1"/>
                <w:szCs w:val="1"/>
                <w:color w:val="auto"/>
              </w:rPr>
            </w:pPr>
          </w:p>
        </w:tc>
      </w:tr>
      <w:tr>
        <w:trPr>
          <w:trHeight w:val="235"/>
        </w:trPr>
        <w:tc>
          <w:tcPr>
            <w:tcW w:w="3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000" w:type="dxa"/>
            <w:vAlign w:val="bottom"/>
          </w:tcPr>
          <w:p>
            <w:pPr>
              <w:jc w:val="center"/>
              <w:ind w:left="571"/>
              <w:spacing w:after="0"/>
              <w:rPr>
                <w:sz w:val="20"/>
                <w:szCs w:val="20"/>
                <w:color w:val="auto"/>
              </w:rPr>
            </w:pPr>
            <w:r>
              <w:rPr>
                <w:rFonts w:ascii="Arial" w:cs="Arial" w:eastAsia="Arial" w:hAnsi="Arial"/>
                <w:sz w:val="18"/>
                <w:szCs w:val="18"/>
                <w:color w:val="auto"/>
                <w:w w:val="93"/>
              </w:rPr>
              <w:t>Vicki Sato, Ph.D.</w:t>
            </w: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vMerge w:val="restart"/>
          </w:tcPr>
          <w:p>
            <w:pPr>
              <w:jc w:val="center"/>
              <w:ind w:left="571"/>
              <w:spacing w:after="0"/>
              <w:rPr>
                <w:sz w:val="20"/>
                <w:szCs w:val="20"/>
                <w:color w:val="auto"/>
              </w:rPr>
            </w:pPr>
            <w:r>
              <w:rPr>
                <w:rFonts w:ascii="Arial" w:cs="Arial" w:eastAsia="Arial" w:hAnsi="Arial"/>
                <w:sz w:val="18"/>
                <w:szCs w:val="18"/>
                <w:color w:val="auto"/>
                <w:w w:val="90"/>
              </w:rPr>
              <w:t>/s/ Todd Sisitsky</w:t>
            </w:r>
          </w:p>
        </w:tc>
        <w:tc>
          <w:tcPr>
            <w:tcW w:w="120" w:type="dxa"/>
            <w:vAlign w:val="bottom"/>
          </w:tcPr>
          <w:p>
            <w:pPr>
              <w:spacing w:after="0"/>
              <w:rPr>
                <w:sz w:val="19"/>
                <w:szCs w:val="19"/>
                <w:color w:val="auto"/>
              </w:rPr>
            </w:pPr>
          </w:p>
        </w:tc>
        <w:tc>
          <w:tcPr>
            <w:tcW w:w="6220" w:type="dxa"/>
            <w:vAlign w:val="bottom"/>
            <w:gridSpan w:val="2"/>
          </w:tcPr>
          <w:p>
            <w:pPr>
              <w:jc w:val="center"/>
              <w:ind w:left="451"/>
              <w:spacing w:after="0"/>
              <w:rPr>
                <w:sz w:val="20"/>
                <w:szCs w:val="20"/>
                <w:color w:val="auto"/>
              </w:rPr>
            </w:pPr>
            <w:r>
              <w:rPr>
                <w:rFonts w:ascii="Arial" w:cs="Arial" w:eastAsia="Arial" w:hAnsi="Arial"/>
                <w:sz w:val="18"/>
                <w:szCs w:val="18"/>
                <w:color w:val="auto"/>
                <w:w w:val="93"/>
              </w:rPr>
              <w:t>Member of the Board of Directors</w:t>
            </w:r>
          </w:p>
        </w:tc>
        <w:tc>
          <w:tcPr>
            <w:tcW w:w="1900" w:type="dxa"/>
            <w:vAlign w:val="bottom"/>
          </w:tcPr>
          <w:p>
            <w:pPr>
              <w:jc w:val="center"/>
              <w:ind w:left="571"/>
              <w:spacing w:after="0"/>
              <w:rPr>
                <w:sz w:val="20"/>
                <w:szCs w:val="20"/>
                <w:color w:val="auto"/>
              </w:rPr>
            </w:pPr>
            <w:r>
              <w:rPr>
                <w:rFonts w:ascii="Arial" w:cs="Arial" w:eastAsia="Arial" w:hAnsi="Arial"/>
                <w:sz w:val="18"/>
                <w:szCs w:val="18"/>
                <w:color w:val="auto"/>
                <w:w w:val="90"/>
              </w:rPr>
              <w:t>February 23,</w:t>
            </w: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000" w:type="dxa"/>
            <w:vAlign w:val="bottom"/>
          </w:tcPr>
          <w:p>
            <w:pPr>
              <w:jc w:val="center"/>
              <w:ind w:left="571"/>
              <w:spacing w:after="0"/>
              <w:rPr>
                <w:sz w:val="20"/>
                <w:szCs w:val="20"/>
                <w:color w:val="auto"/>
              </w:rPr>
            </w:pPr>
            <w:r>
              <w:rPr>
                <w:rFonts w:ascii="Arial" w:cs="Arial" w:eastAsia="Arial" w:hAnsi="Arial"/>
                <w:sz w:val="18"/>
                <w:szCs w:val="18"/>
                <w:color w:val="auto"/>
                <w:w w:val="91"/>
              </w:rPr>
              <w:t>Todd Sisitsky</w:t>
            </w: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vMerge w:val="restart"/>
          </w:tcPr>
          <w:p>
            <w:pPr>
              <w:jc w:val="center"/>
              <w:ind w:left="571"/>
              <w:spacing w:after="0"/>
              <w:rPr>
                <w:sz w:val="20"/>
                <w:szCs w:val="20"/>
                <w:color w:val="auto"/>
              </w:rPr>
            </w:pPr>
            <w:r>
              <w:rPr>
                <w:rFonts w:ascii="Arial" w:cs="Arial" w:eastAsia="Arial" w:hAnsi="Arial"/>
                <w:sz w:val="18"/>
                <w:szCs w:val="18"/>
                <w:color w:val="auto"/>
                <w:w w:val="93"/>
              </w:rPr>
              <w:t>/s/ Owen Witte, M.D.</w:t>
            </w:r>
          </w:p>
        </w:tc>
        <w:tc>
          <w:tcPr>
            <w:tcW w:w="120" w:type="dxa"/>
            <w:vAlign w:val="bottom"/>
          </w:tcPr>
          <w:p>
            <w:pPr>
              <w:spacing w:after="0"/>
              <w:rPr>
                <w:sz w:val="19"/>
                <w:szCs w:val="19"/>
                <w:color w:val="auto"/>
              </w:rPr>
            </w:pPr>
          </w:p>
        </w:tc>
        <w:tc>
          <w:tcPr>
            <w:tcW w:w="6220" w:type="dxa"/>
            <w:vAlign w:val="bottom"/>
            <w:gridSpan w:val="2"/>
          </w:tcPr>
          <w:p>
            <w:pPr>
              <w:jc w:val="center"/>
              <w:ind w:left="451"/>
              <w:spacing w:after="0"/>
              <w:rPr>
                <w:sz w:val="20"/>
                <w:szCs w:val="20"/>
                <w:color w:val="auto"/>
              </w:rPr>
            </w:pPr>
            <w:r>
              <w:rPr>
                <w:rFonts w:ascii="Arial" w:cs="Arial" w:eastAsia="Arial" w:hAnsi="Arial"/>
                <w:sz w:val="18"/>
                <w:szCs w:val="18"/>
                <w:color w:val="auto"/>
                <w:w w:val="93"/>
              </w:rPr>
              <w:t>Member of the Board of Directors</w:t>
            </w:r>
          </w:p>
        </w:tc>
        <w:tc>
          <w:tcPr>
            <w:tcW w:w="1900" w:type="dxa"/>
            <w:vAlign w:val="bottom"/>
          </w:tcPr>
          <w:p>
            <w:pPr>
              <w:jc w:val="center"/>
              <w:ind w:left="571"/>
              <w:spacing w:after="0"/>
              <w:rPr>
                <w:sz w:val="20"/>
                <w:szCs w:val="20"/>
                <w:color w:val="auto"/>
              </w:rPr>
            </w:pPr>
            <w:r>
              <w:rPr>
                <w:rFonts w:ascii="Arial" w:cs="Arial" w:eastAsia="Arial" w:hAnsi="Arial"/>
                <w:sz w:val="18"/>
                <w:szCs w:val="18"/>
                <w:color w:val="auto"/>
                <w:w w:val="90"/>
              </w:rPr>
              <w:t>February 23,</w:t>
            </w:r>
          </w:p>
        </w:tc>
        <w:tc>
          <w:tcPr>
            <w:tcW w:w="0" w:type="dxa"/>
            <w:vAlign w:val="bottom"/>
          </w:tcPr>
          <w:p>
            <w:pPr>
              <w:spacing w:after="0"/>
              <w:rPr>
                <w:sz w:val="1"/>
                <w:szCs w:val="1"/>
                <w:color w:val="auto"/>
              </w:rPr>
            </w:pPr>
          </w:p>
        </w:tc>
      </w:tr>
      <w:tr>
        <w:trPr>
          <w:trHeight w:val="235"/>
        </w:trPr>
        <w:tc>
          <w:tcPr>
            <w:tcW w:w="3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000" w:type="dxa"/>
            <w:vAlign w:val="bottom"/>
          </w:tcPr>
          <w:p>
            <w:pPr>
              <w:jc w:val="center"/>
              <w:ind w:left="571"/>
              <w:spacing w:after="0"/>
              <w:rPr>
                <w:sz w:val="20"/>
                <w:szCs w:val="20"/>
                <w:color w:val="auto"/>
              </w:rPr>
            </w:pPr>
            <w:r>
              <w:rPr>
                <w:rFonts w:ascii="Arial" w:cs="Arial" w:eastAsia="Arial" w:hAnsi="Arial"/>
                <w:sz w:val="18"/>
                <w:szCs w:val="18"/>
                <w:color w:val="auto"/>
                <w:w w:val="94"/>
              </w:rPr>
              <w:t>Owen Witte, M.D.</w:t>
            </w:r>
          </w:p>
        </w:tc>
        <w:tc>
          <w:tcPr>
            <w:tcW w:w="1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368" w:right="339" w:bottom="1440" w:gutter="0" w:footer="0" w:header="0"/>
        </w:sectPr>
      </w:pPr>
    </w:p>
    <w:bookmarkStart w:id="132" w:name="page133"/>
    <w:bookmarkEnd w:id="132"/>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4B4B4B"/>
        </w:rPr>
        <w:t>FIRST AMENDMENT TO LEASE</w:t>
      </w:r>
    </w:p>
    <w:p>
      <w:pPr>
        <w:spacing w:after="0" w:line="233" w:lineRule="exact"/>
        <w:rPr>
          <w:sz w:val="20"/>
          <w:szCs w:val="20"/>
          <w:color w:val="auto"/>
        </w:rPr>
      </w:pPr>
    </w:p>
    <w:p>
      <w:pPr>
        <w:jc w:val="both"/>
        <w:ind w:firstLine="612"/>
        <w:spacing w:after="0" w:line="247" w:lineRule="auto"/>
        <w:rPr>
          <w:sz w:val="20"/>
          <w:szCs w:val="20"/>
          <w:color w:val="auto"/>
        </w:rPr>
      </w:pPr>
      <w:r>
        <w:rPr>
          <w:rFonts w:ascii="Arial" w:cs="Arial" w:eastAsia="Arial" w:hAnsi="Arial"/>
          <w:sz w:val="21"/>
          <w:szCs w:val="21"/>
          <w:color w:val="auto"/>
        </w:rPr>
        <w:t>This FIRST AMENDMENT TO LEASE (this "</w:t>
      </w:r>
      <w:r>
        <w:rPr>
          <w:rFonts w:ascii="Arial" w:cs="Arial" w:eastAsia="Arial" w:hAnsi="Arial"/>
          <w:sz w:val="21"/>
          <w:szCs w:val="21"/>
          <w:b w:val="1"/>
          <w:bCs w:val="1"/>
          <w:color w:val="auto"/>
        </w:rPr>
        <w:t>First Amendment</w:t>
      </w:r>
      <w:r>
        <w:rPr>
          <w:rFonts w:ascii="Arial" w:cs="Arial" w:eastAsia="Arial" w:hAnsi="Arial"/>
          <w:sz w:val="21"/>
          <w:szCs w:val="21"/>
          <w:color w:val="auto"/>
        </w:rPr>
        <w:t>") is made and entered into effective as of December 10, 2021 (the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BRITANNIA POINTE GRAND LIMITED PARTNERSHIP</w:t>
      </w:r>
      <w:r>
        <w:rPr>
          <w:rFonts w:ascii="Arial" w:cs="Arial" w:eastAsia="Arial" w:hAnsi="Arial"/>
          <w:sz w:val="21"/>
          <w:szCs w:val="21"/>
          <w:color w:val="auto"/>
        </w:rPr>
        <w:t>, a Delaware limited partnership ("</w:t>
      </w:r>
      <w:r>
        <w:rPr>
          <w:rFonts w:ascii="Arial" w:cs="Arial" w:eastAsia="Arial" w:hAnsi="Arial"/>
          <w:sz w:val="21"/>
          <w:szCs w:val="21"/>
          <w:b w:val="1"/>
          <w:bCs w:val="1"/>
          <w:color w:val="auto"/>
        </w:rPr>
        <w:t>Landlord</w:t>
      </w:r>
      <w:r>
        <w:rPr>
          <w:rFonts w:ascii="Arial" w:cs="Arial" w:eastAsia="Arial" w:hAnsi="Arial"/>
          <w:sz w:val="21"/>
          <w:szCs w:val="21"/>
          <w:color w:val="auto"/>
        </w:rPr>
        <w:t xml:space="preserve">"), and </w:t>
      </w:r>
      <w:r>
        <w:rPr>
          <w:rFonts w:ascii="Arial" w:cs="Arial" w:eastAsia="Arial" w:hAnsi="Arial"/>
          <w:sz w:val="21"/>
          <w:szCs w:val="21"/>
          <w:b w:val="1"/>
          <w:bCs w:val="1"/>
          <w:color w:val="auto"/>
        </w:rPr>
        <w:t>ALLOGENE THERAPEUTICS, INC.</w:t>
      </w:r>
      <w:r>
        <w:rPr>
          <w:rFonts w:ascii="Arial" w:cs="Arial" w:eastAsia="Arial" w:hAnsi="Arial"/>
          <w:sz w:val="21"/>
          <w:szCs w:val="21"/>
          <w:color w:val="auto"/>
        </w:rPr>
        <w:t>, a Delaware corporation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w:t>
      </w:r>
    </w:p>
    <w:p>
      <w:pPr>
        <w:spacing w:after="0" w:line="214" w:lineRule="exact"/>
        <w:rPr>
          <w:sz w:val="20"/>
          <w:szCs w:val="20"/>
          <w:color w:val="auto"/>
        </w:rPr>
      </w:pPr>
    </w:p>
    <w:p>
      <w:pPr>
        <w:ind w:right="280" w:firstLine="656"/>
        <w:spacing w:after="0" w:line="243" w:lineRule="auto"/>
        <w:tabs>
          <w:tab w:leader="none" w:pos="11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Landlord and Tenant are parties to the Lease dated August 1, 2018 (the "</w:t>
      </w:r>
      <w:r>
        <w:rPr>
          <w:rFonts w:ascii="Arial" w:cs="Arial" w:eastAsia="Arial" w:hAnsi="Arial"/>
          <w:sz w:val="22"/>
          <w:szCs w:val="22"/>
          <w:b w:val="1"/>
          <w:bCs w:val="1"/>
          <w:color w:val="auto"/>
        </w:rPr>
        <w:t>Lease</w:t>
      </w:r>
      <w:r>
        <w:rPr>
          <w:rFonts w:ascii="Arial" w:cs="Arial" w:eastAsia="Arial" w:hAnsi="Arial"/>
          <w:sz w:val="22"/>
          <w:szCs w:val="22"/>
          <w:color w:val="auto"/>
        </w:rPr>
        <w:t>"), pursuant to which Tenant leases approximately 68,072 rentable square feet of space (the “</w:t>
      </w:r>
      <w:r>
        <w:rPr>
          <w:rFonts w:ascii="Arial" w:cs="Arial" w:eastAsia="Arial" w:hAnsi="Arial"/>
          <w:sz w:val="22"/>
          <w:szCs w:val="22"/>
          <w:b w:val="1"/>
          <w:bCs w:val="1"/>
          <w:color w:val="auto"/>
        </w:rPr>
        <w:t>Existing Premises</w:t>
      </w:r>
      <w:r>
        <w:rPr>
          <w:rFonts w:ascii="Arial" w:cs="Arial" w:eastAsia="Arial" w:hAnsi="Arial"/>
          <w:sz w:val="22"/>
          <w:szCs w:val="22"/>
          <w:color w:val="auto"/>
        </w:rPr>
        <w:t>”) consisting of the entire Building located at 210 East Grand Avenue, South San Francisco, California 94080 (the “</w:t>
      </w:r>
      <w:r>
        <w:rPr>
          <w:rFonts w:ascii="Arial" w:cs="Arial" w:eastAsia="Arial" w:hAnsi="Arial"/>
          <w:sz w:val="22"/>
          <w:szCs w:val="22"/>
          <w:b w:val="1"/>
          <w:bCs w:val="1"/>
          <w:color w:val="auto"/>
        </w:rPr>
        <w:t>210 Building</w:t>
      </w:r>
      <w:r>
        <w:rPr>
          <w:rFonts w:ascii="Arial" w:cs="Arial" w:eastAsia="Arial" w:hAnsi="Arial"/>
          <w:sz w:val="22"/>
          <w:szCs w:val="22"/>
          <w:color w:val="auto"/>
        </w:rPr>
        <w:t>”).</w:t>
      </w:r>
    </w:p>
    <w:p>
      <w:pPr>
        <w:spacing w:after="0" w:line="74" w:lineRule="exact"/>
        <w:rPr>
          <w:rFonts w:ascii="Arial" w:cs="Arial" w:eastAsia="Arial" w:hAnsi="Arial"/>
          <w:sz w:val="22"/>
          <w:szCs w:val="22"/>
          <w:color w:val="auto"/>
        </w:rPr>
      </w:pPr>
    </w:p>
    <w:p>
      <w:pPr>
        <w:jc w:val="both"/>
        <w:ind w:firstLine="656"/>
        <w:spacing w:after="0" w:line="228" w:lineRule="auto"/>
        <w:tabs>
          <w:tab w:leader="none" w:pos="1184" w:val="left"/>
        </w:tabs>
        <w:numPr>
          <w:ilvl w:val="0"/>
          <w:numId w:val="62"/>
        </w:numPr>
        <w:rPr>
          <w:rFonts w:ascii="Arial" w:cs="Arial" w:eastAsia="Arial" w:hAnsi="Arial"/>
          <w:sz w:val="22"/>
          <w:szCs w:val="22"/>
          <w:color w:val="auto"/>
        </w:rPr>
      </w:pPr>
      <w:r>
        <w:rPr>
          <w:rFonts w:ascii="Arial" w:cs="Arial" w:eastAsia="Arial" w:hAnsi="Arial"/>
          <w:sz w:val="22"/>
          <w:szCs w:val="22"/>
          <w:color w:val="auto"/>
        </w:rPr>
        <w:t>Landlord and Tenant now desire to amend the Lease to (i) expand the Existing Premises to include approximately 47,566 rentable square feet of space (the "</w:t>
      </w:r>
      <w:r>
        <w:rPr>
          <w:rFonts w:ascii="Arial" w:cs="Arial" w:eastAsia="Arial" w:hAnsi="Arial"/>
          <w:sz w:val="22"/>
          <w:szCs w:val="22"/>
          <w:b w:val="1"/>
          <w:bCs w:val="1"/>
          <w:color w:val="auto"/>
        </w:rPr>
        <w:t>Expansion Premises</w:t>
      </w:r>
      <w:r>
        <w:rPr>
          <w:rFonts w:ascii="Arial" w:cs="Arial" w:eastAsia="Arial" w:hAnsi="Arial"/>
          <w:sz w:val="22"/>
          <w:szCs w:val="22"/>
          <w:color w:val="auto"/>
        </w:rPr>
        <w:t>") consisting of the entire Building located at 220 East Grand Avenue, South San Francisco, California 94080 (the “</w:t>
      </w:r>
      <w:r>
        <w:rPr>
          <w:rFonts w:ascii="Arial" w:cs="Arial" w:eastAsia="Arial" w:hAnsi="Arial"/>
          <w:sz w:val="22"/>
          <w:szCs w:val="22"/>
          <w:b w:val="1"/>
          <w:bCs w:val="1"/>
          <w:color w:val="auto"/>
        </w:rPr>
        <w:t>220 Building</w:t>
      </w:r>
      <w:r>
        <w:rPr>
          <w:rFonts w:ascii="Arial" w:cs="Arial" w:eastAsia="Arial" w:hAnsi="Arial"/>
          <w:sz w:val="22"/>
          <w:szCs w:val="22"/>
          <w:color w:val="auto"/>
        </w:rPr>
        <w:t xml:space="preserve">”), as shown on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attached, and (ii) modify certain terms and provisions of the Lease, all as hereinafter provided.</w:t>
      </w:r>
    </w:p>
    <w:p>
      <w:pPr>
        <w:spacing w:after="0" w:line="64" w:lineRule="exact"/>
        <w:rPr>
          <w:rFonts w:ascii="Arial" w:cs="Arial" w:eastAsia="Arial" w:hAnsi="Arial"/>
          <w:sz w:val="22"/>
          <w:szCs w:val="22"/>
          <w:color w:val="auto"/>
        </w:rPr>
      </w:pPr>
    </w:p>
    <w:p>
      <w:pPr>
        <w:ind w:firstLine="656"/>
        <w:spacing w:after="0" w:line="239" w:lineRule="auto"/>
        <w:tabs>
          <w:tab w:leader="none" w:pos="1116"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capitalized terms when used herein shall have the same meanings given such terms in the Lease unless expressly superseded by the terms of this First Amendment.</w:t>
      </w:r>
    </w:p>
    <w:p>
      <w:pPr>
        <w:spacing w:after="0" w:line="19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NOW, THEREFORE, in consideration of the foregoing recitals and the mutual covenants contained herein, and for other good and valuable consideration, the receipt and sufficiency of which are hereby acknowledged, the parties hereto agree as follows:</w:t>
      </w:r>
    </w:p>
    <w:p>
      <w:pPr>
        <w:spacing w:after="0" w:line="195"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Expansion Premises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u w:val="single" w:color="auto"/>
          <w:color w:val="auto"/>
        </w:rPr>
        <w:t>Addition of Expansion Premises</w:t>
      </w:r>
      <w:r>
        <w:rPr>
          <w:rFonts w:ascii="Arial" w:cs="Arial" w:eastAsia="Arial" w:hAnsi="Arial"/>
          <w:sz w:val="19"/>
          <w:szCs w:val="19"/>
          <w:color w:val="auto"/>
        </w:rPr>
        <w:t>. Commencing on the later of (i) April 1, 2022, and (ii) the date Landlord delivers the Expansion Premises to Tenant (the “</w:t>
      </w:r>
      <w:r>
        <w:rPr>
          <w:rFonts w:ascii="Arial" w:cs="Arial" w:eastAsia="Arial" w:hAnsi="Arial"/>
          <w:sz w:val="19"/>
          <w:szCs w:val="19"/>
          <w:b w:val="1"/>
          <w:bCs w:val="1"/>
          <w:color w:val="auto"/>
        </w:rPr>
        <w:t>Expansion Premises Commencement Date</w:t>
      </w:r>
      <w:r>
        <w:rPr>
          <w:rFonts w:ascii="Arial" w:cs="Arial" w:eastAsia="Arial" w:hAnsi="Arial"/>
          <w:sz w:val="19"/>
          <w:szCs w:val="19"/>
          <w:color w:val="auto"/>
        </w:rPr>
        <w:t>”) Tenant shall lease the Expansion Premises from Landlord on the same terms and conditions set forth in the Lease, as hereby amended. From and after the Expansion Premises Commencement Date, the Existing Premises and the Expansion Premises shall be collectively referred to as the "Premises". Landlord will use commercially reasonable efforts to deliver the Expansion Premises to Tenant on or as soon as reasonably practicable after April 1, 2022. If Landlord is unable to deliver the Expansion Premises to Tenant on or before May 1, 2022 (the “</w:t>
      </w:r>
      <w:r>
        <w:rPr>
          <w:rFonts w:ascii="Arial" w:cs="Arial" w:eastAsia="Arial" w:hAnsi="Arial"/>
          <w:sz w:val="19"/>
          <w:szCs w:val="19"/>
          <w:b w:val="1"/>
          <w:bCs w:val="1"/>
          <w:color w:val="auto"/>
        </w:rPr>
        <w:t>Outside Delivery Date</w:t>
      </w:r>
      <w:r>
        <w:rPr>
          <w:rFonts w:ascii="Arial" w:cs="Arial" w:eastAsia="Arial" w:hAnsi="Arial"/>
          <w:sz w:val="19"/>
          <w:szCs w:val="19"/>
          <w:color w:val="auto"/>
        </w:rPr>
        <w:t>”), then for each day after the Outside Delivery Date that the Expansion Premises remain undelivered, Tenant shall receive one (1) day of credit against Base Rent and Direct Expenses to be applied to the amounts first coming due after the Expansion Premises Commencement Date and the expiration of the “Expansion Premises Rent Abatement Period” (as defined below). If Landlord is unable to deliver the Expansion Premises to Tenant on or before October 1, 2022 (the “</w:t>
      </w:r>
      <w:r>
        <w:rPr>
          <w:rFonts w:ascii="Arial" w:cs="Arial" w:eastAsia="Arial" w:hAnsi="Arial"/>
          <w:sz w:val="19"/>
          <w:szCs w:val="19"/>
          <w:b w:val="1"/>
          <w:bCs w:val="1"/>
          <w:color w:val="auto"/>
        </w:rPr>
        <w:t>Final Delivery Date</w:t>
      </w:r>
      <w:r>
        <w:rPr>
          <w:rFonts w:ascii="Arial" w:cs="Arial" w:eastAsia="Arial" w:hAnsi="Arial"/>
          <w:sz w:val="19"/>
          <w:szCs w:val="19"/>
          <w:color w:val="auto"/>
        </w:rPr>
        <w:t>”), then Tenant shall have the right to terminate this First Amendment, by written notice to Landlord. The Outside Delivery Date and the Final Delivery Date shall be extended for any delays in the delivery of the Expansion Premises caused by Force Majeure (as defined in the Lease).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65"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u w:val="single" w:color="auto"/>
          <w:color w:val="auto"/>
        </w:rPr>
        <w:t>Expansion Premises Term</w:t>
      </w:r>
      <w:r>
        <w:rPr>
          <w:rFonts w:ascii="Arial" w:cs="Arial" w:eastAsia="Arial" w:hAnsi="Arial"/>
          <w:sz w:val="22"/>
          <w:szCs w:val="22"/>
          <w:color w:val="auto"/>
        </w:rPr>
        <w:t>. The lease term for the Expansion Premises (the "</w:t>
      </w:r>
      <w:r>
        <w:rPr>
          <w:rFonts w:ascii="Arial" w:cs="Arial" w:eastAsia="Arial" w:hAnsi="Arial"/>
          <w:sz w:val="22"/>
          <w:szCs w:val="22"/>
          <w:b w:val="1"/>
          <w:bCs w:val="1"/>
          <w:color w:val="auto"/>
        </w:rPr>
        <w:t>Expansion Premises Term</w:t>
      </w:r>
      <w:r>
        <w:rPr>
          <w:rFonts w:ascii="Arial" w:cs="Arial" w:eastAsia="Arial" w:hAnsi="Arial"/>
          <w:sz w:val="22"/>
          <w:szCs w:val="22"/>
          <w:color w:val="auto"/>
        </w:rPr>
        <w:t>") shall commence on the Expansion Premises Commencement Date for a period of ten (10) years, and shall expire on March 31, 2032.</w:t>
      </w:r>
    </w:p>
    <w:p>
      <w:pPr>
        <w:spacing w:after="0" w:line="195" w:lineRule="exact"/>
        <w:rPr>
          <w:sz w:val="20"/>
          <w:szCs w:val="20"/>
          <w:color w:val="auto"/>
        </w:rPr>
      </w:pPr>
    </w:p>
    <w:p>
      <w:pPr>
        <w:jc w:val="both"/>
        <w:ind w:right="20" w:firstLine="1296"/>
        <w:spacing w:after="0" w:line="320"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b w:val="1"/>
          <w:bCs w:val="1"/>
          <w:u w:val="single" w:color="auto"/>
          <w:color w:val="auto"/>
        </w:rPr>
        <w:t>Existing Premises Term</w:t>
      </w:r>
      <w:r>
        <w:rPr>
          <w:rFonts w:ascii="Arial" w:cs="Arial" w:eastAsia="Arial" w:hAnsi="Arial"/>
          <w:sz w:val="19"/>
          <w:szCs w:val="19"/>
          <w:color w:val="auto"/>
        </w:rPr>
        <w:t>. The lease term for the Existing Premises is currently scheduled to expire on February 28, 2029. Notwithstanding the foregoing, such term is hereby extended to, and shall expire on, March 31, 2032.</w:t>
      </w:r>
    </w:p>
    <w:p>
      <w:pPr>
        <w:spacing w:after="0" w:line="119"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b w:val="1"/>
          <w:bCs w:val="1"/>
          <w:u w:val="single" w:color="auto"/>
          <w:color w:val="auto"/>
        </w:rPr>
        <w:t>Furniture</w:t>
      </w:r>
      <w:r>
        <w:rPr>
          <w:rFonts w:ascii="Arial" w:cs="Arial" w:eastAsia="Arial" w:hAnsi="Arial"/>
          <w:sz w:val="19"/>
          <w:szCs w:val="19"/>
          <w:color w:val="auto"/>
        </w:rPr>
        <w:t xml:space="preserve">. Tenant acknowledges that it will be purchasing the furniture, fixtures and equipment listed on </w:t>
      </w:r>
      <w:r>
        <w:rPr>
          <w:rFonts w:ascii="Arial" w:cs="Arial" w:eastAsia="Arial" w:hAnsi="Arial"/>
          <w:sz w:val="19"/>
          <w:szCs w:val="19"/>
          <w:b w:val="1"/>
          <w:bCs w:val="1"/>
          <w:u w:val="single" w:color="auto"/>
          <w:color w:val="auto"/>
        </w:rPr>
        <w:t>Exhibit B</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 (the “</w:t>
      </w:r>
      <w:r>
        <w:rPr>
          <w:rFonts w:ascii="Arial" w:cs="Arial" w:eastAsia="Arial" w:hAnsi="Arial"/>
          <w:sz w:val="19"/>
          <w:szCs w:val="19"/>
          <w:b w:val="1"/>
          <w:bCs w:val="1"/>
          <w:color w:val="auto"/>
        </w:rPr>
        <w:t>FF&amp;E</w:t>
      </w:r>
      <w:r>
        <w:rPr>
          <w:rFonts w:ascii="Arial" w:cs="Arial" w:eastAsia="Arial" w:hAnsi="Arial"/>
          <w:sz w:val="19"/>
          <w:szCs w:val="19"/>
          <w:color w:val="auto"/>
        </w:rPr>
        <w:t>”) from the current tenant of the Expansion Premises, and that, accordingly, Tenant will</w:t>
      </w:r>
      <w:r>
        <w:rPr>
          <w:rFonts w:ascii="Arial" w:cs="Arial" w:eastAsia="Arial" w:hAnsi="Arial"/>
          <w:sz w:val="19"/>
          <w:szCs w:val="19"/>
          <w:b w:val="1"/>
          <w:bCs w:val="1"/>
          <w:color w:val="auto"/>
        </w:rPr>
        <w:t xml:space="preserve"> </w:t>
      </w:r>
      <w:r>
        <w:rPr>
          <w:rFonts w:ascii="Arial" w:cs="Arial" w:eastAsia="Arial" w:hAnsi="Arial"/>
          <w:sz w:val="19"/>
          <w:szCs w:val="19"/>
          <w:color w:val="auto"/>
        </w:rPr>
        <w:t>accept the Premises with the FF&amp;E and all currently existing cabling in place in the Expansion Premises. Tenant shall be required to remove the FF&amp;E and all such cabling as of the expiration or earlier termination of the Lease. Landlord makes no representations or warranties, and will have no obligations whatsoever, with respect to the FF&amp;E. Landlord shall have no liability to Tenant if any of the FF&amp;E is missing or damaged as of the delivery of the Expansion Premises to Tenant.</w:t>
      </w:r>
    </w:p>
    <w:p>
      <w:pPr>
        <w:spacing w:after="0" w:line="173" w:lineRule="exact"/>
        <w:rPr>
          <w:sz w:val="20"/>
          <w:szCs w:val="20"/>
          <w:color w:val="auto"/>
        </w:rPr>
      </w:pPr>
    </w:p>
    <w:p>
      <w:pPr>
        <w:ind w:left="1040" w:hanging="384"/>
        <w:spacing w:after="0"/>
        <w:tabs>
          <w:tab w:leader="none" w:pos="1040"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Base Rent</w:t>
      </w:r>
      <w:r>
        <w:rPr>
          <w:rFonts w:ascii="Arial" w:cs="Arial" w:eastAsia="Arial" w:hAnsi="Arial"/>
          <w:sz w:val="22"/>
          <w:szCs w:val="22"/>
          <w:color w:val="auto"/>
        </w:rPr>
        <w:t>.</w:t>
      </w:r>
    </w:p>
    <w:p>
      <w:pPr>
        <w:spacing w:after="0" w:line="21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u w:val="single" w:color="auto"/>
          <w:color w:val="auto"/>
        </w:rPr>
        <w:t>Base Rent for Expansion Premises</w:t>
      </w:r>
      <w:r>
        <w:rPr>
          <w:rFonts w:ascii="Arial" w:cs="Arial" w:eastAsia="Arial" w:hAnsi="Arial"/>
          <w:sz w:val="19"/>
          <w:szCs w:val="19"/>
          <w:color w:val="auto"/>
        </w:rPr>
        <w:t>. During the Expansion Premises Term, the Base Rent payable by</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Tenant to Landlord for the Expansion Premises shall be as set forth in the following schedule:</w:t>
      </w:r>
    </w:p>
    <w:p>
      <w:pPr>
        <w:spacing w:after="0" w:line="269" w:lineRule="exact"/>
        <w:rPr>
          <w:sz w:val="20"/>
          <w:szCs w:val="20"/>
          <w:color w:val="auto"/>
        </w:rPr>
      </w:pPr>
    </w:p>
    <w:tbl>
      <w:tblPr>
        <w:tblLayout w:type="fixed"/>
        <w:tblInd w:w="520" w:type="dxa"/>
        <w:tblCellMar>
          <w:top w:w="0" w:type="dxa"/>
          <w:left w:w="0" w:type="dxa"/>
          <w:bottom w:w="0" w:type="dxa"/>
          <w:right w:w="0" w:type="dxa"/>
        </w:tblCellMar>
      </w:tblPr>
      <w:tr>
        <w:trPr>
          <w:trHeight w:val="257"/>
        </w:trPr>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60" w:type="dxa"/>
            <w:vAlign w:val="bottom"/>
            <w:gridSpan w:val="2"/>
          </w:tcPr>
          <w:p>
            <w:pPr>
              <w:jc w:val="center"/>
              <w:ind w:right="760"/>
              <w:spacing w:after="0"/>
              <w:rPr>
                <w:sz w:val="20"/>
                <w:szCs w:val="20"/>
                <w:color w:val="auto"/>
              </w:rPr>
            </w:pPr>
            <w:r>
              <w:rPr>
                <w:rFonts w:ascii="Arial" w:cs="Arial" w:eastAsia="Arial" w:hAnsi="Arial"/>
                <w:sz w:val="22"/>
                <w:szCs w:val="22"/>
                <w:color w:val="auto"/>
                <w:w w:val="96"/>
              </w:rPr>
              <w:t>Monthly</w:t>
            </w:r>
          </w:p>
        </w:tc>
        <w:tc>
          <w:tcPr>
            <w:tcW w:w="2320" w:type="dxa"/>
            <w:vAlign w:val="bottom"/>
            <w:gridSpan w:val="3"/>
          </w:tcPr>
          <w:p>
            <w:pPr>
              <w:jc w:val="center"/>
              <w:ind w:left="632"/>
              <w:spacing w:after="0"/>
              <w:rPr>
                <w:sz w:val="20"/>
                <w:szCs w:val="20"/>
                <w:color w:val="auto"/>
              </w:rPr>
            </w:pPr>
            <w:r>
              <w:rPr>
                <w:rFonts w:ascii="Arial" w:cs="Arial" w:eastAsia="Arial" w:hAnsi="Arial"/>
                <w:sz w:val="22"/>
                <w:szCs w:val="22"/>
                <w:color w:val="auto"/>
                <w:w w:val="91"/>
              </w:rPr>
              <w:t>Monthly Base</w:t>
            </w:r>
          </w:p>
        </w:tc>
      </w:tr>
      <w:tr>
        <w:trPr>
          <w:trHeight w:val="257"/>
        </w:trPr>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22"/>
                <w:szCs w:val="22"/>
                <w:color w:val="auto"/>
                <w:w w:val="93"/>
              </w:rPr>
              <w:t>Annual</w:t>
            </w:r>
          </w:p>
        </w:tc>
        <w:tc>
          <w:tcPr>
            <w:tcW w:w="1220" w:type="dxa"/>
            <w:vAlign w:val="bottom"/>
          </w:tcPr>
          <w:p>
            <w:pPr>
              <w:spacing w:after="0"/>
              <w:rPr>
                <w:sz w:val="22"/>
                <w:szCs w:val="22"/>
                <w:color w:val="auto"/>
              </w:rPr>
            </w:pPr>
          </w:p>
        </w:tc>
        <w:tc>
          <w:tcPr>
            <w:tcW w:w="1860" w:type="dxa"/>
            <w:vAlign w:val="bottom"/>
            <w:gridSpan w:val="2"/>
          </w:tcPr>
          <w:p>
            <w:pPr>
              <w:jc w:val="center"/>
              <w:ind w:right="740"/>
              <w:spacing w:after="0"/>
              <w:rPr>
                <w:sz w:val="20"/>
                <w:szCs w:val="20"/>
                <w:color w:val="auto"/>
              </w:rPr>
            </w:pPr>
            <w:r>
              <w:rPr>
                <w:rFonts w:ascii="Arial" w:cs="Arial" w:eastAsia="Arial" w:hAnsi="Arial"/>
                <w:sz w:val="22"/>
                <w:szCs w:val="22"/>
                <w:color w:val="auto"/>
                <w:w w:val="90"/>
              </w:rPr>
              <w:t>Installment</w:t>
            </w:r>
          </w:p>
        </w:tc>
        <w:tc>
          <w:tcPr>
            <w:tcW w:w="2320" w:type="dxa"/>
            <w:vAlign w:val="bottom"/>
            <w:gridSpan w:val="3"/>
          </w:tcPr>
          <w:p>
            <w:pPr>
              <w:jc w:val="center"/>
              <w:ind w:left="652"/>
              <w:spacing w:after="0"/>
              <w:rPr>
                <w:sz w:val="20"/>
                <w:szCs w:val="20"/>
                <w:color w:val="auto"/>
              </w:rPr>
            </w:pPr>
            <w:r>
              <w:rPr>
                <w:rFonts w:ascii="Arial" w:cs="Arial" w:eastAsia="Arial" w:hAnsi="Arial"/>
                <w:sz w:val="22"/>
                <w:szCs w:val="22"/>
                <w:color w:val="auto"/>
                <w:w w:val="87"/>
              </w:rPr>
              <w:t>Rent per Rentable</w:t>
            </w:r>
          </w:p>
        </w:tc>
      </w:tr>
      <w:tr>
        <w:trPr>
          <w:trHeight w:val="224"/>
        </w:trPr>
        <w:tc>
          <w:tcPr>
            <w:tcW w:w="1240" w:type="dxa"/>
            <w:vAlign w:val="bottom"/>
          </w:tcPr>
          <w:p>
            <w:pPr>
              <w:spacing w:after="0"/>
              <w:rPr>
                <w:sz w:val="19"/>
                <w:szCs w:val="19"/>
                <w:color w:val="auto"/>
              </w:rPr>
            </w:pPr>
          </w:p>
        </w:tc>
        <w:tc>
          <w:tcPr>
            <w:tcW w:w="420" w:type="dxa"/>
            <w:vAlign w:val="bottom"/>
          </w:tcPr>
          <w:p>
            <w:pPr>
              <w:spacing w:after="0" w:line="224" w:lineRule="exact"/>
              <w:rPr>
                <w:sz w:val="20"/>
                <w:szCs w:val="20"/>
                <w:color w:val="auto"/>
              </w:rPr>
            </w:pPr>
            <w:r>
              <w:rPr>
                <w:rFonts w:ascii="Arial" w:cs="Arial" w:eastAsia="Arial" w:hAnsi="Arial"/>
                <w:sz w:val="22"/>
                <w:szCs w:val="22"/>
                <w:color w:val="auto"/>
                <w:w w:val="85"/>
              </w:rPr>
              <w:t>Date</w:t>
            </w:r>
          </w:p>
        </w:tc>
        <w:tc>
          <w:tcPr>
            <w:tcW w:w="1000" w:type="dxa"/>
            <w:vAlign w:val="bottom"/>
          </w:tcPr>
          <w:p>
            <w:pPr>
              <w:spacing w:after="0"/>
              <w:rPr>
                <w:sz w:val="19"/>
                <w:szCs w:val="19"/>
                <w:color w:val="auto"/>
              </w:rPr>
            </w:pPr>
          </w:p>
        </w:tc>
        <w:tc>
          <w:tcPr>
            <w:tcW w:w="2120" w:type="dxa"/>
            <w:vAlign w:val="bottom"/>
            <w:gridSpan w:val="3"/>
          </w:tcPr>
          <w:p>
            <w:pPr>
              <w:jc w:val="center"/>
              <w:ind w:left="252"/>
              <w:spacing w:after="0" w:line="224" w:lineRule="exact"/>
              <w:rPr>
                <w:sz w:val="20"/>
                <w:szCs w:val="20"/>
                <w:color w:val="auto"/>
              </w:rPr>
            </w:pPr>
            <w:r>
              <w:rPr>
                <w:rFonts w:ascii="Arial" w:cs="Arial" w:eastAsia="Arial" w:hAnsi="Arial"/>
                <w:sz w:val="22"/>
                <w:szCs w:val="22"/>
                <w:color w:val="auto"/>
                <w:w w:val="85"/>
              </w:rPr>
              <w:t>Base Rent</w:t>
            </w:r>
          </w:p>
        </w:tc>
        <w:tc>
          <w:tcPr>
            <w:tcW w:w="1220" w:type="dxa"/>
            <w:vAlign w:val="bottom"/>
          </w:tcPr>
          <w:p>
            <w:pPr>
              <w:spacing w:after="0"/>
              <w:rPr>
                <w:sz w:val="19"/>
                <w:szCs w:val="19"/>
                <w:color w:val="auto"/>
              </w:rPr>
            </w:pPr>
          </w:p>
        </w:tc>
        <w:tc>
          <w:tcPr>
            <w:tcW w:w="1860" w:type="dxa"/>
            <w:vAlign w:val="bottom"/>
            <w:gridSpan w:val="2"/>
          </w:tcPr>
          <w:p>
            <w:pPr>
              <w:jc w:val="center"/>
              <w:ind w:right="740"/>
              <w:spacing w:after="0" w:line="224" w:lineRule="exact"/>
              <w:rPr>
                <w:sz w:val="20"/>
                <w:szCs w:val="20"/>
                <w:color w:val="auto"/>
              </w:rPr>
            </w:pPr>
            <w:r>
              <w:rPr>
                <w:rFonts w:ascii="Arial" w:cs="Arial" w:eastAsia="Arial" w:hAnsi="Arial"/>
                <w:sz w:val="22"/>
                <w:szCs w:val="22"/>
                <w:color w:val="auto"/>
                <w:w w:val="88"/>
              </w:rPr>
              <w:t>of Base Rent</w:t>
            </w:r>
          </w:p>
        </w:tc>
        <w:tc>
          <w:tcPr>
            <w:tcW w:w="2320" w:type="dxa"/>
            <w:vAlign w:val="bottom"/>
            <w:gridSpan w:val="3"/>
          </w:tcPr>
          <w:p>
            <w:pPr>
              <w:jc w:val="center"/>
              <w:ind w:left="632"/>
              <w:spacing w:after="0" w:line="224" w:lineRule="exact"/>
              <w:rPr>
                <w:sz w:val="20"/>
                <w:szCs w:val="20"/>
                <w:color w:val="auto"/>
              </w:rPr>
            </w:pPr>
            <w:r>
              <w:rPr>
                <w:rFonts w:ascii="Arial" w:cs="Arial" w:eastAsia="Arial" w:hAnsi="Arial"/>
                <w:sz w:val="22"/>
                <w:szCs w:val="22"/>
                <w:color w:val="auto"/>
                <w:w w:val="87"/>
              </w:rPr>
              <w:t>Square Foot</w:t>
            </w:r>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10"/>
        </w:trPr>
        <w:tc>
          <w:tcPr>
            <w:tcW w:w="2660" w:type="dxa"/>
            <w:vAlign w:val="bottom"/>
            <w:gridSpan w:val="3"/>
          </w:tcPr>
          <w:p>
            <w:pPr>
              <w:jc w:val="center"/>
              <w:ind w:right="560"/>
              <w:spacing w:after="0"/>
              <w:rPr>
                <w:sz w:val="20"/>
                <w:szCs w:val="20"/>
                <w:color w:val="auto"/>
              </w:rPr>
            </w:pPr>
            <w:r>
              <w:rPr>
                <w:rFonts w:ascii="Arial" w:cs="Arial" w:eastAsia="Arial" w:hAnsi="Arial"/>
                <w:sz w:val="22"/>
                <w:szCs w:val="22"/>
                <w:color w:val="auto"/>
                <w:w w:val="86"/>
              </w:rPr>
              <w:t>Expansion Premises</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2660" w:type="dxa"/>
            <w:vAlign w:val="bottom"/>
            <w:gridSpan w:val="3"/>
          </w:tcPr>
          <w:p>
            <w:pPr>
              <w:jc w:val="center"/>
              <w:ind w:right="620"/>
              <w:spacing w:after="0" w:line="229" w:lineRule="exact"/>
              <w:rPr>
                <w:sz w:val="20"/>
                <w:szCs w:val="20"/>
                <w:color w:val="auto"/>
              </w:rPr>
            </w:pPr>
            <w:r>
              <w:rPr>
                <w:rFonts w:ascii="Arial" w:cs="Arial" w:eastAsia="Arial" w:hAnsi="Arial"/>
                <w:sz w:val="22"/>
                <w:szCs w:val="22"/>
                <w:color w:val="auto"/>
                <w:w w:val="87"/>
              </w:rPr>
              <w:t>Commencement Date –</w:t>
            </w: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74"/>
        </w:trPr>
        <w:tc>
          <w:tcPr>
            <w:tcW w:w="2660" w:type="dxa"/>
            <w:vAlign w:val="bottom"/>
            <w:gridSpan w:val="3"/>
          </w:tcPr>
          <w:p>
            <w:pPr>
              <w:jc w:val="center"/>
              <w:ind w:right="560"/>
              <w:spacing w:after="0"/>
              <w:rPr>
                <w:sz w:val="20"/>
                <w:szCs w:val="20"/>
                <w:color w:val="auto"/>
              </w:rPr>
            </w:pPr>
            <w:r>
              <w:rPr>
                <w:rFonts w:ascii="Arial" w:cs="Arial" w:eastAsia="Arial" w:hAnsi="Arial"/>
                <w:sz w:val="22"/>
                <w:szCs w:val="22"/>
                <w:color w:val="auto"/>
                <w:w w:val="90"/>
              </w:rPr>
              <w:t>March 31, 2023</w:t>
            </w:r>
          </w:p>
        </w:tc>
        <w:tc>
          <w:tcPr>
            <w:tcW w:w="2120" w:type="dxa"/>
            <w:vAlign w:val="bottom"/>
            <w:gridSpan w:val="3"/>
          </w:tcPr>
          <w:p>
            <w:pPr>
              <w:jc w:val="center"/>
              <w:ind w:left="252"/>
              <w:spacing w:after="0"/>
              <w:rPr>
                <w:sz w:val="20"/>
                <w:szCs w:val="20"/>
                <w:color w:val="auto"/>
              </w:rPr>
            </w:pPr>
            <w:r>
              <w:rPr>
                <w:rFonts w:ascii="Arial" w:cs="Arial" w:eastAsia="Arial" w:hAnsi="Arial"/>
                <w:sz w:val="22"/>
                <w:szCs w:val="22"/>
                <w:color w:val="auto"/>
                <w:w w:val="88"/>
              </w:rPr>
              <w:t>$3,710,148.00</w:t>
            </w:r>
          </w:p>
        </w:tc>
        <w:tc>
          <w:tcPr>
            <w:tcW w:w="2340" w:type="dxa"/>
            <w:vAlign w:val="bottom"/>
            <w:gridSpan w:val="2"/>
          </w:tcPr>
          <w:p>
            <w:pPr>
              <w:jc w:val="center"/>
              <w:ind w:left="1114"/>
              <w:spacing w:after="0"/>
              <w:rPr>
                <w:sz w:val="20"/>
                <w:szCs w:val="20"/>
                <w:color w:val="auto"/>
              </w:rPr>
            </w:pPr>
            <w:r>
              <w:rPr>
                <w:rFonts w:ascii="Arial" w:cs="Arial" w:eastAsia="Arial" w:hAnsi="Arial"/>
                <w:sz w:val="22"/>
                <w:szCs w:val="22"/>
                <w:color w:val="auto"/>
                <w:w w:val="88"/>
              </w:rPr>
              <w:t>$309,179.00</w:t>
            </w:r>
          </w:p>
        </w:tc>
        <w:tc>
          <w:tcPr>
            <w:tcW w:w="740" w:type="dxa"/>
            <w:vAlign w:val="bottom"/>
          </w:tcPr>
          <w:p>
            <w:pPr>
              <w:spacing w:after="0"/>
              <w:rPr>
                <w:sz w:val="23"/>
                <w:szCs w:val="23"/>
                <w:color w:val="auto"/>
              </w:rPr>
            </w:pPr>
          </w:p>
        </w:tc>
        <w:tc>
          <w:tcPr>
            <w:tcW w:w="2060" w:type="dxa"/>
            <w:vAlign w:val="bottom"/>
            <w:gridSpan w:val="2"/>
          </w:tcPr>
          <w:p>
            <w:pPr>
              <w:jc w:val="center"/>
              <w:ind w:left="912"/>
              <w:spacing w:after="0"/>
              <w:rPr>
                <w:sz w:val="20"/>
                <w:szCs w:val="20"/>
                <w:color w:val="auto"/>
              </w:rPr>
            </w:pPr>
            <w:r>
              <w:rPr>
                <w:rFonts w:ascii="Arial" w:cs="Arial" w:eastAsia="Arial" w:hAnsi="Arial"/>
                <w:sz w:val="22"/>
                <w:szCs w:val="22"/>
                <w:color w:val="auto"/>
                <w:w w:val="87"/>
              </w:rPr>
              <w:t>$6.50</w:t>
            </w:r>
          </w:p>
        </w:tc>
        <w:tc>
          <w:tcPr>
            <w:tcW w:w="260" w:type="dxa"/>
            <w:vAlign w:val="bottom"/>
          </w:tcPr>
          <w:p>
            <w:pPr>
              <w:spacing w:after="0"/>
              <w:rPr>
                <w:sz w:val="23"/>
                <w:szCs w:val="23"/>
                <w:color w:val="auto"/>
              </w:rPr>
            </w:pPr>
          </w:p>
        </w:tc>
      </w:tr>
      <w:tr>
        <w:trPr>
          <w:trHeight w:val="360"/>
        </w:trPr>
        <w:tc>
          <w:tcPr>
            <w:tcW w:w="2660" w:type="dxa"/>
            <w:vAlign w:val="bottom"/>
            <w:gridSpan w:val="3"/>
          </w:tcPr>
          <w:p>
            <w:pPr>
              <w:jc w:val="center"/>
              <w:ind w:right="220"/>
              <w:spacing w:after="0"/>
              <w:rPr>
                <w:sz w:val="20"/>
                <w:szCs w:val="20"/>
                <w:color w:val="auto"/>
              </w:rPr>
            </w:pPr>
            <w:r>
              <w:rPr>
                <w:rFonts w:ascii="Arial" w:cs="Arial" w:eastAsia="Arial" w:hAnsi="Arial"/>
                <w:sz w:val="22"/>
                <w:szCs w:val="22"/>
                <w:color w:val="auto"/>
                <w:w w:val="93"/>
              </w:rPr>
              <w:t>April 1, 2023 –</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4"/>
        </w:trPr>
        <w:tc>
          <w:tcPr>
            <w:tcW w:w="2660" w:type="dxa"/>
            <w:vAlign w:val="bottom"/>
            <w:gridSpan w:val="3"/>
          </w:tcPr>
          <w:p>
            <w:pPr>
              <w:jc w:val="center"/>
              <w:ind w:right="240"/>
              <w:spacing w:after="0"/>
              <w:rPr>
                <w:sz w:val="20"/>
                <w:szCs w:val="20"/>
                <w:color w:val="auto"/>
              </w:rPr>
            </w:pPr>
            <w:r>
              <w:rPr>
                <w:rFonts w:ascii="Arial" w:cs="Arial" w:eastAsia="Arial" w:hAnsi="Arial"/>
                <w:sz w:val="22"/>
                <w:szCs w:val="22"/>
                <w:color w:val="auto"/>
                <w:w w:val="90"/>
              </w:rPr>
              <w:t>March 31, 2024</w:t>
            </w:r>
          </w:p>
        </w:tc>
        <w:tc>
          <w:tcPr>
            <w:tcW w:w="2120" w:type="dxa"/>
            <w:vAlign w:val="bottom"/>
            <w:gridSpan w:val="3"/>
          </w:tcPr>
          <w:p>
            <w:pPr>
              <w:jc w:val="center"/>
              <w:ind w:left="252"/>
              <w:spacing w:after="0"/>
              <w:rPr>
                <w:sz w:val="20"/>
                <w:szCs w:val="20"/>
                <w:color w:val="auto"/>
              </w:rPr>
            </w:pPr>
            <w:r>
              <w:rPr>
                <w:rFonts w:ascii="Arial" w:cs="Arial" w:eastAsia="Arial" w:hAnsi="Arial"/>
                <w:sz w:val="22"/>
                <w:szCs w:val="22"/>
                <w:color w:val="auto"/>
                <w:w w:val="88"/>
              </w:rPr>
              <w:t>$3,840,003.18</w:t>
            </w:r>
          </w:p>
        </w:tc>
        <w:tc>
          <w:tcPr>
            <w:tcW w:w="2340" w:type="dxa"/>
            <w:vAlign w:val="bottom"/>
            <w:gridSpan w:val="2"/>
          </w:tcPr>
          <w:p>
            <w:pPr>
              <w:jc w:val="center"/>
              <w:ind w:left="1114"/>
              <w:spacing w:after="0"/>
              <w:rPr>
                <w:sz w:val="20"/>
                <w:szCs w:val="20"/>
                <w:color w:val="auto"/>
              </w:rPr>
            </w:pPr>
            <w:r>
              <w:rPr>
                <w:rFonts w:ascii="Arial" w:cs="Arial" w:eastAsia="Arial" w:hAnsi="Arial"/>
                <w:sz w:val="22"/>
                <w:szCs w:val="22"/>
                <w:color w:val="auto"/>
                <w:w w:val="88"/>
              </w:rPr>
              <w:t>$320,000.27</w:t>
            </w:r>
          </w:p>
        </w:tc>
        <w:tc>
          <w:tcPr>
            <w:tcW w:w="740" w:type="dxa"/>
            <w:vAlign w:val="bottom"/>
          </w:tcPr>
          <w:p>
            <w:pPr>
              <w:spacing w:after="0"/>
              <w:rPr>
                <w:sz w:val="23"/>
                <w:szCs w:val="23"/>
                <w:color w:val="auto"/>
              </w:rPr>
            </w:pPr>
          </w:p>
        </w:tc>
        <w:tc>
          <w:tcPr>
            <w:tcW w:w="2060" w:type="dxa"/>
            <w:vAlign w:val="bottom"/>
            <w:gridSpan w:val="2"/>
          </w:tcPr>
          <w:p>
            <w:pPr>
              <w:jc w:val="center"/>
              <w:ind w:left="892"/>
              <w:spacing w:after="0"/>
              <w:rPr>
                <w:sz w:val="20"/>
                <w:szCs w:val="20"/>
                <w:color w:val="auto"/>
              </w:rPr>
            </w:pPr>
            <w:r>
              <w:rPr>
                <w:rFonts w:ascii="Arial" w:cs="Arial" w:eastAsia="Arial" w:hAnsi="Arial"/>
                <w:sz w:val="22"/>
                <w:szCs w:val="22"/>
                <w:color w:val="auto"/>
                <w:w w:val="87"/>
              </w:rPr>
              <w:t>$6.7275</w:t>
            </w:r>
          </w:p>
        </w:tc>
        <w:tc>
          <w:tcPr>
            <w:tcW w:w="260" w:type="dxa"/>
            <w:vAlign w:val="bottom"/>
          </w:tcPr>
          <w:p>
            <w:pPr>
              <w:spacing w:after="0"/>
              <w:rPr>
                <w:sz w:val="23"/>
                <w:szCs w:val="23"/>
                <w:color w:val="auto"/>
              </w:rPr>
            </w:pPr>
          </w:p>
        </w:tc>
      </w:tr>
      <w:tr>
        <w:trPr>
          <w:trHeight w:val="360"/>
        </w:trPr>
        <w:tc>
          <w:tcPr>
            <w:tcW w:w="2660" w:type="dxa"/>
            <w:vAlign w:val="bottom"/>
            <w:gridSpan w:val="3"/>
          </w:tcPr>
          <w:p>
            <w:pPr>
              <w:jc w:val="center"/>
              <w:ind w:right="220"/>
              <w:spacing w:after="0"/>
              <w:rPr>
                <w:sz w:val="20"/>
                <w:szCs w:val="20"/>
                <w:color w:val="auto"/>
              </w:rPr>
            </w:pPr>
            <w:r>
              <w:rPr>
                <w:rFonts w:ascii="Arial" w:cs="Arial" w:eastAsia="Arial" w:hAnsi="Arial"/>
                <w:sz w:val="22"/>
                <w:szCs w:val="22"/>
                <w:color w:val="auto"/>
                <w:w w:val="93"/>
              </w:rPr>
              <w:t>April 1, 2024 –</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4"/>
        </w:trPr>
        <w:tc>
          <w:tcPr>
            <w:tcW w:w="2660" w:type="dxa"/>
            <w:vAlign w:val="bottom"/>
            <w:gridSpan w:val="3"/>
          </w:tcPr>
          <w:p>
            <w:pPr>
              <w:jc w:val="center"/>
              <w:ind w:right="240"/>
              <w:spacing w:after="0"/>
              <w:rPr>
                <w:sz w:val="20"/>
                <w:szCs w:val="20"/>
                <w:color w:val="auto"/>
              </w:rPr>
            </w:pPr>
            <w:r>
              <w:rPr>
                <w:rFonts w:ascii="Arial" w:cs="Arial" w:eastAsia="Arial" w:hAnsi="Arial"/>
                <w:sz w:val="22"/>
                <w:szCs w:val="22"/>
                <w:color w:val="auto"/>
                <w:w w:val="90"/>
              </w:rPr>
              <w:t>March 31, 2025</w:t>
            </w:r>
          </w:p>
        </w:tc>
        <w:tc>
          <w:tcPr>
            <w:tcW w:w="2120" w:type="dxa"/>
            <w:vAlign w:val="bottom"/>
            <w:gridSpan w:val="3"/>
          </w:tcPr>
          <w:p>
            <w:pPr>
              <w:jc w:val="center"/>
              <w:ind w:left="252"/>
              <w:spacing w:after="0"/>
              <w:rPr>
                <w:sz w:val="20"/>
                <w:szCs w:val="20"/>
                <w:color w:val="auto"/>
              </w:rPr>
            </w:pPr>
            <w:r>
              <w:rPr>
                <w:rFonts w:ascii="Arial" w:cs="Arial" w:eastAsia="Arial" w:hAnsi="Arial"/>
                <w:sz w:val="22"/>
                <w:szCs w:val="22"/>
                <w:color w:val="auto"/>
                <w:w w:val="88"/>
              </w:rPr>
              <w:t>$3,974,424.70</w:t>
            </w:r>
          </w:p>
        </w:tc>
        <w:tc>
          <w:tcPr>
            <w:tcW w:w="2340" w:type="dxa"/>
            <w:vAlign w:val="bottom"/>
            <w:gridSpan w:val="2"/>
          </w:tcPr>
          <w:p>
            <w:pPr>
              <w:jc w:val="center"/>
              <w:ind w:left="1114"/>
              <w:spacing w:after="0"/>
              <w:rPr>
                <w:sz w:val="20"/>
                <w:szCs w:val="20"/>
                <w:color w:val="auto"/>
              </w:rPr>
            </w:pPr>
            <w:r>
              <w:rPr>
                <w:rFonts w:ascii="Arial" w:cs="Arial" w:eastAsia="Arial" w:hAnsi="Arial"/>
                <w:sz w:val="22"/>
                <w:szCs w:val="22"/>
                <w:color w:val="auto"/>
                <w:w w:val="88"/>
              </w:rPr>
              <w:t>$331,202.06</w:t>
            </w:r>
          </w:p>
        </w:tc>
        <w:tc>
          <w:tcPr>
            <w:tcW w:w="740" w:type="dxa"/>
            <w:vAlign w:val="bottom"/>
          </w:tcPr>
          <w:p>
            <w:pPr>
              <w:spacing w:after="0"/>
              <w:rPr>
                <w:sz w:val="23"/>
                <w:szCs w:val="23"/>
                <w:color w:val="auto"/>
              </w:rPr>
            </w:pPr>
          </w:p>
        </w:tc>
        <w:tc>
          <w:tcPr>
            <w:tcW w:w="2060" w:type="dxa"/>
            <w:vAlign w:val="bottom"/>
            <w:gridSpan w:val="2"/>
          </w:tcPr>
          <w:p>
            <w:pPr>
              <w:jc w:val="center"/>
              <w:ind w:left="892"/>
              <w:spacing w:after="0"/>
              <w:rPr>
                <w:sz w:val="20"/>
                <w:szCs w:val="20"/>
                <w:color w:val="auto"/>
              </w:rPr>
            </w:pPr>
            <w:r>
              <w:rPr>
                <w:rFonts w:ascii="Arial" w:cs="Arial" w:eastAsia="Arial" w:hAnsi="Arial"/>
                <w:sz w:val="22"/>
                <w:szCs w:val="22"/>
                <w:color w:val="auto"/>
                <w:w w:val="87"/>
              </w:rPr>
              <w:t>$6.9630</w:t>
            </w:r>
          </w:p>
        </w:tc>
        <w:tc>
          <w:tcPr>
            <w:tcW w:w="260" w:type="dxa"/>
            <w:vAlign w:val="bottom"/>
          </w:tcPr>
          <w:p>
            <w:pPr>
              <w:spacing w:after="0"/>
              <w:rPr>
                <w:sz w:val="23"/>
                <w:szCs w:val="23"/>
                <w:color w:val="auto"/>
              </w:rPr>
            </w:pPr>
          </w:p>
        </w:tc>
      </w:tr>
      <w:tr>
        <w:trPr>
          <w:trHeight w:val="360"/>
        </w:trPr>
        <w:tc>
          <w:tcPr>
            <w:tcW w:w="2660" w:type="dxa"/>
            <w:vAlign w:val="bottom"/>
            <w:gridSpan w:val="3"/>
          </w:tcPr>
          <w:p>
            <w:pPr>
              <w:jc w:val="center"/>
              <w:ind w:right="220"/>
              <w:spacing w:after="0"/>
              <w:rPr>
                <w:sz w:val="20"/>
                <w:szCs w:val="20"/>
                <w:color w:val="auto"/>
              </w:rPr>
            </w:pPr>
            <w:r>
              <w:rPr>
                <w:rFonts w:ascii="Arial" w:cs="Arial" w:eastAsia="Arial" w:hAnsi="Arial"/>
                <w:sz w:val="22"/>
                <w:szCs w:val="22"/>
                <w:color w:val="auto"/>
                <w:w w:val="93"/>
              </w:rPr>
              <w:t>April 1, 2025 –</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4"/>
        </w:trPr>
        <w:tc>
          <w:tcPr>
            <w:tcW w:w="2660" w:type="dxa"/>
            <w:vAlign w:val="bottom"/>
            <w:gridSpan w:val="3"/>
          </w:tcPr>
          <w:p>
            <w:pPr>
              <w:jc w:val="center"/>
              <w:ind w:right="240"/>
              <w:spacing w:after="0"/>
              <w:rPr>
                <w:sz w:val="20"/>
                <w:szCs w:val="20"/>
                <w:color w:val="auto"/>
              </w:rPr>
            </w:pPr>
            <w:r>
              <w:rPr>
                <w:rFonts w:ascii="Arial" w:cs="Arial" w:eastAsia="Arial" w:hAnsi="Arial"/>
                <w:sz w:val="22"/>
                <w:szCs w:val="22"/>
                <w:color w:val="auto"/>
                <w:w w:val="90"/>
              </w:rPr>
              <w:t>March 31, 2026</w:t>
            </w:r>
          </w:p>
        </w:tc>
        <w:tc>
          <w:tcPr>
            <w:tcW w:w="2120" w:type="dxa"/>
            <w:vAlign w:val="bottom"/>
            <w:gridSpan w:val="3"/>
          </w:tcPr>
          <w:p>
            <w:pPr>
              <w:jc w:val="center"/>
              <w:ind w:left="252"/>
              <w:spacing w:after="0"/>
              <w:rPr>
                <w:sz w:val="20"/>
                <w:szCs w:val="20"/>
                <w:color w:val="auto"/>
              </w:rPr>
            </w:pPr>
            <w:r>
              <w:rPr>
                <w:rFonts w:ascii="Arial" w:cs="Arial" w:eastAsia="Arial" w:hAnsi="Arial"/>
                <w:sz w:val="22"/>
                <w:szCs w:val="22"/>
                <w:color w:val="auto"/>
                <w:w w:val="88"/>
              </w:rPr>
              <w:t>$4,113,526.71</w:t>
            </w:r>
          </w:p>
        </w:tc>
        <w:tc>
          <w:tcPr>
            <w:tcW w:w="2340" w:type="dxa"/>
            <w:vAlign w:val="bottom"/>
            <w:gridSpan w:val="2"/>
          </w:tcPr>
          <w:p>
            <w:pPr>
              <w:jc w:val="center"/>
              <w:ind w:left="1114"/>
              <w:spacing w:after="0"/>
              <w:rPr>
                <w:sz w:val="20"/>
                <w:szCs w:val="20"/>
                <w:color w:val="auto"/>
              </w:rPr>
            </w:pPr>
            <w:r>
              <w:rPr>
                <w:rFonts w:ascii="Arial" w:cs="Arial" w:eastAsia="Arial" w:hAnsi="Arial"/>
                <w:sz w:val="22"/>
                <w:szCs w:val="22"/>
                <w:color w:val="auto"/>
                <w:w w:val="88"/>
              </w:rPr>
              <w:t>$342,793.89</w:t>
            </w:r>
          </w:p>
        </w:tc>
        <w:tc>
          <w:tcPr>
            <w:tcW w:w="740" w:type="dxa"/>
            <w:vAlign w:val="bottom"/>
          </w:tcPr>
          <w:p>
            <w:pPr>
              <w:spacing w:after="0"/>
              <w:rPr>
                <w:sz w:val="23"/>
                <w:szCs w:val="23"/>
                <w:color w:val="auto"/>
              </w:rPr>
            </w:pPr>
          </w:p>
        </w:tc>
        <w:tc>
          <w:tcPr>
            <w:tcW w:w="2060" w:type="dxa"/>
            <w:vAlign w:val="bottom"/>
            <w:gridSpan w:val="2"/>
          </w:tcPr>
          <w:p>
            <w:pPr>
              <w:jc w:val="center"/>
              <w:ind w:left="892"/>
              <w:spacing w:after="0"/>
              <w:rPr>
                <w:sz w:val="20"/>
                <w:szCs w:val="20"/>
                <w:color w:val="auto"/>
              </w:rPr>
            </w:pPr>
            <w:r>
              <w:rPr>
                <w:rFonts w:ascii="Arial" w:cs="Arial" w:eastAsia="Arial" w:hAnsi="Arial"/>
                <w:sz w:val="22"/>
                <w:szCs w:val="22"/>
                <w:color w:val="auto"/>
                <w:w w:val="87"/>
              </w:rPr>
              <w:t>$7.2067</w:t>
            </w:r>
          </w:p>
        </w:tc>
        <w:tc>
          <w:tcPr>
            <w:tcW w:w="260" w:type="dxa"/>
            <w:vAlign w:val="bottom"/>
          </w:tcPr>
          <w:p>
            <w:pPr>
              <w:spacing w:after="0"/>
              <w:rPr>
                <w:sz w:val="23"/>
                <w:szCs w:val="23"/>
                <w:color w:val="auto"/>
              </w:rPr>
            </w:pPr>
          </w:p>
        </w:tc>
      </w:tr>
      <w:tr>
        <w:trPr>
          <w:trHeight w:val="360"/>
        </w:trPr>
        <w:tc>
          <w:tcPr>
            <w:tcW w:w="2660" w:type="dxa"/>
            <w:vAlign w:val="bottom"/>
            <w:gridSpan w:val="3"/>
          </w:tcPr>
          <w:p>
            <w:pPr>
              <w:jc w:val="center"/>
              <w:ind w:right="220"/>
              <w:spacing w:after="0"/>
              <w:rPr>
                <w:sz w:val="20"/>
                <w:szCs w:val="20"/>
                <w:color w:val="auto"/>
              </w:rPr>
            </w:pPr>
            <w:r>
              <w:rPr>
                <w:rFonts w:ascii="Arial" w:cs="Arial" w:eastAsia="Arial" w:hAnsi="Arial"/>
                <w:sz w:val="22"/>
                <w:szCs w:val="22"/>
                <w:color w:val="auto"/>
                <w:w w:val="93"/>
              </w:rPr>
              <w:t>April 1, 2026 –</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4"/>
        </w:trPr>
        <w:tc>
          <w:tcPr>
            <w:tcW w:w="2660" w:type="dxa"/>
            <w:vAlign w:val="bottom"/>
            <w:gridSpan w:val="3"/>
          </w:tcPr>
          <w:p>
            <w:pPr>
              <w:jc w:val="center"/>
              <w:ind w:right="240"/>
              <w:spacing w:after="0"/>
              <w:rPr>
                <w:sz w:val="20"/>
                <w:szCs w:val="20"/>
                <w:color w:val="auto"/>
              </w:rPr>
            </w:pPr>
            <w:r>
              <w:rPr>
                <w:rFonts w:ascii="Arial" w:cs="Arial" w:eastAsia="Arial" w:hAnsi="Arial"/>
                <w:sz w:val="22"/>
                <w:szCs w:val="22"/>
                <w:color w:val="auto"/>
                <w:w w:val="90"/>
              </w:rPr>
              <w:t>March 31, 2027</w:t>
            </w:r>
          </w:p>
        </w:tc>
        <w:tc>
          <w:tcPr>
            <w:tcW w:w="2120" w:type="dxa"/>
            <w:vAlign w:val="bottom"/>
            <w:gridSpan w:val="3"/>
          </w:tcPr>
          <w:p>
            <w:pPr>
              <w:jc w:val="center"/>
              <w:ind w:left="252"/>
              <w:spacing w:after="0"/>
              <w:rPr>
                <w:sz w:val="20"/>
                <w:szCs w:val="20"/>
                <w:color w:val="auto"/>
              </w:rPr>
            </w:pPr>
            <w:r>
              <w:rPr>
                <w:rFonts w:ascii="Arial" w:cs="Arial" w:eastAsia="Arial" w:hAnsi="Arial"/>
                <w:sz w:val="22"/>
                <w:szCs w:val="22"/>
                <w:color w:val="auto"/>
                <w:w w:val="88"/>
              </w:rPr>
              <w:t>$4,257,480.45</w:t>
            </w:r>
          </w:p>
        </w:tc>
        <w:tc>
          <w:tcPr>
            <w:tcW w:w="2340" w:type="dxa"/>
            <w:vAlign w:val="bottom"/>
            <w:gridSpan w:val="2"/>
          </w:tcPr>
          <w:p>
            <w:pPr>
              <w:jc w:val="center"/>
              <w:ind w:left="1114"/>
              <w:spacing w:after="0"/>
              <w:rPr>
                <w:sz w:val="20"/>
                <w:szCs w:val="20"/>
                <w:color w:val="auto"/>
              </w:rPr>
            </w:pPr>
            <w:r>
              <w:rPr>
                <w:rFonts w:ascii="Arial" w:cs="Arial" w:eastAsia="Arial" w:hAnsi="Arial"/>
                <w:sz w:val="22"/>
                <w:szCs w:val="22"/>
                <w:color w:val="auto"/>
                <w:w w:val="88"/>
              </w:rPr>
              <w:t>$354,790.04</w:t>
            </w:r>
          </w:p>
        </w:tc>
        <w:tc>
          <w:tcPr>
            <w:tcW w:w="740" w:type="dxa"/>
            <w:vAlign w:val="bottom"/>
          </w:tcPr>
          <w:p>
            <w:pPr>
              <w:spacing w:after="0"/>
              <w:rPr>
                <w:sz w:val="23"/>
                <w:szCs w:val="23"/>
                <w:color w:val="auto"/>
              </w:rPr>
            </w:pPr>
          </w:p>
        </w:tc>
        <w:tc>
          <w:tcPr>
            <w:tcW w:w="2060" w:type="dxa"/>
            <w:vAlign w:val="bottom"/>
            <w:gridSpan w:val="2"/>
          </w:tcPr>
          <w:p>
            <w:pPr>
              <w:jc w:val="center"/>
              <w:ind w:left="892"/>
              <w:spacing w:after="0"/>
              <w:rPr>
                <w:sz w:val="20"/>
                <w:szCs w:val="20"/>
                <w:color w:val="auto"/>
              </w:rPr>
            </w:pPr>
            <w:r>
              <w:rPr>
                <w:rFonts w:ascii="Arial" w:cs="Arial" w:eastAsia="Arial" w:hAnsi="Arial"/>
                <w:sz w:val="22"/>
                <w:szCs w:val="22"/>
                <w:color w:val="auto"/>
                <w:w w:val="87"/>
              </w:rPr>
              <w:t>$7.4589</w:t>
            </w:r>
          </w:p>
        </w:tc>
        <w:tc>
          <w:tcPr>
            <w:tcW w:w="260" w:type="dxa"/>
            <w:vAlign w:val="bottom"/>
          </w:tcPr>
          <w:p>
            <w:pPr>
              <w:spacing w:after="0"/>
              <w:rPr>
                <w:sz w:val="23"/>
                <w:szCs w:val="23"/>
                <w:color w:val="auto"/>
              </w:rPr>
            </w:pPr>
          </w:p>
        </w:tc>
      </w:tr>
      <w:tr>
        <w:trPr>
          <w:trHeight w:val="360"/>
        </w:trPr>
        <w:tc>
          <w:tcPr>
            <w:tcW w:w="2660" w:type="dxa"/>
            <w:vAlign w:val="bottom"/>
            <w:gridSpan w:val="3"/>
          </w:tcPr>
          <w:p>
            <w:pPr>
              <w:jc w:val="center"/>
              <w:ind w:right="220"/>
              <w:spacing w:after="0"/>
              <w:rPr>
                <w:sz w:val="20"/>
                <w:szCs w:val="20"/>
                <w:color w:val="auto"/>
              </w:rPr>
            </w:pPr>
            <w:r>
              <w:rPr>
                <w:rFonts w:ascii="Arial" w:cs="Arial" w:eastAsia="Arial" w:hAnsi="Arial"/>
                <w:sz w:val="22"/>
                <w:szCs w:val="22"/>
                <w:color w:val="auto"/>
                <w:w w:val="93"/>
              </w:rPr>
              <w:t>April 1, 2027 –</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4"/>
        </w:trPr>
        <w:tc>
          <w:tcPr>
            <w:tcW w:w="2660" w:type="dxa"/>
            <w:vAlign w:val="bottom"/>
            <w:gridSpan w:val="3"/>
          </w:tcPr>
          <w:p>
            <w:pPr>
              <w:jc w:val="center"/>
              <w:ind w:right="240"/>
              <w:spacing w:after="0"/>
              <w:rPr>
                <w:sz w:val="20"/>
                <w:szCs w:val="20"/>
                <w:color w:val="auto"/>
              </w:rPr>
            </w:pPr>
            <w:r>
              <w:rPr>
                <w:rFonts w:ascii="Arial" w:cs="Arial" w:eastAsia="Arial" w:hAnsi="Arial"/>
                <w:sz w:val="22"/>
                <w:szCs w:val="22"/>
                <w:color w:val="auto"/>
                <w:w w:val="90"/>
              </w:rPr>
              <w:t>March 31, 2028</w:t>
            </w:r>
          </w:p>
        </w:tc>
        <w:tc>
          <w:tcPr>
            <w:tcW w:w="2120" w:type="dxa"/>
            <w:vAlign w:val="bottom"/>
            <w:gridSpan w:val="3"/>
          </w:tcPr>
          <w:p>
            <w:pPr>
              <w:jc w:val="center"/>
              <w:ind w:left="252"/>
              <w:spacing w:after="0"/>
              <w:rPr>
                <w:sz w:val="20"/>
                <w:szCs w:val="20"/>
                <w:color w:val="auto"/>
              </w:rPr>
            </w:pPr>
            <w:r>
              <w:rPr>
                <w:rFonts w:ascii="Arial" w:cs="Arial" w:eastAsia="Arial" w:hAnsi="Arial"/>
                <w:sz w:val="22"/>
                <w:szCs w:val="22"/>
                <w:color w:val="auto"/>
                <w:w w:val="88"/>
              </w:rPr>
              <w:t>$4,406,514.24</w:t>
            </w:r>
          </w:p>
        </w:tc>
        <w:tc>
          <w:tcPr>
            <w:tcW w:w="2340" w:type="dxa"/>
            <w:vAlign w:val="bottom"/>
            <w:gridSpan w:val="2"/>
          </w:tcPr>
          <w:p>
            <w:pPr>
              <w:jc w:val="center"/>
              <w:ind w:left="1114"/>
              <w:spacing w:after="0"/>
              <w:rPr>
                <w:sz w:val="20"/>
                <w:szCs w:val="20"/>
                <w:color w:val="auto"/>
              </w:rPr>
            </w:pPr>
            <w:r>
              <w:rPr>
                <w:rFonts w:ascii="Arial" w:cs="Arial" w:eastAsia="Arial" w:hAnsi="Arial"/>
                <w:sz w:val="22"/>
                <w:szCs w:val="22"/>
                <w:color w:val="auto"/>
                <w:w w:val="88"/>
              </w:rPr>
              <w:t>$367,209.52</w:t>
            </w:r>
          </w:p>
        </w:tc>
        <w:tc>
          <w:tcPr>
            <w:tcW w:w="740" w:type="dxa"/>
            <w:vAlign w:val="bottom"/>
          </w:tcPr>
          <w:p>
            <w:pPr>
              <w:spacing w:after="0"/>
              <w:rPr>
                <w:sz w:val="23"/>
                <w:szCs w:val="23"/>
                <w:color w:val="auto"/>
              </w:rPr>
            </w:pPr>
          </w:p>
        </w:tc>
        <w:tc>
          <w:tcPr>
            <w:tcW w:w="2060" w:type="dxa"/>
            <w:vAlign w:val="bottom"/>
            <w:gridSpan w:val="2"/>
          </w:tcPr>
          <w:p>
            <w:pPr>
              <w:jc w:val="center"/>
              <w:ind w:left="892"/>
              <w:spacing w:after="0"/>
              <w:rPr>
                <w:sz w:val="20"/>
                <w:szCs w:val="20"/>
                <w:color w:val="auto"/>
              </w:rPr>
            </w:pPr>
            <w:r>
              <w:rPr>
                <w:rFonts w:ascii="Arial" w:cs="Arial" w:eastAsia="Arial" w:hAnsi="Arial"/>
                <w:sz w:val="22"/>
                <w:szCs w:val="22"/>
                <w:color w:val="auto"/>
                <w:w w:val="87"/>
              </w:rPr>
              <w:t>$7.7200</w:t>
            </w:r>
          </w:p>
        </w:tc>
        <w:tc>
          <w:tcPr>
            <w:tcW w:w="260" w:type="dxa"/>
            <w:vAlign w:val="bottom"/>
          </w:tcPr>
          <w:p>
            <w:pPr>
              <w:spacing w:after="0"/>
              <w:rPr>
                <w:sz w:val="23"/>
                <w:szCs w:val="23"/>
                <w:color w:val="auto"/>
              </w:rPr>
            </w:pPr>
          </w:p>
        </w:tc>
      </w:tr>
      <w:tr>
        <w:trPr>
          <w:trHeight w:val="360"/>
        </w:trPr>
        <w:tc>
          <w:tcPr>
            <w:tcW w:w="2660" w:type="dxa"/>
            <w:vAlign w:val="bottom"/>
            <w:gridSpan w:val="3"/>
          </w:tcPr>
          <w:p>
            <w:pPr>
              <w:jc w:val="center"/>
              <w:ind w:right="220"/>
              <w:spacing w:after="0"/>
              <w:rPr>
                <w:sz w:val="20"/>
                <w:szCs w:val="20"/>
                <w:color w:val="auto"/>
              </w:rPr>
            </w:pPr>
            <w:r>
              <w:rPr>
                <w:rFonts w:ascii="Arial" w:cs="Arial" w:eastAsia="Arial" w:hAnsi="Arial"/>
                <w:sz w:val="22"/>
                <w:szCs w:val="22"/>
                <w:color w:val="auto"/>
                <w:w w:val="93"/>
              </w:rPr>
              <w:t>April 1, 2028 –</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4"/>
        </w:trPr>
        <w:tc>
          <w:tcPr>
            <w:tcW w:w="2660" w:type="dxa"/>
            <w:vAlign w:val="bottom"/>
            <w:gridSpan w:val="3"/>
          </w:tcPr>
          <w:p>
            <w:pPr>
              <w:jc w:val="center"/>
              <w:ind w:right="240"/>
              <w:spacing w:after="0"/>
              <w:rPr>
                <w:sz w:val="20"/>
                <w:szCs w:val="20"/>
                <w:color w:val="auto"/>
              </w:rPr>
            </w:pPr>
            <w:r>
              <w:rPr>
                <w:rFonts w:ascii="Arial" w:cs="Arial" w:eastAsia="Arial" w:hAnsi="Arial"/>
                <w:sz w:val="22"/>
                <w:szCs w:val="22"/>
                <w:color w:val="auto"/>
                <w:w w:val="90"/>
              </w:rPr>
              <w:t>March 31, 2029</w:t>
            </w:r>
          </w:p>
        </w:tc>
        <w:tc>
          <w:tcPr>
            <w:tcW w:w="2120" w:type="dxa"/>
            <w:vAlign w:val="bottom"/>
            <w:gridSpan w:val="3"/>
          </w:tcPr>
          <w:p>
            <w:pPr>
              <w:jc w:val="center"/>
              <w:ind w:left="252"/>
              <w:spacing w:after="0"/>
              <w:rPr>
                <w:sz w:val="20"/>
                <w:szCs w:val="20"/>
                <w:color w:val="auto"/>
              </w:rPr>
            </w:pPr>
            <w:r>
              <w:rPr>
                <w:rFonts w:ascii="Arial" w:cs="Arial" w:eastAsia="Arial" w:hAnsi="Arial"/>
                <w:sz w:val="22"/>
                <w:szCs w:val="22"/>
                <w:color w:val="auto"/>
                <w:w w:val="88"/>
              </w:rPr>
              <w:t>$4,560,742.24</w:t>
            </w:r>
          </w:p>
        </w:tc>
        <w:tc>
          <w:tcPr>
            <w:tcW w:w="2340" w:type="dxa"/>
            <w:vAlign w:val="bottom"/>
            <w:gridSpan w:val="2"/>
          </w:tcPr>
          <w:p>
            <w:pPr>
              <w:jc w:val="center"/>
              <w:ind w:left="1114"/>
              <w:spacing w:after="0"/>
              <w:rPr>
                <w:sz w:val="20"/>
                <w:szCs w:val="20"/>
                <w:color w:val="auto"/>
              </w:rPr>
            </w:pPr>
            <w:r>
              <w:rPr>
                <w:rFonts w:ascii="Arial" w:cs="Arial" w:eastAsia="Arial" w:hAnsi="Arial"/>
                <w:sz w:val="22"/>
                <w:szCs w:val="22"/>
                <w:color w:val="auto"/>
                <w:w w:val="88"/>
              </w:rPr>
              <w:t>$380,061.85</w:t>
            </w:r>
          </w:p>
        </w:tc>
        <w:tc>
          <w:tcPr>
            <w:tcW w:w="740" w:type="dxa"/>
            <w:vAlign w:val="bottom"/>
          </w:tcPr>
          <w:p>
            <w:pPr>
              <w:spacing w:after="0"/>
              <w:rPr>
                <w:sz w:val="23"/>
                <w:szCs w:val="23"/>
                <w:color w:val="auto"/>
              </w:rPr>
            </w:pPr>
          </w:p>
        </w:tc>
        <w:tc>
          <w:tcPr>
            <w:tcW w:w="2060" w:type="dxa"/>
            <w:vAlign w:val="bottom"/>
            <w:gridSpan w:val="2"/>
          </w:tcPr>
          <w:p>
            <w:pPr>
              <w:jc w:val="center"/>
              <w:ind w:left="892"/>
              <w:spacing w:after="0"/>
              <w:rPr>
                <w:sz w:val="20"/>
                <w:szCs w:val="20"/>
                <w:color w:val="auto"/>
              </w:rPr>
            </w:pPr>
            <w:r>
              <w:rPr>
                <w:rFonts w:ascii="Arial" w:cs="Arial" w:eastAsia="Arial" w:hAnsi="Arial"/>
                <w:sz w:val="22"/>
                <w:szCs w:val="22"/>
                <w:color w:val="auto"/>
                <w:w w:val="87"/>
              </w:rPr>
              <w:t>$7.9902</w:t>
            </w:r>
          </w:p>
        </w:tc>
        <w:tc>
          <w:tcPr>
            <w:tcW w:w="260" w:type="dxa"/>
            <w:vAlign w:val="bottom"/>
          </w:tcPr>
          <w:p>
            <w:pPr>
              <w:spacing w:after="0"/>
              <w:rPr>
                <w:sz w:val="23"/>
                <w:szCs w:val="23"/>
                <w:color w:val="auto"/>
              </w:rPr>
            </w:pPr>
          </w:p>
        </w:tc>
      </w:tr>
      <w:tr>
        <w:trPr>
          <w:trHeight w:val="719"/>
        </w:trPr>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ind w:right="754"/>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34" w:name="page135"/>
    <w:bookmarkEnd w:id="134"/>
    <w:p>
      <w:pPr>
        <w:spacing w:after="0" w:line="59" w:lineRule="exact"/>
        <w:rPr>
          <w:sz w:val="20"/>
          <w:szCs w:val="20"/>
          <w:color w:val="auto"/>
        </w:rPr>
      </w:pPr>
    </w:p>
    <w:tbl>
      <w:tblPr>
        <w:tblLayout w:type="fixed"/>
        <w:tblInd w:w="1040" w:type="dxa"/>
        <w:tblCellMar>
          <w:top w:w="0" w:type="dxa"/>
          <w:left w:w="0" w:type="dxa"/>
          <w:bottom w:w="0" w:type="dxa"/>
          <w:right w:w="0" w:type="dxa"/>
        </w:tblCellMar>
      </w:tblPr>
      <w:tr>
        <w:trPr>
          <w:trHeight w:val="253"/>
        </w:trPr>
        <w:tc>
          <w:tcPr>
            <w:tcW w:w="2020" w:type="dxa"/>
            <w:vAlign w:val="bottom"/>
          </w:tcPr>
          <w:p>
            <w:pPr>
              <w:jc w:val="center"/>
              <w:ind w:right="512"/>
              <w:spacing w:after="0"/>
              <w:rPr>
                <w:sz w:val="20"/>
                <w:szCs w:val="20"/>
                <w:color w:val="auto"/>
              </w:rPr>
            </w:pPr>
            <w:r>
              <w:rPr>
                <w:rFonts w:ascii="Arial" w:cs="Arial" w:eastAsia="Arial" w:hAnsi="Arial"/>
                <w:sz w:val="22"/>
                <w:szCs w:val="22"/>
                <w:color w:val="auto"/>
                <w:w w:val="93"/>
              </w:rPr>
              <w:t>April 1, 2029 –</w:t>
            </w:r>
          </w:p>
        </w:tc>
        <w:tc>
          <w:tcPr>
            <w:tcW w:w="26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88"/>
        </w:trPr>
        <w:tc>
          <w:tcPr>
            <w:tcW w:w="2020" w:type="dxa"/>
            <w:vAlign w:val="bottom"/>
          </w:tcPr>
          <w:p>
            <w:pPr>
              <w:jc w:val="center"/>
              <w:ind w:right="532"/>
              <w:spacing w:after="0"/>
              <w:rPr>
                <w:sz w:val="20"/>
                <w:szCs w:val="20"/>
                <w:color w:val="auto"/>
              </w:rPr>
            </w:pPr>
            <w:r>
              <w:rPr>
                <w:rFonts w:ascii="Arial" w:cs="Arial" w:eastAsia="Arial" w:hAnsi="Arial"/>
                <w:sz w:val="22"/>
                <w:szCs w:val="22"/>
                <w:color w:val="auto"/>
                <w:w w:val="90"/>
              </w:rPr>
              <w:t>March 31, 2030</w:t>
            </w:r>
          </w:p>
        </w:tc>
        <w:tc>
          <w:tcPr>
            <w:tcW w:w="2680" w:type="dxa"/>
            <w:vAlign w:val="bottom"/>
          </w:tcPr>
          <w:p>
            <w:pPr>
              <w:jc w:val="right"/>
              <w:ind w:right="692"/>
              <w:spacing w:after="0"/>
              <w:rPr>
                <w:sz w:val="20"/>
                <w:szCs w:val="20"/>
                <w:color w:val="auto"/>
              </w:rPr>
            </w:pPr>
            <w:r>
              <w:rPr>
                <w:rFonts w:ascii="Arial" w:cs="Arial" w:eastAsia="Arial" w:hAnsi="Arial"/>
                <w:sz w:val="22"/>
                <w:szCs w:val="22"/>
                <w:color w:val="auto"/>
              </w:rPr>
              <w:t>$4,720,335.68</w:t>
            </w:r>
          </w:p>
        </w:tc>
        <w:tc>
          <w:tcPr>
            <w:tcW w:w="2740" w:type="dxa"/>
            <w:vAlign w:val="bottom"/>
          </w:tcPr>
          <w:p>
            <w:pPr>
              <w:jc w:val="right"/>
              <w:ind w:right="952"/>
              <w:spacing w:after="0"/>
              <w:rPr>
                <w:sz w:val="20"/>
                <w:szCs w:val="20"/>
                <w:color w:val="auto"/>
              </w:rPr>
            </w:pPr>
            <w:r>
              <w:rPr>
                <w:rFonts w:ascii="Arial" w:cs="Arial" w:eastAsia="Arial" w:hAnsi="Arial"/>
                <w:sz w:val="22"/>
                <w:szCs w:val="22"/>
                <w:color w:val="auto"/>
              </w:rPr>
              <w:t>$393,361.31</w:t>
            </w:r>
          </w:p>
        </w:tc>
        <w:tc>
          <w:tcPr>
            <w:tcW w:w="1580" w:type="dxa"/>
            <w:vAlign w:val="bottom"/>
          </w:tcPr>
          <w:p>
            <w:pPr>
              <w:jc w:val="right"/>
              <w:spacing w:after="0"/>
              <w:rPr>
                <w:sz w:val="20"/>
                <w:szCs w:val="20"/>
                <w:color w:val="auto"/>
              </w:rPr>
            </w:pPr>
            <w:r>
              <w:rPr>
                <w:rFonts w:ascii="Arial" w:cs="Arial" w:eastAsia="Arial" w:hAnsi="Arial"/>
                <w:sz w:val="22"/>
                <w:szCs w:val="22"/>
                <w:color w:val="auto"/>
              </w:rPr>
              <w:t>$8.2698</w:t>
            </w:r>
          </w:p>
        </w:tc>
      </w:tr>
      <w:tr>
        <w:trPr>
          <w:trHeight w:val="347"/>
        </w:trPr>
        <w:tc>
          <w:tcPr>
            <w:tcW w:w="2020" w:type="dxa"/>
            <w:vAlign w:val="bottom"/>
          </w:tcPr>
          <w:p>
            <w:pPr>
              <w:jc w:val="center"/>
              <w:ind w:right="512"/>
              <w:spacing w:after="0"/>
              <w:rPr>
                <w:sz w:val="20"/>
                <w:szCs w:val="20"/>
                <w:color w:val="auto"/>
              </w:rPr>
            </w:pPr>
            <w:r>
              <w:rPr>
                <w:rFonts w:ascii="Arial" w:cs="Arial" w:eastAsia="Arial" w:hAnsi="Arial"/>
                <w:sz w:val="22"/>
                <w:szCs w:val="22"/>
                <w:color w:val="auto"/>
                <w:w w:val="93"/>
              </w:rPr>
              <w:t>April 1, 2030 –</w:t>
            </w:r>
          </w:p>
        </w:tc>
        <w:tc>
          <w:tcPr>
            <w:tcW w:w="2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88"/>
        </w:trPr>
        <w:tc>
          <w:tcPr>
            <w:tcW w:w="2020" w:type="dxa"/>
            <w:vAlign w:val="bottom"/>
          </w:tcPr>
          <w:p>
            <w:pPr>
              <w:jc w:val="center"/>
              <w:ind w:right="532"/>
              <w:spacing w:after="0"/>
              <w:rPr>
                <w:sz w:val="20"/>
                <w:szCs w:val="20"/>
                <w:color w:val="auto"/>
              </w:rPr>
            </w:pPr>
            <w:r>
              <w:rPr>
                <w:rFonts w:ascii="Arial" w:cs="Arial" w:eastAsia="Arial" w:hAnsi="Arial"/>
                <w:sz w:val="22"/>
                <w:szCs w:val="22"/>
                <w:color w:val="auto"/>
                <w:w w:val="90"/>
              </w:rPr>
              <w:t>March 31, 2031</w:t>
            </w:r>
          </w:p>
        </w:tc>
        <w:tc>
          <w:tcPr>
            <w:tcW w:w="2680" w:type="dxa"/>
            <w:vAlign w:val="bottom"/>
          </w:tcPr>
          <w:p>
            <w:pPr>
              <w:jc w:val="right"/>
              <w:ind w:right="492"/>
              <w:spacing w:after="0"/>
              <w:rPr>
                <w:sz w:val="20"/>
                <w:szCs w:val="20"/>
                <w:color w:val="auto"/>
              </w:rPr>
            </w:pPr>
            <w:r>
              <w:rPr>
                <w:rFonts w:ascii="Arial" w:cs="Arial" w:eastAsia="Arial" w:hAnsi="Arial"/>
                <w:sz w:val="22"/>
                <w:szCs w:val="22"/>
                <w:color w:val="auto"/>
              </w:rPr>
              <w:t>$4,885,579.97</w:t>
            </w:r>
          </w:p>
        </w:tc>
        <w:tc>
          <w:tcPr>
            <w:tcW w:w="2740" w:type="dxa"/>
            <w:vAlign w:val="bottom"/>
          </w:tcPr>
          <w:p>
            <w:pPr>
              <w:jc w:val="right"/>
              <w:ind w:right="752"/>
              <w:spacing w:after="0"/>
              <w:rPr>
                <w:sz w:val="20"/>
                <w:szCs w:val="20"/>
                <w:color w:val="auto"/>
              </w:rPr>
            </w:pPr>
            <w:r>
              <w:rPr>
                <w:rFonts w:ascii="Arial" w:cs="Arial" w:eastAsia="Arial" w:hAnsi="Arial"/>
                <w:sz w:val="22"/>
                <w:szCs w:val="22"/>
                <w:color w:val="auto"/>
              </w:rPr>
              <w:t>$407,131.66</w:t>
            </w:r>
          </w:p>
        </w:tc>
        <w:tc>
          <w:tcPr>
            <w:tcW w:w="1580" w:type="dxa"/>
            <w:vAlign w:val="bottom"/>
          </w:tcPr>
          <w:p>
            <w:pPr>
              <w:jc w:val="right"/>
              <w:spacing w:after="0"/>
              <w:rPr>
                <w:sz w:val="20"/>
                <w:szCs w:val="20"/>
                <w:color w:val="auto"/>
              </w:rPr>
            </w:pPr>
            <w:r>
              <w:rPr>
                <w:rFonts w:ascii="Arial" w:cs="Arial" w:eastAsia="Arial" w:hAnsi="Arial"/>
                <w:sz w:val="22"/>
                <w:szCs w:val="22"/>
                <w:color w:val="auto"/>
              </w:rPr>
              <w:t>$8.5593</w:t>
            </w:r>
          </w:p>
        </w:tc>
      </w:tr>
      <w:tr>
        <w:trPr>
          <w:trHeight w:val="360"/>
        </w:trPr>
        <w:tc>
          <w:tcPr>
            <w:tcW w:w="2020" w:type="dxa"/>
            <w:vAlign w:val="bottom"/>
          </w:tcPr>
          <w:p>
            <w:pPr>
              <w:jc w:val="center"/>
              <w:ind w:right="512"/>
              <w:spacing w:after="0"/>
              <w:rPr>
                <w:sz w:val="20"/>
                <w:szCs w:val="20"/>
                <w:color w:val="auto"/>
              </w:rPr>
            </w:pPr>
            <w:r>
              <w:rPr>
                <w:rFonts w:ascii="Arial" w:cs="Arial" w:eastAsia="Arial" w:hAnsi="Arial"/>
                <w:sz w:val="22"/>
                <w:szCs w:val="22"/>
                <w:color w:val="auto"/>
                <w:w w:val="93"/>
              </w:rPr>
              <w:t>April 1, 2031 –</w:t>
            </w:r>
          </w:p>
        </w:tc>
        <w:tc>
          <w:tcPr>
            <w:tcW w:w="2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4"/>
        </w:trPr>
        <w:tc>
          <w:tcPr>
            <w:tcW w:w="2020" w:type="dxa"/>
            <w:vAlign w:val="bottom"/>
          </w:tcPr>
          <w:p>
            <w:pPr>
              <w:jc w:val="center"/>
              <w:ind w:right="532"/>
              <w:spacing w:after="0"/>
              <w:rPr>
                <w:sz w:val="20"/>
                <w:szCs w:val="20"/>
                <w:color w:val="auto"/>
              </w:rPr>
            </w:pPr>
            <w:r>
              <w:rPr>
                <w:rFonts w:ascii="Arial" w:cs="Arial" w:eastAsia="Arial" w:hAnsi="Arial"/>
                <w:sz w:val="22"/>
                <w:szCs w:val="22"/>
                <w:color w:val="auto"/>
                <w:w w:val="90"/>
              </w:rPr>
              <w:t>March 31, 2032</w:t>
            </w:r>
          </w:p>
        </w:tc>
        <w:tc>
          <w:tcPr>
            <w:tcW w:w="2680" w:type="dxa"/>
            <w:vAlign w:val="bottom"/>
          </w:tcPr>
          <w:p>
            <w:pPr>
              <w:jc w:val="right"/>
              <w:ind w:right="492"/>
              <w:spacing w:after="0"/>
              <w:rPr>
                <w:sz w:val="20"/>
                <w:szCs w:val="20"/>
                <w:color w:val="auto"/>
              </w:rPr>
            </w:pPr>
            <w:r>
              <w:rPr>
                <w:rFonts w:ascii="Arial" w:cs="Arial" w:eastAsia="Arial" w:hAnsi="Arial"/>
                <w:sz w:val="22"/>
                <w:szCs w:val="22"/>
                <w:color w:val="auto"/>
              </w:rPr>
              <w:t>$5,056,532.17</w:t>
            </w:r>
          </w:p>
        </w:tc>
        <w:tc>
          <w:tcPr>
            <w:tcW w:w="2740" w:type="dxa"/>
            <w:vAlign w:val="bottom"/>
          </w:tcPr>
          <w:p>
            <w:pPr>
              <w:jc w:val="right"/>
              <w:ind w:right="752"/>
              <w:spacing w:after="0"/>
              <w:rPr>
                <w:sz w:val="20"/>
                <w:szCs w:val="20"/>
                <w:color w:val="auto"/>
              </w:rPr>
            </w:pPr>
            <w:r>
              <w:rPr>
                <w:rFonts w:ascii="Arial" w:cs="Arial" w:eastAsia="Arial" w:hAnsi="Arial"/>
                <w:sz w:val="22"/>
                <w:szCs w:val="22"/>
                <w:color w:val="auto"/>
              </w:rPr>
              <w:t>$421,377.68</w:t>
            </w:r>
          </w:p>
        </w:tc>
        <w:tc>
          <w:tcPr>
            <w:tcW w:w="1580" w:type="dxa"/>
            <w:vAlign w:val="bottom"/>
          </w:tcPr>
          <w:p>
            <w:pPr>
              <w:jc w:val="right"/>
              <w:spacing w:after="0"/>
              <w:rPr>
                <w:sz w:val="20"/>
                <w:szCs w:val="20"/>
                <w:color w:val="auto"/>
              </w:rPr>
            </w:pPr>
            <w:r>
              <w:rPr>
                <w:rFonts w:ascii="Arial" w:cs="Arial" w:eastAsia="Arial" w:hAnsi="Arial"/>
                <w:sz w:val="22"/>
                <w:szCs w:val="22"/>
                <w:color w:val="auto"/>
              </w:rPr>
              <w:t>$8.8588</w:t>
            </w:r>
          </w:p>
        </w:tc>
      </w:tr>
    </w:tbl>
    <w:p>
      <w:pPr>
        <w:spacing w:after="0" w:line="327"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2"/>
          <w:szCs w:val="22"/>
          <w:b w:val="1"/>
          <w:bCs w:val="1"/>
          <w:color w:val="auto"/>
        </w:rPr>
        <w:t>*Note</w:t>
      </w:r>
      <w:r>
        <w:rPr>
          <w:rFonts w:ascii="Arial" w:cs="Arial" w:eastAsia="Arial" w:hAnsi="Arial"/>
          <w:sz w:val="22"/>
          <w:szCs w:val="22"/>
          <w:color w:val="auto"/>
        </w:rPr>
        <w:t>: Notwithstanding the foregoing, provided that Tenant is not then in default of the Lease, after expiration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any applicable notice and cure period, Tenant shall have no obligation to pay any Base Rent attributable to the Expansion Premises for the first four (4) full months following the Expansion Premises Commencement Date (the “</w:t>
      </w:r>
      <w:r>
        <w:rPr>
          <w:rFonts w:ascii="Arial" w:cs="Arial" w:eastAsia="Arial" w:hAnsi="Arial"/>
          <w:sz w:val="22"/>
          <w:szCs w:val="22"/>
          <w:b w:val="1"/>
          <w:bCs w:val="1"/>
          <w:color w:val="auto"/>
        </w:rPr>
        <w:t>Expansion Premises</w:t>
      </w:r>
      <w:r>
        <w:rPr>
          <w:rFonts w:ascii="Arial" w:cs="Arial" w:eastAsia="Arial" w:hAnsi="Arial"/>
          <w:sz w:val="22"/>
          <w:szCs w:val="22"/>
          <w:color w:val="auto"/>
        </w:rPr>
        <w:t xml:space="preserve"> </w:t>
      </w:r>
      <w:r>
        <w:rPr>
          <w:rFonts w:ascii="Arial" w:cs="Arial" w:eastAsia="Arial" w:hAnsi="Arial"/>
          <w:sz w:val="22"/>
          <w:szCs w:val="22"/>
          <w:b w:val="1"/>
          <w:bCs w:val="1"/>
          <w:color w:val="auto"/>
        </w:rPr>
        <w:t>Rent Abatement Period</w:t>
      </w:r>
      <w:r>
        <w:rPr>
          <w:rFonts w:ascii="Arial" w:cs="Arial" w:eastAsia="Arial" w:hAnsi="Arial"/>
          <w:sz w:val="22"/>
          <w:szCs w:val="22"/>
          <w:color w:val="auto"/>
        </w:rPr>
        <w:t>”).</w:t>
      </w:r>
    </w:p>
    <w:p>
      <w:pPr>
        <w:spacing w:after="0" w:line="196"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u w:val="single" w:color="auto"/>
          <w:color w:val="auto"/>
        </w:rPr>
        <w:t>Existing Premises Base Rent</w:t>
      </w:r>
      <w:r>
        <w:rPr>
          <w:rFonts w:ascii="Arial" w:cs="Arial" w:eastAsia="Arial" w:hAnsi="Arial"/>
          <w:sz w:val="22"/>
          <w:szCs w:val="22"/>
          <w:color w:val="auto"/>
        </w:rPr>
        <w:t>. Prior to March 1, 2029, Tenant shall continue to pay Base Rent for the Existing Premises as provided in the Lease. From and after March 1, 2029, Tenant shall pay Base Rent for the Existing Premises as set forth below.</w:t>
      </w:r>
    </w:p>
    <w:p>
      <w:pPr>
        <w:spacing w:after="0" w:line="201" w:lineRule="exact"/>
        <w:rPr>
          <w:sz w:val="20"/>
          <w:szCs w:val="20"/>
          <w:color w:val="auto"/>
        </w:rPr>
      </w:pPr>
    </w:p>
    <w:tbl>
      <w:tblPr>
        <w:tblLayout w:type="fixed"/>
        <w:tblInd w:w="1040" w:type="dxa"/>
        <w:tblCellMar>
          <w:top w:w="0" w:type="dxa"/>
          <w:left w:w="0" w:type="dxa"/>
          <w:bottom w:w="0" w:type="dxa"/>
          <w:right w:w="0" w:type="dxa"/>
        </w:tblCellMar>
      </w:tblPr>
      <w:tr>
        <w:trPr>
          <w:trHeight w:val="257"/>
        </w:trPr>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860" w:type="dxa"/>
            <w:vAlign w:val="bottom"/>
            <w:gridSpan w:val="2"/>
          </w:tcPr>
          <w:p>
            <w:pPr>
              <w:jc w:val="center"/>
              <w:ind w:right="760"/>
              <w:spacing w:after="0"/>
              <w:rPr>
                <w:sz w:val="20"/>
                <w:szCs w:val="20"/>
                <w:color w:val="auto"/>
              </w:rPr>
            </w:pPr>
            <w:r>
              <w:rPr>
                <w:rFonts w:ascii="Arial" w:cs="Arial" w:eastAsia="Arial" w:hAnsi="Arial"/>
                <w:sz w:val="22"/>
                <w:szCs w:val="22"/>
                <w:color w:val="auto"/>
                <w:w w:val="96"/>
              </w:rPr>
              <w:t>Monthly</w:t>
            </w:r>
          </w:p>
        </w:tc>
        <w:tc>
          <w:tcPr>
            <w:tcW w:w="2320" w:type="dxa"/>
            <w:vAlign w:val="bottom"/>
            <w:gridSpan w:val="3"/>
          </w:tcPr>
          <w:p>
            <w:pPr>
              <w:jc w:val="center"/>
              <w:ind w:left="632"/>
              <w:spacing w:after="0"/>
              <w:rPr>
                <w:sz w:val="20"/>
                <w:szCs w:val="20"/>
                <w:color w:val="auto"/>
              </w:rPr>
            </w:pPr>
            <w:r>
              <w:rPr>
                <w:rFonts w:ascii="Arial" w:cs="Arial" w:eastAsia="Arial" w:hAnsi="Arial"/>
                <w:sz w:val="22"/>
                <w:szCs w:val="22"/>
                <w:color w:val="auto"/>
                <w:w w:val="91"/>
              </w:rPr>
              <w:t>Monthly Base</w:t>
            </w:r>
          </w:p>
        </w:tc>
      </w:tr>
      <w:tr>
        <w:trPr>
          <w:trHeight w:val="256"/>
        </w:trPr>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540" w:type="dxa"/>
            <w:vAlign w:val="bottom"/>
            <w:gridSpan w:val="2"/>
          </w:tcPr>
          <w:p>
            <w:pPr>
              <w:jc w:val="center"/>
              <w:ind w:right="1660"/>
              <w:spacing w:after="0"/>
              <w:rPr>
                <w:sz w:val="20"/>
                <w:szCs w:val="20"/>
                <w:color w:val="auto"/>
              </w:rPr>
            </w:pPr>
            <w:r>
              <w:rPr>
                <w:rFonts w:ascii="Arial" w:cs="Arial" w:eastAsia="Arial" w:hAnsi="Arial"/>
                <w:sz w:val="22"/>
                <w:szCs w:val="22"/>
                <w:color w:val="auto"/>
                <w:w w:val="93"/>
              </w:rPr>
              <w:t>Annual</w:t>
            </w:r>
          </w:p>
        </w:tc>
        <w:tc>
          <w:tcPr>
            <w:tcW w:w="1860" w:type="dxa"/>
            <w:vAlign w:val="bottom"/>
            <w:gridSpan w:val="2"/>
          </w:tcPr>
          <w:p>
            <w:pPr>
              <w:jc w:val="center"/>
              <w:ind w:right="740"/>
              <w:spacing w:after="0"/>
              <w:rPr>
                <w:sz w:val="20"/>
                <w:szCs w:val="20"/>
                <w:color w:val="auto"/>
              </w:rPr>
            </w:pPr>
            <w:r>
              <w:rPr>
                <w:rFonts w:ascii="Arial" w:cs="Arial" w:eastAsia="Arial" w:hAnsi="Arial"/>
                <w:sz w:val="22"/>
                <w:szCs w:val="22"/>
                <w:color w:val="auto"/>
                <w:w w:val="90"/>
              </w:rPr>
              <w:t>Installment</w:t>
            </w:r>
          </w:p>
        </w:tc>
        <w:tc>
          <w:tcPr>
            <w:tcW w:w="2320" w:type="dxa"/>
            <w:vAlign w:val="bottom"/>
            <w:gridSpan w:val="3"/>
          </w:tcPr>
          <w:p>
            <w:pPr>
              <w:jc w:val="center"/>
              <w:ind w:left="652"/>
              <w:spacing w:after="0"/>
              <w:rPr>
                <w:sz w:val="20"/>
                <w:szCs w:val="20"/>
                <w:color w:val="auto"/>
              </w:rPr>
            </w:pPr>
            <w:r>
              <w:rPr>
                <w:rFonts w:ascii="Arial" w:cs="Arial" w:eastAsia="Arial" w:hAnsi="Arial"/>
                <w:sz w:val="22"/>
                <w:szCs w:val="22"/>
                <w:color w:val="auto"/>
                <w:w w:val="87"/>
              </w:rPr>
              <w:t>Rent per Rentable</w:t>
            </w:r>
          </w:p>
        </w:tc>
      </w:tr>
      <w:tr>
        <w:trPr>
          <w:trHeight w:val="224"/>
        </w:trPr>
        <w:tc>
          <w:tcPr>
            <w:tcW w:w="720" w:type="dxa"/>
            <w:vAlign w:val="bottom"/>
          </w:tcPr>
          <w:p>
            <w:pPr>
              <w:spacing w:after="0"/>
              <w:rPr>
                <w:sz w:val="19"/>
                <w:szCs w:val="19"/>
                <w:color w:val="auto"/>
              </w:rPr>
            </w:pPr>
          </w:p>
        </w:tc>
        <w:tc>
          <w:tcPr>
            <w:tcW w:w="420" w:type="dxa"/>
            <w:vAlign w:val="bottom"/>
          </w:tcPr>
          <w:p>
            <w:pPr>
              <w:spacing w:after="0" w:line="224" w:lineRule="exact"/>
              <w:rPr>
                <w:sz w:val="20"/>
                <w:szCs w:val="20"/>
                <w:color w:val="auto"/>
              </w:rPr>
            </w:pPr>
            <w:r>
              <w:rPr>
                <w:rFonts w:ascii="Arial" w:cs="Arial" w:eastAsia="Arial" w:hAnsi="Arial"/>
                <w:sz w:val="22"/>
                <w:szCs w:val="22"/>
                <w:color w:val="auto"/>
                <w:w w:val="85"/>
              </w:rPr>
              <w:t>Date</w:t>
            </w:r>
          </w:p>
        </w:tc>
        <w:tc>
          <w:tcPr>
            <w:tcW w:w="980" w:type="dxa"/>
            <w:vAlign w:val="bottom"/>
          </w:tcPr>
          <w:p>
            <w:pPr>
              <w:spacing w:after="0"/>
              <w:rPr>
                <w:sz w:val="19"/>
                <w:szCs w:val="19"/>
                <w:color w:val="auto"/>
              </w:rPr>
            </w:pPr>
          </w:p>
        </w:tc>
        <w:tc>
          <w:tcPr>
            <w:tcW w:w="3360" w:type="dxa"/>
            <w:vAlign w:val="bottom"/>
            <w:gridSpan w:val="3"/>
          </w:tcPr>
          <w:p>
            <w:pPr>
              <w:jc w:val="center"/>
              <w:ind w:right="840"/>
              <w:spacing w:after="0" w:line="224" w:lineRule="exact"/>
              <w:rPr>
                <w:sz w:val="20"/>
                <w:szCs w:val="20"/>
                <w:color w:val="auto"/>
              </w:rPr>
            </w:pPr>
            <w:r>
              <w:rPr>
                <w:rFonts w:ascii="Arial" w:cs="Arial" w:eastAsia="Arial" w:hAnsi="Arial"/>
                <w:sz w:val="22"/>
                <w:szCs w:val="22"/>
                <w:color w:val="auto"/>
                <w:w w:val="85"/>
              </w:rPr>
              <w:t>Base Rent</w:t>
            </w:r>
          </w:p>
        </w:tc>
        <w:tc>
          <w:tcPr>
            <w:tcW w:w="1860" w:type="dxa"/>
            <w:vAlign w:val="bottom"/>
            <w:gridSpan w:val="2"/>
          </w:tcPr>
          <w:p>
            <w:pPr>
              <w:jc w:val="center"/>
              <w:ind w:right="740"/>
              <w:spacing w:after="0" w:line="224" w:lineRule="exact"/>
              <w:rPr>
                <w:sz w:val="20"/>
                <w:szCs w:val="20"/>
                <w:color w:val="auto"/>
              </w:rPr>
            </w:pPr>
            <w:r>
              <w:rPr>
                <w:rFonts w:ascii="Arial" w:cs="Arial" w:eastAsia="Arial" w:hAnsi="Arial"/>
                <w:sz w:val="22"/>
                <w:szCs w:val="22"/>
                <w:color w:val="auto"/>
                <w:w w:val="88"/>
              </w:rPr>
              <w:t>of Base Rent</w:t>
            </w:r>
          </w:p>
        </w:tc>
        <w:tc>
          <w:tcPr>
            <w:tcW w:w="2320" w:type="dxa"/>
            <w:vAlign w:val="bottom"/>
            <w:gridSpan w:val="3"/>
          </w:tcPr>
          <w:p>
            <w:pPr>
              <w:jc w:val="center"/>
              <w:ind w:left="632"/>
              <w:spacing w:after="0" w:line="224" w:lineRule="exact"/>
              <w:rPr>
                <w:sz w:val="20"/>
                <w:szCs w:val="20"/>
                <w:color w:val="auto"/>
              </w:rPr>
            </w:pPr>
            <w:r>
              <w:rPr>
                <w:rFonts w:ascii="Arial" w:cs="Arial" w:eastAsia="Arial" w:hAnsi="Arial"/>
                <w:sz w:val="22"/>
                <w:szCs w:val="22"/>
                <w:color w:val="auto"/>
                <w:w w:val="87"/>
              </w:rPr>
              <w:t>Square Foot</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3"/>
        </w:trPr>
        <w:tc>
          <w:tcPr>
            <w:tcW w:w="2120" w:type="dxa"/>
            <w:vAlign w:val="bottom"/>
            <w:gridSpan w:val="3"/>
          </w:tcPr>
          <w:p>
            <w:pPr>
              <w:spacing w:after="0"/>
              <w:rPr>
                <w:sz w:val="20"/>
                <w:szCs w:val="20"/>
                <w:color w:val="auto"/>
              </w:rPr>
            </w:pPr>
            <w:r>
              <w:rPr>
                <w:rFonts w:ascii="Arial" w:cs="Arial" w:eastAsia="Arial" w:hAnsi="Arial"/>
                <w:sz w:val="22"/>
                <w:szCs w:val="22"/>
                <w:color w:val="auto"/>
              </w:rPr>
              <w:t>March 1, 2029 –</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8"/>
        </w:trPr>
        <w:tc>
          <w:tcPr>
            <w:tcW w:w="2120" w:type="dxa"/>
            <w:vAlign w:val="bottom"/>
            <w:gridSpan w:val="3"/>
          </w:tcPr>
          <w:p>
            <w:pPr>
              <w:spacing w:after="0"/>
              <w:rPr>
                <w:sz w:val="20"/>
                <w:szCs w:val="20"/>
                <w:color w:val="auto"/>
              </w:rPr>
            </w:pPr>
            <w:r>
              <w:rPr>
                <w:rFonts w:ascii="Arial" w:cs="Arial" w:eastAsia="Arial" w:hAnsi="Arial"/>
                <w:sz w:val="22"/>
                <w:szCs w:val="22"/>
                <w:color w:val="auto"/>
              </w:rPr>
              <w:t>March 31, 2029</w:t>
            </w:r>
          </w:p>
        </w:tc>
        <w:tc>
          <w:tcPr>
            <w:tcW w:w="820" w:type="dxa"/>
            <w:vAlign w:val="bottom"/>
          </w:tcPr>
          <w:p>
            <w:pPr>
              <w:spacing w:after="0"/>
              <w:rPr>
                <w:sz w:val="24"/>
                <w:szCs w:val="24"/>
                <w:color w:val="auto"/>
              </w:rPr>
            </w:pPr>
          </w:p>
        </w:tc>
        <w:tc>
          <w:tcPr>
            <w:tcW w:w="2540" w:type="dxa"/>
            <w:vAlign w:val="bottom"/>
            <w:gridSpan w:val="2"/>
          </w:tcPr>
          <w:p>
            <w:pPr>
              <w:jc w:val="center"/>
              <w:ind w:right="1500"/>
              <w:spacing w:after="0"/>
              <w:rPr>
                <w:sz w:val="20"/>
                <w:szCs w:val="20"/>
                <w:color w:val="auto"/>
              </w:rPr>
            </w:pPr>
            <w:r>
              <w:rPr>
                <w:rFonts w:ascii="Arial" w:cs="Arial" w:eastAsia="Arial" w:hAnsi="Arial"/>
                <w:sz w:val="22"/>
                <w:szCs w:val="22"/>
                <w:color w:val="auto"/>
                <w:w w:val="98"/>
              </w:rPr>
              <w:t>N/A</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$543,908.89</w:t>
            </w:r>
          </w:p>
        </w:tc>
        <w:tc>
          <w:tcPr>
            <w:tcW w:w="740" w:type="dxa"/>
            <w:vAlign w:val="bottom"/>
          </w:tcPr>
          <w:p>
            <w:pPr>
              <w:spacing w:after="0"/>
              <w:rPr>
                <w:sz w:val="24"/>
                <w:szCs w:val="24"/>
                <w:color w:val="auto"/>
              </w:rPr>
            </w:pPr>
          </w:p>
        </w:tc>
        <w:tc>
          <w:tcPr>
            <w:tcW w:w="2060" w:type="dxa"/>
            <w:vAlign w:val="bottom"/>
            <w:gridSpan w:val="2"/>
          </w:tcPr>
          <w:p>
            <w:pPr>
              <w:jc w:val="center"/>
              <w:ind w:left="892"/>
              <w:spacing w:after="0"/>
              <w:rPr>
                <w:sz w:val="20"/>
                <w:szCs w:val="20"/>
                <w:color w:val="auto"/>
              </w:rPr>
            </w:pPr>
            <w:r>
              <w:rPr>
                <w:rFonts w:ascii="Arial" w:cs="Arial" w:eastAsia="Arial" w:hAnsi="Arial"/>
                <w:sz w:val="22"/>
                <w:szCs w:val="22"/>
                <w:color w:val="auto"/>
                <w:w w:val="87"/>
              </w:rPr>
              <w:t>$7.9902</w:t>
            </w:r>
          </w:p>
        </w:tc>
        <w:tc>
          <w:tcPr>
            <w:tcW w:w="260" w:type="dxa"/>
            <w:vAlign w:val="bottom"/>
          </w:tcPr>
          <w:p>
            <w:pPr>
              <w:spacing w:after="0"/>
              <w:rPr>
                <w:sz w:val="24"/>
                <w:szCs w:val="24"/>
                <w:color w:val="auto"/>
              </w:rPr>
            </w:pPr>
          </w:p>
        </w:tc>
      </w:tr>
      <w:tr>
        <w:trPr>
          <w:trHeight w:val="347"/>
        </w:trPr>
        <w:tc>
          <w:tcPr>
            <w:tcW w:w="2120" w:type="dxa"/>
            <w:vAlign w:val="bottom"/>
            <w:gridSpan w:val="3"/>
          </w:tcPr>
          <w:p>
            <w:pPr>
              <w:spacing w:after="0"/>
              <w:rPr>
                <w:sz w:val="20"/>
                <w:szCs w:val="20"/>
                <w:color w:val="auto"/>
              </w:rPr>
            </w:pPr>
            <w:r>
              <w:rPr>
                <w:rFonts w:ascii="Arial" w:cs="Arial" w:eastAsia="Arial" w:hAnsi="Arial"/>
                <w:sz w:val="22"/>
                <w:szCs w:val="22"/>
                <w:color w:val="auto"/>
              </w:rPr>
              <w:t>March 1, 2029 –</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8"/>
        </w:trPr>
        <w:tc>
          <w:tcPr>
            <w:tcW w:w="2120" w:type="dxa"/>
            <w:vAlign w:val="bottom"/>
            <w:gridSpan w:val="3"/>
          </w:tcPr>
          <w:p>
            <w:pPr>
              <w:spacing w:after="0"/>
              <w:rPr>
                <w:sz w:val="20"/>
                <w:szCs w:val="20"/>
                <w:color w:val="auto"/>
              </w:rPr>
            </w:pPr>
            <w:r>
              <w:rPr>
                <w:rFonts w:ascii="Arial" w:cs="Arial" w:eastAsia="Arial" w:hAnsi="Arial"/>
                <w:sz w:val="22"/>
                <w:szCs w:val="22"/>
                <w:color w:val="auto"/>
              </w:rPr>
              <w:t>March 31, 2030</w:t>
            </w:r>
          </w:p>
        </w:tc>
        <w:tc>
          <w:tcPr>
            <w:tcW w:w="3360" w:type="dxa"/>
            <w:vAlign w:val="bottom"/>
            <w:gridSpan w:val="3"/>
          </w:tcPr>
          <w:p>
            <w:pPr>
              <w:jc w:val="center"/>
              <w:ind w:right="680"/>
              <w:spacing w:after="0"/>
              <w:rPr>
                <w:sz w:val="20"/>
                <w:szCs w:val="20"/>
                <w:color w:val="auto"/>
              </w:rPr>
            </w:pPr>
            <w:r>
              <w:rPr>
                <w:rFonts w:ascii="Arial" w:cs="Arial" w:eastAsia="Arial" w:hAnsi="Arial"/>
                <w:sz w:val="22"/>
                <w:szCs w:val="22"/>
                <w:color w:val="auto"/>
                <w:w w:val="88"/>
              </w:rPr>
              <w:t>$6,755,301.91</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$562,941.83</w:t>
            </w:r>
          </w:p>
        </w:tc>
        <w:tc>
          <w:tcPr>
            <w:tcW w:w="740" w:type="dxa"/>
            <w:vAlign w:val="bottom"/>
          </w:tcPr>
          <w:p>
            <w:pPr>
              <w:spacing w:after="0"/>
              <w:rPr>
                <w:sz w:val="24"/>
                <w:szCs w:val="24"/>
                <w:color w:val="auto"/>
              </w:rPr>
            </w:pPr>
          </w:p>
        </w:tc>
        <w:tc>
          <w:tcPr>
            <w:tcW w:w="2060" w:type="dxa"/>
            <w:vAlign w:val="bottom"/>
            <w:gridSpan w:val="2"/>
          </w:tcPr>
          <w:p>
            <w:pPr>
              <w:jc w:val="center"/>
              <w:ind w:left="892"/>
              <w:spacing w:after="0"/>
              <w:rPr>
                <w:sz w:val="20"/>
                <w:szCs w:val="20"/>
                <w:color w:val="auto"/>
              </w:rPr>
            </w:pPr>
            <w:r>
              <w:rPr>
                <w:rFonts w:ascii="Arial" w:cs="Arial" w:eastAsia="Arial" w:hAnsi="Arial"/>
                <w:sz w:val="22"/>
                <w:szCs w:val="22"/>
                <w:color w:val="auto"/>
                <w:w w:val="87"/>
              </w:rPr>
              <w:t>$8.2698</w:t>
            </w:r>
          </w:p>
        </w:tc>
        <w:tc>
          <w:tcPr>
            <w:tcW w:w="260" w:type="dxa"/>
            <w:vAlign w:val="bottom"/>
          </w:tcPr>
          <w:p>
            <w:pPr>
              <w:spacing w:after="0"/>
              <w:rPr>
                <w:sz w:val="24"/>
                <w:szCs w:val="24"/>
                <w:color w:val="auto"/>
              </w:rPr>
            </w:pPr>
          </w:p>
        </w:tc>
      </w:tr>
      <w:tr>
        <w:trPr>
          <w:trHeight w:val="347"/>
        </w:trPr>
        <w:tc>
          <w:tcPr>
            <w:tcW w:w="2120" w:type="dxa"/>
            <w:vAlign w:val="bottom"/>
            <w:gridSpan w:val="3"/>
          </w:tcPr>
          <w:p>
            <w:pPr>
              <w:spacing w:after="0"/>
              <w:rPr>
                <w:sz w:val="20"/>
                <w:szCs w:val="20"/>
                <w:color w:val="auto"/>
              </w:rPr>
            </w:pPr>
            <w:r>
              <w:rPr>
                <w:rFonts w:ascii="Arial" w:cs="Arial" w:eastAsia="Arial" w:hAnsi="Arial"/>
                <w:sz w:val="22"/>
                <w:szCs w:val="22"/>
                <w:color w:val="auto"/>
              </w:rPr>
              <w:t>March 1, 2030 –</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8"/>
        </w:trPr>
        <w:tc>
          <w:tcPr>
            <w:tcW w:w="2120" w:type="dxa"/>
            <w:vAlign w:val="bottom"/>
            <w:gridSpan w:val="3"/>
          </w:tcPr>
          <w:p>
            <w:pPr>
              <w:spacing w:after="0"/>
              <w:rPr>
                <w:sz w:val="20"/>
                <w:szCs w:val="20"/>
                <w:color w:val="auto"/>
              </w:rPr>
            </w:pPr>
            <w:r>
              <w:rPr>
                <w:rFonts w:ascii="Arial" w:cs="Arial" w:eastAsia="Arial" w:hAnsi="Arial"/>
                <w:sz w:val="22"/>
                <w:szCs w:val="22"/>
                <w:color w:val="auto"/>
              </w:rPr>
              <w:t>March 31, 2031</w:t>
            </w:r>
          </w:p>
        </w:tc>
        <w:tc>
          <w:tcPr>
            <w:tcW w:w="3360" w:type="dxa"/>
            <w:vAlign w:val="bottom"/>
            <w:gridSpan w:val="3"/>
          </w:tcPr>
          <w:p>
            <w:pPr>
              <w:jc w:val="center"/>
              <w:ind w:right="680"/>
              <w:spacing w:after="0"/>
              <w:rPr>
                <w:sz w:val="20"/>
                <w:szCs w:val="20"/>
                <w:color w:val="auto"/>
              </w:rPr>
            </w:pPr>
            <w:r>
              <w:rPr>
                <w:rFonts w:ascii="Arial" w:cs="Arial" w:eastAsia="Arial" w:hAnsi="Arial"/>
                <w:sz w:val="22"/>
                <w:szCs w:val="22"/>
                <w:color w:val="auto"/>
                <w:w w:val="88"/>
              </w:rPr>
              <w:t>$6,991,784.04</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$582,648.67</w:t>
            </w:r>
          </w:p>
        </w:tc>
        <w:tc>
          <w:tcPr>
            <w:tcW w:w="740" w:type="dxa"/>
            <w:vAlign w:val="bottom"/>
          </w:tcPr>
          <w:p>
            <w:pPr>
              <w:spacing w:after="0"/>
              <w:rPr>
                <w:sz w:val="24"/>
                <w:szCs w:val="24"/>
                <w:color w:val="auto"/>
              </w:rPr>
            </w:pPr>
          </w:p>
        </w:tc>
        <w:tc>
          <w:tcPr>
            <w:tcW w:w="2060" w:type="dxa"/>
            <w:vAlign w:val="bottom"/>
            <w:gridSpan w:val="2"/>
          </w:tcPr>
          <w:p>
            <w:pPr>
              <w:jc w:val="center"/>
              <w:ind w:left="892"/>
              <w:spacing w:after="0"/>
              <w:rPr>
                <w:sz w:val="20"/>
                <w:szCs w:val="20"/>
                <w:color w:val="auto"/>
              </w:rPr>
            </w:pPr>
            <w:r>
              <w:rPr>
                <w:rFonts w:ascii="Arial" w:cs="Arial" w:eastAsia="Arial" w:hAnsi="Arial"/>
                <w:sz w:val="22"/>
                <w:szCs w:val="22"/>
                <w:color w:val="auto"/>
                <w:w w:val="87"/>
              </w:rPr>
              <w:t>$8.5593</w:t>
            </w:r>
          </w:p>
        </w:tc>
        <w:tc>
          <w:tcPr>
            <w:tcW w:w="260" w:type="dxa"/>
            <w:vAlign w:val="bottom"/>
          </w:tcPr>
          <w:p>
            <w:pPr>
              <w:spacing w:after="0"/>
              <w:rPr>
                <w:sz w:val="24"/>
                <w:szCs w:val="24"/>
                <w:color w:val="auto"/>
              </w:rPr>
            </w:pPr>
          </w:p>
        </w:tc>
      </w:tr>
      <w:tr>
        <w:trPr>
          <w:trHeight w:val="360"/>
        </w:trPr>
        <w:tc>
          <w:tcPr>
            <w:tcW w:w="2120" w:type="dxa"/>
            <w:vAlign w:val="bottom"/>
            <w:gridSpan w:val="3"/>
          </w:tcPr>
          <w:p>
            <w:pPr>
              <w:spacing w:after="0"/>
              <w:rPr>
                <w:sz w:val="20"/>
                <w:szCs w:val="20"/>
                <w:color w:val="auto"/>
              </w:rPr>
            </w:pPr>
            <w:r>
              <w:rPr>
                <w:rFonts w:ascii="Arial" w:cs="Arial" w:eastAsia="Arial" w:hAnsi="Arial"/>
                <w:sz w:val="22"/>
                <w:szCs w:val="22"/>
                <w:color w:val="auto"/>
              </w:rPr>
              <w:t>March 1, 2031 –</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4"/>
        </w:trPr>
        <w:tc>
          <w:tcPr>
            <w:tcW w:w="2120" w:type="dxa"/>
            <w:vAlign w:val="bottom"/>
            <w:gridSpan w:val="3"/>
          </w:tcPr>
          <w:p>
            <w:pPr>
              <w:spacing w:after="0"/>
              <w:rPr>
                <w:sz w:val="20"/>
                <w:szCs w:val="20"/>
                <w:color w:val="auto"/>
              </w:rPr>
            </w:pPr>
            <w:r>
              <w:rPr>
                <w:rFonts w:ascii="Arial" w:cs="Arial" w:eastAsia="Arial" w:hAnsi="Arial"/>
                <w:sz w:val="22"/>
                <w:szCs w:val="22"/>
                <w:color w:val="auto"/>
              </w:rPr>
              <w:t>March 31, 2032</w:t>
            </w:r>
          </w:p>
        </w:tc>
        <w:tc>
          <w:tcPr>
            <w:tcW w:w="3360" w:type="dxa"/>
            <w:vAlign w:val="bottom"/>
            <w:gridSpan w:val="3"/>
          </w:tcPr>
          <w:p>
            <w:pPr>
              <w:jc w:val="center"/>
              <w:ind w:right="680"/>
              <w:spacing w:after="0"/>
              <w:rPr>
                <w:sz w:val="20"/>
                <w:szCs w:val="20"/>
                <w:color w:val="auto"/>
              </w:rPr>
            </w:pPr>
            <w:r>
              <w:rPr>
                <w:rFonts w:ascii="Arial" w:cs="Arial" w:eastAsia="Arial" w:hAnsi="Arial"/>
                <w:sz w:val="22"/>
                <w:szCs w:val="22"/>
                <w:color w:val="auto"/>
                <w:w w:val="88"/>
              </w:rPr>
              <w:t>$7,236,434.80</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$603,036.23</w:t>
            </w:r>
          </w:p>
        </w:tc>
        <w:tc>
          <w:tcPr>
            <w:tcW w:w="740" w:type="dxa"/>
            <w:vAlign w:val="bottom"/>
          </w:tcPr>
          <w:p>
            <w:pPr>
              <w:spacing w:after="0"/>
              <w:rPr>
                <w:sz w:val="23"/>
                <w:szCs w:val="23"/>
                <w:color w:val="auto"/>
              </w:rPr>
            </w:pPr>
          </w:p>
        </w:tc>
        <w:tc>
          <w:tcPr>
            <w:tcW w:w="2060" w:type="dxa"/>
            <w:vAlign w:val="bottom"/>
            <w:gridSpan w:val="2"/>
          </w:tcPr>
          <w:p>
            <w:pPr>
              <w:jc w:val="center"/>
              <w:ind w:left="892"/>
              <w:spacing w:after="0"/>
              <w:rPr>
                <w:sz w:val="20"/>
                <w:szCs w:val="20"/>
                <w:color w:val="auto"/>
              </w:rPr>
            </w:pPr>
            <w:r>
              <w:rPr>
                <w:rFonts w:ascii="Arial" w:cs="Arial" w:eastAsia="Arial" w:hAnsi="Arial"/>
                <w:sz w:val="22"/>
                <w:szCs w:val="22"/>
                <w:color w:val="auto"/>
                <w:w w:val="87"/>
              </w:rPr>
              <w:t>$8.8588</w:t>
            </w:r>
          </w:p>
        </w:tc>
        <w:tc>
          <w:tcPr>
            <w:tcW w:w="260" w:type="dxa"/>
            <w:vAlign w:val="bottom"/>
          </w:tcPr>
          <w:p>
            <w:pPr>
              <w:spacing w:after="0"/>
              <w:rPr>
                <w:sz w:val="23"/>
                <w:szCs w:val="23"/>
                <w:color w:val="auto"/>
              </w:rPr>
            </w:pPr>
          </w:p>
        </w:tc>
      </w:tr>
    </w:tbl>
    <w:p>
      <w:pPr>
        <w:spacing w:after="0" w:line="327" w:lineRule="exact"/>
        <w:rPr>
          <w:sz w:val="20"/>
          <w:szCs w:val="20"/>
          <w:color w:val="auto"/>
        </w:rPr>
      </w:pPr>
    </w:p>
    <w:p>
      <w:pPr>
        <w:ind w:left="1040" w:hanging="384"/>
        <w:spacing w:after="0"/>
        <w:tabs>
          <w:tab w:leader="none" w:pos="1040"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Tenant's Share of Direct Expenses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u w:val="single" w:color="auto"/>
          <w:color w:val="auto"/>
        </w:rPr>
        <w:t>Direct Expenses</w:t>
      </w:r>
      <w:r>
        <w:rPr>
          <w:rFonts w:ascii="Arial" w:cs="Arial" w:eastAsia="Arial" w:hAnsi="Arial"/>
          <w:sz w:val="19"/>
          <w:szCs w:val="19"/>
          <w:color w:val="auto"/>
        </w:rPr>
        <w:t>. Tenant shall continue to pay Tenant’s Share of Direct Expenses for the Existing Premises as provided in the Lease (i.e., 100% of the 210 Building). From and after the Expansion Premises Commencement Date, Tenant shall additionally pay Tenant’s Share of Direct Expenses for the Expansion Premises in accordance with the terms of the Lease, and Tenant’s Share with respect to the Expansion Premises will be 100% of the 220 Building.</w:t>
      </w:r>
    </w:p>
    <w:p>
      <w:pPr>
        <w:spacing w:after="0" w:line="16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u w:val="single" w:color="auto"/>
          <w:color w:val="auto"/>
        </w:rPr>
        <w:t>Abatement of Expansion Premises Direct Expenses</w:t>
      </w:r>
      <w:r>
        <w:rPr>
          <w:rFonts w:ascii="Arial" w:cs="Arial" w:eastAsia="Arial" w:hAnsi="Arial"/>
          <w:sz w:val="19"/>
          <w:szCs w:val="19"/>
          <w:color w:val="auto"/>
        </w:rPr>
        <w:t>. Notwithstanding the foregoing, provided that Tenant is not then in default of the Lease, after expiration of any applicable notice and cure period, Tenant shall have no obligation to pay any Direct Expenses attributable to the Expansion Premises during the Expansion Premises Rent Abatement Period.</w:t>
      </w:r>
    </w:p>
    <w:p>
      <w:pPr>
        <w:spacing w:after="0" w:line="150" w:lineRule="exact"/>
        <w:rPr>
          <w:sz w:val="20"/>
          <w:szCs w:val="20"/>
          <w:color w:val="auto"/>
        </w:rPr>
      </w:pPr>
    </w:p>
    <w:p>
      <w:pPr>
        <w:ind w:left="1040" w:hanging="384"/>
        <w:spacing w:after="0"/>
        <w:tabs>
          <w:tab w:leader="none" w:pos="1040"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Condition of Premises</w:t>
      </w:r>
      <w:r>
        <w:rPr>
          <w:rFonts w:ascii="Arial" w:cs="Arial" w:eastAsia="Arial" w:hAnsi="Arial"/>
          <w:sz w:val="22"/>
          <w:szCs w:val="22"/>
          <w:color w:val="auto"/>
        </w:rPr>
        <w: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65"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b w:val="1"/>
          <w:bCs w:val="1"/>
          <w:u w:val="single" w:color="auto"/>
          <w:color w:val="auto"/>
        </w:rPr>
        <w:t>Condition of Existing Premises</w:t>
      </w:r>
      <w:r>
        <w:rPr>
          <w:rFonts w:ascii="Arial" w:cs="Arial" w:eastAsia="Arial" w:hAnsi="Arial"/>
          <w:sz w:val="21"/>
          <w:szCs w:val="21"/>
          <w:color w:val="auto"/>
        </w:rPr>
        <w:t>. Tenant is currently in possession of the Existing Premises and shall continue its occupancy of the same in its current "AS-IS" condition as of the Effective Date without any agreements, representations, understandings or obligations on the part of Landlord to perform or pay for any alterations, repairs or improvements to the Existing Premises, except as otherwise expressly provided in the Lease, as hereby amended.</w:t>
      </w:r>
    </w:p>
    <w:p>
      <w:pPr>
        <w:spacing w:after="0" w:line="191"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u w:val="single" w:color="auto"/>
          <w:color w:val="auto"/>
        </w:rPr>
        <w:t>Condition of Expansion Premises</w:t>
      </w:r>
      <w:r>
        <w:rPr>
          <w:rFonts w:ascii="Arial" w:cs="Arial" w:eastAsia="Arial" w:hAnsi="Arial"/>
          <w:sz w:val="19"/>
          <w:szCs w:val="19"/>
          <w:color w:val="auto"/>
        </w:rPr>
        <w:t>. Except as specifically set forth herein, Tenant shall accept the Expansion Premises in its "AS-IS" condition as of the Expansion Premises Commencement Date without any agreements, representations, understandings or obligations on the part of Landlord to perform or pay for any alterations, repairs or improvements to the Expansion Premises, except as otherwise expressly provided in the Lease, and neither Landlord nor any agent of Landlord has made any representation or warranty to Tenant regarding the condition of the Expansion Premises, the Building or the Project, or with respect to the suitability of any of the foregoing for the conduct of Tenant's business.</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b w:val="1"/>
          <w:bCs w:val="1"/>
          <w:u w:val="single" w:color="auto"/>
          <w:color w:val="auto"/>
        </w:rPr>
        <w:t>220 Building Systems Delivery</w:t>
      </w:r>
      <w:r>
        <w:rPr>
          <w:rFonts w:ascii="Arial" w:cs="Arial" w:eastAsia="Arial" w:hAnsi="Arial"/>
          <w:sz w:val="21"/>
          <w:szCs w:val="21"/>
          <w:color w:val="auto"/>
        </w:rPr>
        <w:t>. As of the Expansion Premises Commencement Date, (i) all Building Systems of the 220 Building, including without limitation, HVAC, plumbing, sewer, fire &amp; life safety, roof and roof membrane, and electrical systems, shall be in good working condition and repair and in compliance with applicable laws, including the ADA, and (ii) the Expansion Premises shall be in compliance with applicable environmental laws, in each case to the extent required to allow the legal occupancy of the Expansion Premises. As of the Expansion Premises Commencement Date, all laboratory space in the Expansion Premises shall have been fully decommissioned.</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4.4.</w:t>
      </w:r>
    </w:p>
    <w:p>
      <w:pPr>
        <w:spacing w:after="0" w:line="214" w:lineRule="exact"/>
        <w:rPr>
          <w:sz w:val="20"/>
          <w:szCs w:val="20"/>
          <w:color w:val="auto"/>
        </w:rPr>
      </w:pPr>
    </w:p>
    <w:p>
      <w:pPr>
        <w:jc w:val="both"/>
        <w:ind w:left="1300" w:firstLine="652"/>
        <w:spacing w:after="0" w:line="235" w:lineRule="auto"/>
        <w:tabs>
          <w:tab w:leader="none" w:pos="2417" w:val="left"/>
        </w:tabs>
        <w:numPr>
          <w:ilvl w:val="0"/>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HVAC System Warranty</w:t>
      </w:r>
      <w:r>
        <w:rPr>
          <w:rFonts w:ascii="Arial" w:cs="Arial" w:eastAsia="Arial" w:hAnsi="Arial"/>
          <w:sz w:val="21"/>
          <w:szCs w:val="21"/>
          <w:color w:val="auto"/>
        </w:rPr>
        <w:t>. During the period from April 1, 2022, through March 31, 2023, Landlord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shall be responsible, at Landlord’s sole cost and expense and not as a part of Operating Expenses, for any required individual repair or replacement of any failed or inoperable portion of the existing mechanical systems serving the 220 Building that has a total cost of $25,000.00 or more, provided that the need for such repair or replacement was not caused by Tenant Damage (as defined in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of the Lease), or by any modification, Alterations or improvements constructed by or on behalf of Tenant. Tenant shall be responsible to reimburse Landlord for any costs caused by Tenant Damage.</w:t>
      </w:r>
    </w:p>
    <w:p>
      <w:pPr>
        <w:spacing w:after="0" w:line="194" w:lineRule="exact"/>
        <w:rPr>
          <w:rFonts w:ascii="Arial" w:cs="Arial" w:eastAsia="Arial" w:hAnsi="Arial"/>
          <w:sz w:val="21"/>
          <w:szCs w:val="21"/>
          <w:color w:val="auto"/>
        </w:rPr>
      </w:pPr>
    </w:p>
    <w:p>
      <w:pPr>
        <w:jc w:val="both"/>
        <w:ind w:left="1300" w:firstLine="652"/>
        <w:spacing w:after="0" w:line="227" w:lineRule="auto"/>
        <w:tabs>
          <w:tab w:leader="none" w:pos="2524" w:val="left"/>
        </w:tabs>
        <w:numPr>
          <w:ilvl w:val="0"/>
          <w:numId w:val="67"/>
        </w:numPr>
        <w:rPr>
          <w:rFonts w:ascii="Arial" w:cs="Arial" w:eastAsia="Arial" w:hAnsi="Arial"/>
          <w:sz w:val="22"/>
          <w:szCs w:val="22"/>
          <w:color w:val="auto"/>
        </w:rPr>
      </w:pPr>
      <w:r>
        <w:rPr>
          <w:rFonts w:ascii="Arial" w:cs="Arial" w:eastAsia="Arial" w:hAnsi="Arial"/>
          <w:sz w:val="22"/>
          <w:szCs w:val="22"/>
          <w:b w:val="1"/>
          <w:bCs w:val="1"/>
          <w:u w:val="single" w:color="auto"/>
          <w:color w:val="auto"/>
        </w:rPr>
        <w:t>Replacement Warranty</w:t>
      </w:r>
      <w:r>
        <w:rPr>
          <w:rFonts w:ascii="Arial" w:cs="Arial" w:eastAsia="Arial" w:hAnsi="Arial"/>
          <w:sz w:val="22"/>
          <w:szCs w:val="22"/>
          <w:color w:val="auto"/>
        </w:rPr>
        <w:t>. During the Expansion Premises Term, Landlord shall be responsible at</w:t>
      </w:r>
      <w:r>
        <w:rPr>
          <w:rFonts w:ascii="Arial" w:cs="Arial" w:eastAsia="Arial" w:hAnsi="Arial"/>
          <w:sz w:val="22"/>
          <w:szCs w:val="22"/>
          <w:b w:val="1"/>
          <w:bCs w:val="1"/>
          <w:color w:val="auto"/>
        </w:rPr>
        <w:t xml:space="preserve"> </w:t>
      </w:r>
      <w:r>
        <w:rPr>
          <w:rFonts w:ascii="Arial" w:cs="Arial" w:eastAsia="Arial" w:hAnsi="Arial"/>
          <w:sz w:val="22"/>
          <w:szCs w:val="22"/>
          <w:color w:val="auto"/>
        </w:rPr>
        <w:t>Landlord’s sole cost and expense and not as a part of Operating Expenses, for the cost of replacement of any failed or inoperable portion of any of the following systems: Chiller #1, Boiler #1, AHU #3, and Exhaust Fan #1 and #6. Notwithstanding the foregoing, Tenant shall be responsible to reimburse Landlord for any costs related to such systems caused by Tenant Damage.</w:t>
      </w:r>
    </w:p>
    <w:p>
      <w:pPr>
        <w:spacing w:after="0" w:line="194" w:lineRule="exact"/>
        <w:rPr>
          <w:sz w:val="20"/>
          <w:szCs w:val="20"/>
          <w:color w:val="auto"/>
        </w:rPr>
      </w:pPr>
    </w:p>
    <w:p>
      <w:pPr>
        <w:ind w:right="220" w:firstLine="1296"/>
        <w:spacing w:after="0" w:line="243"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b w:val="1"/>
          <w:bCs w:val="1"/>
          <w:u w:val="single" w:color="auto"/>
          <w:color w:val="auto"/>
        </w:rPr>
        <w:t>Connector Space</w:t>
      </w:r>
      <w:r>
        <w:rPr>
          <w:rFonts w:ascii="Arial" w:cs="Arial" w:eastAsia="Arial" w:hAnsi="Arial"/>
          <w:sz w:val="22"/>
          <w:szCs w:val="22"/>
          <w:color w:val="auto"/>
        </w:rPr>
        <w:t>. The Expansion Premises includes approximately 744 rentable square feet of space (the “</w:t>
      </w:r>
      <w:r>
        <w:rPr>
          <w:rFonts w:ascii="Arial" w:cs="Arial" w:eastAsia="Arial" w:hAnsi="Arial"/>
          <w:sz w:val="22"/>
          <w:szCs w:val="22"/>
          <w:b w:val="1"/>
          <w:bCs w:val="1"/>
          <w:color w:val="auto"/>
        </w:rPr>
        <w:t>Connector Space</w:t>
      </w:r>
      <w:r>
        <w:rPr>
          <w:rFonts w:ascii="Arial" w:cs="Arial" w:eastAsia="Arial" w:hAnsi="Arial"/>
          <w:sz w:val="22"/>
          <w:szCs w:val="22"/>
          <w:color w:val="auto"/>
        </w:rPr>
        <w:t>”) on the ground level on the northeast side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8"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of the 220 Building. Landlord shall have the right, at any time during the Expansion Premises Term, to terminate Tenant’s lease of the Connector Space by giving Tenant not less than six (6) months prior written notice of such termination (the “</w:t>
      </w:r>
      <w:r>
        <w:rPr>
          <w:rFonts w:ascii="Arial" w:cs="Arial" w:eastAsia="Arial" w:hAnsi="Arial"/>
          <w:sz w:val="19"/>
          <w:szCs w:val="19"/>
          <w:b w:val="1"/>
          <w:bCs w:val="1"/>
          <w:color w:val="auto"/>
        </w:rPr>
        <w:t>Connector</w:t>
      </w:r>
      <w:r>
        <w:rPr>
          <w:rFonts w:ascii="Arial" w:cs="Arial" w:eastAsia="Arial" w:hAnsi="Arial"/>
          <w:sz w:val="19"/>
          <w:szCs w:val="19"/>
          <w:color w:val="auto"/>
        </w:rPr>
        <w:t xml:space="preserve"> </w:t>
      </w:r>
      <w:r>
        <w:rPr>
          <w:rFonts w:ascii="Arial" w:cs="Arial" w:eastAsia="Arial" w:hAnsi="Arial"/>
          <w:sz w:val="19"/>
          <w:szCs w:val="19"/>
          <w:b w:val="1"/>
          <w:bCs w:val="1"/>
          <w:color w:val="auto"/>
        </w:rPr>
        <w:t>Termination Notice</w:t>
      </w:r>
      <w:r>
        <w:rPr>
          <w:rFonts w:ascii="Arial" w:cs="Arial" w:eastAsia="Arial" w:hAnsi="Arial"/>
          <w:sz w:val="19"/>
          <w:szCs w:val="19"/>
          <w:color w:val="auto"/>
        </w:rPr>
        <w:t>”), which Connector Termination Notice shall set forth the date of such termination (the “</w:t>
      </w:r>
      <w:r>
        <w:rPr>
          <w:rFonts w:ascii="Arial" w:cs="Arial" w:eastAsia="Arial" w:hAnsi="Arial"/>
          <w:sz w:val="19"/>
          <w:szCs w:val="19"/>
          <w:b w:val="1"/>
          <w:bCs w:val="1"/>
          <w:color w:val="auto"/>
        </w:rPr>
        <w:t>Connector Termination Date</w:t>
      </w:r>
      <w:r>
        <w:rPr>
          <w:rFonts w:ascii="Arial" w:cs="Arial" w:eastAsia="Arial" w:hAnsi="Arial"/>
          <w:sz w:val="19"/>
          <w:szCs w:val="19"/>
          <w:color w:val="auto"/>
        </w:rPr>
        <w:t>”). Tenant shall vacate the Connector Space on or before the Connector Termination Date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applicable terms of the Lease, including without limitation,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15</w:t>
      </w:r>
      <w:r>
        <w:rPr>
          <w:rFonts w:ascii="Arial" w:cs="Arial" w:eastAsia="Arial" w:hAnsi="Arial"/>
          <w:sz w:val="19"/>
          <w:szCs w:val="19"/>
          <w:color w:val="auto"/>
        </w:rPr>
        <w:t>. The Base Rent payable by Tenant for the Expansion Premises shall be appropriately adjusted as of the Connector Termination Date to account for the reduction of the rentable square feet in the Expansion Premises resulting from such termination. Following such Connector Termination Date, the Connector Space will be transferred to be part of the adjacent building, and Tenant’s Share shall continue to be 100% of the 220 Building (exclusive of the Connector Space). Landlord shall be responsible, at Landlord’s sole cost and expense, to separately demise the Connector Space from the Expansion Premises.</w:t>
      </w:r>
    </w:p>
    <w:p>
      <w:pPr>
        <w:spacing w:after="0" w:line="183" w:lineRule="exact"/>
        <w:rPr>
          <w:sz w:val="20"/>
          <w:szCs w:val="20"/>
          <w:color w:val="auto"/>
        </w:rPr>
      </w:pPr>
    </w:p>
    <w:p>
      <w:pPr>
        <w:ind w:left="1040" w:hanging="384"/>
        <w:spacing w:after="0"/>
        <w:tabs>
          <w:tab w:leader="none" w:pos="1040" w:val="left"/>
        </w:tabs>
        <w:numPr>
          <w:ilvl w:val="1"/>
          <w:numId w:val="68"/>
        </w:numPr>
        <w:rPr>
          <w:rFonts w:ascii="Arial" w:cs="Arial" w:eastAsia="Arial" w:hAnsi="Arial"/>
          <w:sz w:val="19"/>
          <w:szCs w:val="19"/>
          <w:color w:val="auto"/>
        </w:rPr>
      </w:pPr>
      <w:r>
        <w:rPr>
          <w:rFonts w:ascii="Arial" w:cs="Arial" w:eastAsia="Arial" w:hAnsi="Arial"/>
          <w:sz w:val="19"/>
          <w:szCs w:val="19"/>
          <w:b w:val="1"/>
          <w:bCs w:val="1"/>
          <w:u w:val="single" w:color="auto"/>
          <w:color w:val="auto"/>
        </w:rPr>
        <w:t>Option Term</w:t>
      </w:r>
      <w:r>
        <w:rPr>
          <w:rFonts w:ascii="Arial" w:cs="Arial" w:eastAsia="Arial" w:hAnsi="Arial"/>
          <w:sz w:val="19"/>
          <w:szCs w:val="19"/>
          <w:color w:val="auto"/>
        </w:rPr>
        <w:t>. Tenant shall continue to have the Option Right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2.2</w:t>
      </w:r>
      <w:r>
        <w:rPr>
          <w:rFonts w:ascii="Arial" w:cs="Arial" w:eastAsia="Arial" w:hAnsi="Arial"/>
          <w:sz w:val="19"/>
          <w:szCs w:val="19"/>
          <w:b w:val="1"/>
          <w:bCs w:val="1"/>
          <w:color w:val="auto"/>
        </w:rPr>
        <w:t xml:space="preserve"> </w:t>
      </w:r>
      <w:r>
        <w:rPr>
          <w:rFonts w:ascii="Arial" w:cs="Arial" w:eastAsia="Arial" w:hAnsi="Arial"/>
          <w:sz w:val="19"/>
          <w:szCs w:val="19"/>
          <w:color w:val="auto"/>
        </w:rPr>
        <w:t>the Original Lease, except that</w:t>
      </w:r>
    </w:p>
    <w:p>
      <w:pPr>
        <w:spacing w:after="0" w:line="35" w:lineRule="exact"/>
        <w:rPr>
          <w:rFonts w:ascii="Arial" w:cs="Arial" w:eastAsia="Arial" w:hAnsi="Arial"/>
          <w:sz w:val="19"/>
          <w:szCs w:val="19"/>
          <w:color w:val="auto"/>
        </w:rPr>
      </w:pPr>
    </w:p>
    <w:p>
      <w:pPr>
        <w:jc w:val="both"/>
        <w:ind w:firstLine="8"/>
        <w:spacing w:after="0" w:line="226" w:lineRule="auto"/>
        <w:tabs>
          <w:tab w:leader="none" w:pos="268"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the Option Term shall be for a period of eight (8) years, and (ii) the Option Term shall be for all, and not less than all, of the entire Premises (i.e., the Existing Premises and the Expansion Premises). All references in such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to the initial Lease Term shall mean the Lease Term as extended by this First Amendment.</w:t>
      </w:r>
    </w:p>
    <w:p>
      <w:pPr>
        <w:spacing w:after="0" w:line="192" w:lineRule="exact"/>
        <w:rPr>
          <w:rFonts w:ascii="Arial" w:cs="Arial" w:eastAsia="Arial" w:hAnsi="Arial"/>
          <w:sz w:val="22"/>
          <w:szCs w:val="22"/>
          <w:color w:val="auto"/>
        </w:rPr>
      </w:pPr>
    </w:p>
    <w:p>
      <w:pPr>
        <w:jc w:val="both"/>
        <w:ind w:firstLine="656"/>
        <w:spacing w:after="0" w:line="227" w:lineRule="auto"/>
        <w:tabs>
          <w:tab w:leader="none" w:pos="1107" w:val="left"/>
        </w:tabs>
        <w:numPr>
          <w:ilvl w:val="1"/>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of First Offer</w:t>
      </w:r>
      <w:r>
        <w:rPr>
          <w:rFonts w:ascii="Arial" w:cs="Arial" w:eastAsia="Arial" w:hAnsi="Arial"/>
          <w:sz w:val="22"/>
          <w:szCs w:val="22"/>
          <w:color w:val="auto"/>
        </w:rPr>
        <w:t>. Tenant shall continue to have the Right of First Offer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1.4</w:t>
      </w:r>
      <w:r>
        <w:rPr>
          <w:rFonts w:ascii="Arial" w:cs="Arial" w:eastAsia="Arial" w:hAnsi="Arial"/>
          <w:sz w:val="22"/>
          <w:szCs w:val="22"/>
          <w:b w:val="1"/>
          <w:bCs w:val="1"/>
          <w:color w:val="auto"/>
        </w:rPr>
        <w:t xml:space="preserve"> </w:t>
      </w:r>
      <w:r>
        <w:rPr>
          <w:rFonts w:ascii="Arial" w:cs="Arial" w:eastAsia="Arial" w:hAnsi="Arial"/>
          <w:sz w:val="22"/>
          <w:szCs w:val="22"/>
          <w:color w:val="auto"/>
        </w:rPr>
        <w:t>of the Lease,</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that, commencing as of the Expansion Premises Commencement Date, the “First Offer Space” shall be amended to be all of the rentable space in the existing building located at 230 East Grand Avenue (provided that, if such existing building is demolished and a new building constructed in its place, the Right of First Offer will be terminated and of no further force or effect).</w:t>
      </w:r>
    </w:p>
    <w:p>
      <w:pPr>
        <w:spacing w:after="0" w:line="194" w:lineRule="exact"/>
        <w:rPr>
          <w:rFonts w:ascii="Arial" w:cs="Arial" w:eastAsia="Arial" w:hAnsi="Arial"/>
          <w:sz w:val="22"/>
          <w:szCs w:val="22"/>
          <w:color w:val="auto"/>
        </w:rPr>
      </w:pPr>
    </w:p>
    <w:p>
      <w:pPr>
        <w:jc w:val="both"/>
        <w:ind w:firstLine="656"/>
        <w:spacing w:after="0" w:line="233" w:lineRule="auto"/>
        <w:tabs>
          <w:tab w:leader="none" w:pos="1093" w:val="left"/>
        </w:tabs>
        <w:numPr>
          <w:ilvl w:val="1"/>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Signage</w:t>
      </w:r>
      <w:r>
        <w:rPr>
          <w:rFonts w:ascii="Arial" w:cs="Arial" w:eastAsia="Arial" w:hAnsi="Arial"/>
          <w:sz w:val="22"/>
          <w:szCs w:val="22"/>
          <w:color w:val="auto"/>
        </w:rPr>
        <w:t>. The “Tenant Signage” as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23.1</w:t>
      </w:r>
      <w:r>
        <w:rPr>
          <w:rFonts w:ascii="Arial" w:cs="Arial" w:eastAsia="Arial" w:hAnsi="Arial"/>
          <w:sz w:val="22"/>
          <w:szCs w:val="22"/>
          <w:b w:val="1"/>
          <w:bCs w:val="1"/>
          <w:color w:val="auto"/>
        </w:rPr>
        <w:t xml:space="preserve"> </w:t>
      </w:r>
      <w:r>
        <w:rPr>
          <w:rFonts w:ascii="Arial" w:cs="Arial" w:eastAsia="Arial" w:hAnsi="Arial"/>
          <w:sz w:val="22"/>
          <w:szCs w:val="22"/>
          <w:color w:val="auto"/>
        </w:rPr>
        <w:t>of the Lease is hereby amended to include the right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Tenant to install one (1) building top sign on the 220 Building, subject to all of the other terms and conditions of </w:t>
      </w:r>
      <w:r>
        <w:rPr>
          <w:rFonts w:ascii="Arial" w:cs="Arial" w:eastAsia="Arial" w:hAnsi="Arial"/>
          <w:sz w:val="22"/>
          <w:szCs w:val="22"/>
          <w:u w:val="single" w:color="auto"/>
          <w:color w:val="auto"/>
        </w:rPr>
        <w:t>Article 23</w:t>
      </w:r>
      <w:r>
        <w:rPr>
          <w:rFonts w:ascii="Arial" w:cs="Arial" w:eastAsia="Arial" w:hAnsi="Arial"/>
          <w:sz w:val="22"/>
          <w:szCs w:val="22"/>
          <w:color w:val="auto"/>
        </w:rPr>
        <w:t xml:space="preserve"> of the Lease.</w:t>
      </w:r>
    </w:p>
    <w:p>
      <w:pPr>
        <w:spacing w:after="0" w:line="194" w:lineRule="exact"/>
        <w:rPr>
          <w:rFonts w:ascii="Arial" w:cs="Arial" w:eastAsia="Arial" w:hAnsi="Arial"/>
          <w:sz w:val="22"/>
          <w:szCs w:val="22"/>
          <w:color w:val="auto"/>
        </w:rPr>
      </w:pPr>
    </w:p>
    <w:p>
      <w:pPr>
        <w:jc w:val="both"/>
        <w:ind w:firstLine="656"/>
        <w:spacing w:after="0" w:line="227" w:lineRule="auto"/>
        <w:tabs>
          <w:tab w:leader="none" w:pos="1053" w:val="left"/>
        </w:tabs>
        <w:numPr>
          <w:ilvl w:val="1"/>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Letter of Credit</w:t>
      </w:r>
      <w:r>
        <w:rPr>
          <w:rFonts w:ascii="Arial" w:cs="Arial" w:eastAsia="Arial" w:hAnsi="Arial"/>
          <w:sz w:val="22"/>
          <w:szCs w:val="22"/>
          <w:color w:val="auto"/>
        </w:rPr>
        <w:t>. Tenant shall continue to be required to provide the L-C as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21</w:t>
      </w:r>
      <w:r>
        <w:rPr>
          <w:rFonts w:ascii="Arial" w:cs="Arial" w:eastAsia="Arial" w:hAnsi="Arial"/>
          <w:sz w:val="22"/>
          <w:szCs w:val="22"/>
          <w:b w:val="1"/>
          <w:bCs w:val="1"/>
          <w:color w:val="auto"/>
        </w:rPr>
        <w:t xml:space="preserve"> </w:t>
      </w:r>
      <w:r>
        <w:rPr>
          <w:rFonts w:ascii="Arial" w:cs="Arial" w:eastAsia="Arial" w:hAnsi="Arial"/>
          <w:sz w:val="22"/>
          <w:szCs w:val="22"/>
          <w:color w:val="auto"/>
        </w:rPr>
        <w:t>of the Lease with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respect to the Existing Premises. Effective as of the date hereof, the “L-C Amount” is hereby increased by $842,755.36, to equal $1,779,784.36. Tenant shall, concurrently with Tenant’s execution of this First Amendment, provide an amendment to the existing L-C, reasonably acceptable to Landlord and in compliance with the applicable terms of </w:t>
      </w:r>
      <w:r>
        <w:rPr>
          <w:rFonts w:ascii="Arial" w:cs="Arial" w:eastAsia="Arial" w:hAnsi="Arial"/>
          <w:sz w:val="22"/>
          <w:szCs w:val="22"/>
          <w:u w:val="single" w:color="auto"/>
          <w:color w:val="auto"/>
        </w:rPr>
        <w:t>Article 21</w:t>
      </w:r>
      <w:r>
        <w:rPr>
          <w:rFonts w:ascii="Arial" w:cs="Arial" w:eastAsia="Arial" w:hAnsi="Arial"/>
          <w:sz w:val="22"/>
          <w:szCs w:val="22"/>
          <w:color w:val="auto"/>
        </w:rPr>
        <w:t xml:space="preserve"> of the Lease, increasing the amount thereof to $1,779,784.36</w:t>
      </w:r>
    </w:p>
    <w:p>
      <w:pPr>
        <w:spacing w:after="0" w:line="194" w:lineRule="exact"/>
        <w:rPr>
          <w:rFonts w:ascii="Arial" w:cs="Arial" w:eastAsia="Arial" w:hAnsi="Arial"/>
          <w:sz w:val="22"/>
          <w:szCs w:val="22"/>
          <w:color w:val="auto"/>
        </w:rPr>
      </w:pPr>
    </w:p>
    <w:p>
      <w:pPr>
        <w:jc w:val="both"/>
        <w:ind w:firstLine="656"/>
        <w:spacing w:after="0" w:line="233" w:lineRule="auto"/>
        <w:tabs>
          <w:tab w:leader="none" w:pos="1026" w:val="left"/>
        </w:tabs>
        <w:numPr>
          <w:ilvl w:val="1"/>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Parking</w:t>
      </w:r>
      <w:r>
        <w:rPr>
          <w:rFonts w:ascii="Arial" w:cs="Arial" w:eastAsia="Arial" w:hAnsi="Arial"/>
          <w:sz w:val="22"/>
          <w:szCs w:val="22"/>
          <w:color w:val="auto"/>
        </w:rPr>
        <w:t>. Tenant’s parking allocation set forth in Section 9 of the Summary section of the Lease is increased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Expansion Premises Commencement Date by an amount equal to 2.5 parking spaces per 1,000 rentable square feet of the Expansion Premises (i.e., 119 parking spaces).</w:t>
      </w:r>
    </w:p>
    <w:p>
      <w:pPr>
        <w:spacing w:after="0" w:line="194" w:lineRule="exact"/>
        <w:rPr>
          <w:rFonts w:ascii="Arial" w:cs="Arial" w:eastAsia="Arial" w:hAnsi="Arial"/>
          <w:sz w:val="22"/>
          <w:szCs w:val="22"/>
          <w:color w:val="auto"/>
        </w:rPr>
      </w:pPr>
    </w:p>
    <w:p>
      <w:pPr>
        <w:jc w:val="both"/>
        <w:ind w:firstLine="656"/>
        <w:spacing w:after="0" w:line="233" w:lineRule="auto"/>
        <w:tabs>
          <w:tab w:leader="none" w:pos="1147" w:val="left"/>
        </w:tabs>
        <w:numPr>
          <w:ilvl w:val="1"/>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Emergency Generator</w:t>
      </w:r>
      <w:r>
        <w:rPr>
          <w:rFonts w:ascii="Arial" w:cs="Arial" w:eastAsia="Arial" w:hAnsi="Arial"/>
          <w:sz w:val="22"/>
          <w:szCs w:val="22"/>
          <w:color w:val="auto"/>
        </w:rPr>
        <w:t>. Following the Expansion Premises Commencement Date, Tenant shall have the sole use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Emergency Generator serving the 210 Building and the 220 Building, in accordance with the terms of Section 6.5 of the Lease.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2" w:lineRule="exact"/>
        <w:rPr>
          <w:sz w:val="20"/>
          <w:szCs w:val="20"/>
          <w:color w:val="auto"/>
        </w:rPr>
      </w:pPr>
    </w:p>
    <w:p>
      <w:pPr>
        <w:jc w:val="both"/>
        <w:ind w:firstLine="656"/>
        <w:spacing w:after="0" w:line="257" w:lineRule="auto"/>
        <w:tabs>
          <w:tab w:leader="none" w:pos="1139"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CASp</w:t>
      </w:r>
      <w:r>
        <w:rPr>
          <w:rFonts w:ascii="Arial" w:cs="Arial" w:eastAsia="Arial" w:hAnsi="Arial"/>
          <w:sz w:val="19"/>
          <w:szCs w:val="19"/>
          <w:color w:val="auto"/>
        </w:rPr>
        <w:t>. For purposes of Section 1938 of the California Civil Code, Landlord hereby discloses to Tenant, and Tenant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hereby acknowledges, that the Expansion Premises have not undergone inspection by a Certified Access Specialists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and without limiting Landlord’s obligations under </w:t>
      </w:r>
      <w:r>
        <w:rPr>
          <w:rFonts w:ascii="Arial" w:cs="Arial" w:eastAsia="Arial" w:hAnsi="Arial"/>
          <w:sz w:val="19"/>
          <w:szCs w:val="19"/>
          <w:u w:val="single" w:color="auto"/>
          <w:color w:val="auto"/>
        </w:rPr>
        <w:t>Section 4.3</w:t>
      </w:r>
      <w:r>
        <w:rPr>
          <w:rFonts w:ascii="Arial" w:cs="Arial" w:eastAsia="Arial" w:hAnsi="Arial"/>
          <w:sz w:val="19"/>
          <w:szCs w:val="19"/>
          <w:color w:val="auto"/>
        </w:rPr>
        <w:t>, above, Landlord and Tenant hereby agree as follows: (a) any CASp inspection requested by Tenant shall be conducted, at Tenant's sole cost and expense, by a CASp approved in advance by Landlord, subject to Landlord's reasonable rules and requirements; and (b) Tenant, at its sole cost and expense, shall be responsible for making any improvements or repairs within the Expansion Premises to correct violations of construction-related accessibility standards.</w:t>
      </w:r>
    </w:p>
    <w:p>
      <w:pPr>
        <w:spacing w:after="0" w:line="180" w:lineRule="exact"/>
        <w:rPr>
          <w:rFonts w:ascii="Arial" w:cs="Arial" w:eastAsia="Arial" w:hAnsi="Arial"/>
          <w:sz w:val="19"/>
          <w:szCs w:val="19"/>
          <w:color w:val="auto"/>
        </w:rPr>
      </w:pPr>
    </w:p>
    <w:p>
      <w:pPr>
        <w:jc w:val="both"/>
        <w:ind w:firstLine="656"/>
        <w:spacing w:after="0" w:line="233" w:lineRule="auto"/>
        <w:tabs>
          <w:tab w:leader="none" w:pos="1201" w:val="left"/>
        </w:tabs>
        <w:numPr>
          <w:ilvl w:val="0"/>
          <w:numId w:val="70"/>
        </w:numPr>
        <w:rPr>
          <w:rFonts w:ascii="Arial" w:cs="Arial" w:eastAsia="Arial" w:hAnsi="Arial"/>
          <w:sz w:val="21"/>
          <w:szCs w:val="21"/>
          <w:color w:val="auto"/>
        </w:rPr>
      </w:pPr>
      <w:r>
        <w:rPr>
          <w:rFonts w:ascii="Arial" w:cs="Arial" w:eastAsia="Arial" w:hAnsi="Arial"/>
          <w:sz w:val="21"/>
          <w:szCs w:val="21"/>
          <w:b w:val="1"/>
          <w:bCs w:val="1"/>
          <w:u w:val="single" w:color="auto"/>
          <w:color w:val="auto"/>
        </w:rPr>
        <w:t>Brokers</w:t>
      </w:r>
      <w:r>
        <w:rPr>
          <w:rFonts w:ascii="Arial" w:cs="Arial" w:eastAsia="Arial" w:hAnsi="Arial"/>
          <w:sz w:val="21"/>
          <w:szCs w:val="21"/>
          <w:color w:val="auto"/>
        </w:rPr>
        <w:t>. Landlord and Tenant each hereby represents and warrants to the other party that it has had no dealings</w:t>
      </w:r>
      <w:r>
        <w:rPr>
          <w:rFonts w:ascii="Arial" w:cs="Arial" w:eastAsia="Arial" w:hAnsi="Arial"/>
          <w:sz w:val="21"/>
          <w:szCs w:val="21"/>
          <w:b w:val="1"/>
          <w:bCs w:val="1"/>
          <w:color w:val="auto"/>
        </w:rPr>
        <w:t xml:space="preserve"> </w:t>
      </w:r>
      <w:r>
        <w:rPr>
          <w:rFonts w:ascii="Arial" w:cs="Arial" w:eastAsia="Arial" w:hAnsi="Arial"/>
          <w:sz w:val="21"/>
          <w:szCs w:val="21"/>
          <w:color w:val="auto"/>
        </w:rPr>
        <w:t>with any real estate broker or agent in connection with the negotiation of this First Amendment, excepting only CBRE, Inc. (collectively, the "</w:t>
      </w:r>
      <w:r>
        <w:rPr>
          <w:rFonts w:ascii="Arial" w:cs="Arial" w:eastAsia="Arial" w:hAnsi="Arial"/>
          <w:sz w:val="21"/>
          <w:szCs w:val="21"/>
          <w:b w:val="1"/>
          <w:bCs w:val="1"/>
          <w:color w:val="auto"/>
        </w:rPr>
        <w:t>Brokers</w:t>
      </w:r>
      <w:r>
        <w:rPr>
          <w:rFonts w:ascii="Arial" w:cs="Arial" w:eastAsia="Arial" w:hAnsi="Arial"/>
          <w:sz w:val="21"/>
          <w:szCs w:val="21"/>
          <w:color w:val="auto"/>
        </w:rPr>
        <w:t>"), and that it knows of no other real estate broker or agent who is entitled to a commission in connection with this First Amendment.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in connection with this First Amendment (other than the Broker). Landlord shall pay any commission owed to the Brokers in connection with this First Amendment pursuant to a separate written agreement.</w:t>
      </w:r>
    </w:p>
    <w:p>
      <w:pPr>
        <w:spacing w:after="0" w:line="198" w:lineRule="exact"/>
        <w:rPr>
          <w:rFonts w:ascii="Arial" w:cs="Arial" w:eastAsia="Arial" w:hAnsi="Arial"/>
          <w:sz w:val="21"/>
          <w:szCs w:val="21"/>
          <w:color w:val="auto"/>
        </w:rPr>
      </w:pPr>
    </w:p>
    <w:p>
      <w:pPr>
        <w:ind w:left="1140" w:hanging="484"/>
        <w:spacing w:after="0"/>
        <w:tabs>
          <w:tab w:leader="none" w:pos="1140" w:val="left"/>
        </w:tabs>
        <w:numPr>
          <w:ilvl w:val="0"/>
          <w:numId w:val="70"/>
        </w:numPr>
        <w:rPr>
          <w:rFonts w:ascii="Arial" w:cs="Arial" w:eastAsia="Arial" w:hAnsi="Arial"/>
          <w:sz w:val="21"/>
          <w:szCs w:val="21"/>
          <w:color w:val="auto"/>
        </w:rPr>
      </w:pPr>
      <w:r>
        <w:rPr>
          <w:rFonts w:ascii="Arial" w:cs="Arial" w:eastAsia="Arial" w:hAnsi="Arial"/>
          <w:sz w:val="21"/>
          <w:szCs w:val="21"/>
          <w:b w:val="1"/>
          <w:bCs w:val="1"/>
          <w:u w:val="single" w:color="auto"/>
          <w:color w:val="auto"/>
        </w:rPr>
        <w:t>Judicial Reference</w:t>
      </w:r>
      <w:r>
        <w:rPr>
          <w:rFonts w:ascii="Arial" w:cs="Arial" w:eastAsia="Arial" w:hAnsi="Arial"/>
          <w:sz w:val="21"/>
          <w:szCs w:val="21"/>
          <w:color w:val="auto"/>
        </w:rPr>
        <w:t>. Section 29.22 of the Lease is hereby amended and restated in its entirety as follows:</w:t>
      </w:r>
    </w:p>
    <w:p>
      <w:pPr>
        <w:spacing w:after="0" w:line="237" w:lineRule="exact"/>
        <w:rPr>
          <w:sz w:val="20"/>
          <w:szCs w:val="20"/>
          <w:color w:val="auto"/>
        </w:rPr>
      </w:pPr>
    </w:p>
    <w:p>
      <w:pPr>
        <w:ind w:left="660" w:right="20"/>
        <w:spacing w:after="0" w:line="258" w:lineRule="auto"/>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The parties hereby waive, to the fullest extent permitted by law, the right to trial by jury in any litigation arising out of or relating to</w:t>
      </w:r>
      <w:r>
        <w:rPr>
          <w:rFonts w:ascii="Arial" w:cs="Arial" w:eastAsia="Arial" w:hAnsi="Arial"/>
          <w:sz w:val="22"/>
          <w:szCs w:val="22"/>
          <w:color w:val="auto"/>
        </w:rPr>
        <w:t xml:space="preserve"> </w:t>
      </w:r>
      <w:r>
        <w:rPr>
          <w:rFonts w:ascii="Arial" w:cs="Arial" w:eastAsia="Arial" w:hAnsi="Arial"/>
          <w:sz w:val="19"/>
          <w:szCs w:val="19"/>
          <w:color w:val="auto"/>
        </w:rPr>
        <w:t xml:space="preserve">this Lease. If the jury waiver provisions of this Section 29.22 are not enforceable under California law, then the following provisions shall apply. It is the desire and intention of the parties to agree upon a mechanism and procedure under which controversies and disputes arising out of this Lease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 matters whatsoever arising out of or in any way connected with </w:t>
      </w:r>
      <w:r>
        <w:rPr>
          <w:rFonts w:ascii="Arial" w:cs="Arial" w:eastAsia="Arial" w:hAnsi="Arial"/>
          <w:sz w:val="21"/>
          <w:szCs w:val="21"/>
          <w:color w:val="auto"/>
        </w:rPr>
        <w:t>this Lease, Tenant's use or occupancy of the Premises and/or any claim of injury or damage,</w:t>
      </w:r>
      <w:r>
        <w:rPr>
          <w:rFonts w:ascii="Arial" w:cs="Arial" w:eastAsia="Arial" w:hAnsi="Arial"/>
          <w:sz w:val="19"/>
          <w:szCs w:val="19"/>
          <w:color w:val="auto"/>
        </w:rPr>
        <w:t xml:space="preserve"> whether sounding in contract, tort, or otherwise, shall be heard and resolved by a referee under the provisions of the California Code of Civil Procedure, Sections 638 — 645.1, inclusive (as same may be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2"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amended, or any successor statute(s) thereto) (the "</w:t>
      </w:r>
      <w:r>
        <w:rPr>
          <w:rFonts w:ascii="Arial" w:cs="Arial" w:eastAsia="Arial" w:hAnsi="Arial"/>
          <w:sz w:val="19"/>
          <w:szCs w:val="19"/>
          <w:b w:val="1"/>
          <w:bCs w:val="1"/>
          <w:color w:val="auto"/>
        </w:rPr>
        <w:t>Referee Sections</w:t>
      </w:r>
      <w:r>
        <w:rPr>
          <w:rFonts w:ascii="Arial" w:cs="Arial" w:eastAsia="Arial" w:hAnsi="Arial"/>
          <w:sz w:val="18"/>
          <w:szCs w:val="18"/>
          <w:color w:val="auto"/>
        </w:rPr>
        <w:t xml:space="preserve">").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however, that allocation of the costs and fees, including any initiation fee, of such proceeding shall be ultimately determined in accordance with Section 29.21 above. The venue of the proceedings shall be in the county in which the Premises are located. Within ten (10) days of receipt by any party of a written request to resolve any dispute or controversy pursuant to this Section 29.22, the parties shall agree upon a single referee who shall try all issues, whether of fact or law, and report a finding and judgment on such issues as required by the referee sections. If the parties are unable to agree upon a referee within such ten (10) 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JAMS, the American Arbitration Association or similar mediation/arbitration entity.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this lease. The referee shall not, however, have the power to award </w:t>
      </w:r>
      <w:r>
        <w:rPr>
          <w:rFonts w:ascii="Arial" w:cs="Arial" w:eastAsia="Arial" w:hAnsi="Arial"/>
          <w:sz w:val="19"/>
          <w:szCs w:val="19"/>
          <w:color w:val="auto"/>
        </w:rPr>
        <w:t>punitive damages, nor any other damages which are not permitted by the</w:t>
      </w:r>
      <w:r>
        <w:rPr>
          <w:rFonts w:ascii="Arial" w:cs="Arial" w:eastAsia="Arial" w:hAnsi="Arial"/>
          <w:sz w:val="18"/>
          <w:szCs w:val="18"/>
          <w:color w:val="auto"/>
        </w:rPr>
        <w:t xml:space="preserve"> </w:t>
      </w:r>
      <w:r>
        <w:rPr>
          <w:rFonts w:ascii="Arial" w:cs="Arial" w:eastAsia="Arial" w:hAnsi="Arial"/>
          <w:sz w:val="19"/>
          <w:szCs w:val="19"/>
          <w:color w:val="auto"/>
        </w:rPr>
        <w:t xml:space="preserve">express provisions </w:t>
      </w:r>
      <w:r>
        <w:rPr>
          <w:rFonts w:ascii="Arial" w:cs="Arial" w:eastAsia="Arial" w:hAnsi="Arial"/>
          <w:sz w:val="17"/>
          <w:szCs w:val="17"/>
          <w:color w:val="auto"/>
        </w:rPr>
        <w:t>of this Lease, and the parties hereby waive any right to recover any such damages. The parties shall be entitled</w:t>
      </w:r>
      <w:r>
        <w:rPr>
          <w:rFonts w:ascii="Arial" w:cs="Arial" w:eastAsia="Arial" w:hAnsi="Arial"/>
          <w:sz w:val="19"/>
          <w:szCs w:val="19"/>
          <w:color w:val="auto"/>
        </w:rPr>
        <w:t xml:space="preserve"> </w:t>
      </w:r>
      <w:r>
        <w:rPr>
          <w:rFonts w:ascii="Arial" w:cs="Arial" w:eastAsia="Arial" w:hAnsi="Arial"/>
          <w:sz w:val="17"/>
          <w:szCs w:val="17"/>
          <w:color w:val="auto"/>
        </w:rPr>
        <w:t>to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 the dispute or controversy in accordance with the terms of this Section 29.22. In this regard, the parties agree that the parties and the referee shall use best efforts to ensure that (a) discovery be conducted for a period no longer than six (6) months from the date the referee is appointed, excluding motions regarding discovery, and (b) a trial date be set within nine (9) months of the date the referee is appointed. 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Section 29.22 shall prejudice the right of any party to obtain provisional relief or other equitable</w:t>
      </w:r>
    </w:p>
    <w:p>
      <w:pPr>
        <w:spacing w:after="0" w:line="200" w:lineRule="exact"/>
        <w:rPr>
          <w:sz w:val="20"/>
          <w:szCs w:val="20"/>
          <w:color w:val="auto"/>
        </w:rPr>
      </w:pPr>
    </w:p>
    <w:p>
      <w:pPr>
        <w:spacing w:after="0" w:line="31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980" w:top="1440" w:right="359" w:bottom="1440" w:gutter="0" w:footer="0" w:header="0"/>
        </w:sectPr>
      </w:pPr>
    </w:p>
    <w:bookmarkStart w:id="139" w:name="page140"/>
    <w:bookmarkEnd w:id="139"/>
    <w:p>
      <w:pPr>
        <w:spacing w:after="0" w:line="47" w:lineRule="exact"/>
        <w:rPr>
          <w:sz w:val="20"/>
          <w:szCs w:val="20"/>
          <w:color w:val="auto"/>
        </w:rPr>
      </w:pPr>
    </w:p>
    <w:p>
      <w:pPr>
        <w:ind w:left="640" w:right="140"/>
        <w:spacing w:after="0" w:line="274" w:lineRule="auto"/>
        <w:rPr>
          <w:sz w:val="20"/>
          <w:szCs w:val="20"/>
          <w:color w:val="auto"/>
        </w:rPr>
      </w:pPr>
      <w:r>
        <w:rPr>
          <w:rFonts w:ascii="Arial" w:cs="Arial" w:eastAsia="Arial" w:hAnsi="Arial"/>
          <w:sz w:val="20"/>
          <w:szCs w:val="20"/>
          <w:color w:val="auto"/>
        </w:rPr>
        <w:t>remedies from a court of competent jurisdiction as shall otherwise be available under the Code of Civil Procedure and/or applicable court rules.”</w:t>
      </w:r>
    </w:p>
    <w:p>
      <w:pPr>
        <w:spacing w:after="0" w:line="180" w:lineRule="exact"/>
        <w:rPr>
          <w:sz w:val="20"/>
          <w:szCs w:val="20"/>
          <w:color w:val="auto"/>
        </w:rPr>
      </w:pPr>
    </w:p>
    <w:p>
      <w:pPr>
        <w:ind w:left="1120" w:hanging="484"/>
        <w:spacing w:after="0"/>
        <w:tabs>
          <w:tab w:leader="none" w:pos="1120"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 Address</w:t>
      </w:r>
      <w:r>
        <w:rPr>
          <w:rFonts w:ascii="Arial" w:cs="Arial" w:eastAsia="Arial" w:hAnsi="Arial"/>
          <w:sz w:val="19"/>
          <w:szCs w:val="19"/>
          <w:color w:val="auto"/>
        </w:rPr>
        <w:t>. In Section 10 of the Summary section of the Lease, the second notice address is hereby revised to:</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Novos Law LLP</w:t>
      </w:r>
    </w:p>
    <w:p>
      <w:pPr>
        <w:ind w:left="1280"/>
        <w:spacing w:after="0" w:line="217" w:lineRule="auto"/>
        <w:rPr>
          <w:sz w:val="20"/>
          <w:szCs w:val="20"/>
          <w:color w:val="auto"/>
        </w:rPr>
      </w:pPr>
      <w:r>
        <w:rPr>
          <w:rFonts w:ascii="Arial" w:cs="Arial" w:eastAsia="Arial" w:hAnsi="Arial"/>
          <w:sz w:val="22"/>
          <w:szCs w:val="22"/>
          <w:color w:val="auto"/>
        </w:rPr>
        <w:t>1801 Century Park East, 16</w:t>
      </w:r>
      <w:r>
        <w:rPr>
          <w:rFonts w:ascii="Arial" w:cs="Arial" w:eastAsia="Arial" w:hAnsi="Arial"/>
          <w:sz w:val="11"/>
          <w:szCs w:val="11"/>
          <w:color w:val="auto"/>
        </w:rPr>
        <w:t>th</w:t>
      </w:r>
      <w:r>
        <w:rPr>
          <w:rFonts w:ascii="Arial" w:cs="Arial" w:eastAsia="Arial" w:hAnsi="Arial"/>
          <w:sz w:val="22"/>
          <w:szCs w:val="22"/>
          <w:color w:val="auto"/>
        </w:rPr>
        <w:t xml:space="preserve"> Floor</w:t>
      </w:r>
    </w:p>
    <w:p>
      <w:pPr>
        <w:ind w:left="1280"/>
        <w:spacing w:after="0" w:line="218" w:lineRule="auto"/>
        <w:rPr>
          <w:sz w:val="20"/>
          <w:szCs w:val="20"/>
          <w:color w:val="auto"/>
        </w:rPr>
      </w:pPr>
      <w:r>
        <w:rPr>
          <w:rFonts w:ascii="Arial" w:cs="Arial" w:eastAsia="Arial" w:hAnsi="Arial"/>
          <w:sz w:val="22"/>
          <w:szCs w:val="22"/>
          <w:color w:val="auto"/>
        </w:rPr>
        <w:t>Los Angeles, CA 90067</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Attention: Jordan Fishman</w:t>
      </w:r>
    </w:p>
    <w:p>
      <w:pPr>
        <w:spacing w:after="0" w:line="196" w:lineRule="exact"/>
        <w:rPr>
          <w:sz w:val="20"/>
          <w:szCs w:val="20"/>
          <w:color w:val="auto"/>
        </w:rPr>
      </w:pPr>
    </w:p>
    <w:p>
      <w:pPr>
        <w:jc w:val="both"/>
        <w:ind w:left="-20" w:firstLine="656"/>
        <w:spacing w:after="0" w:line="286" w:lineRule="auto"/>
        <w:tabs>
          <w:tab w:leader="none" w:pos="1127" w:val="left"/>
        </w:tabs>
        <w:numPr>
          <w:ilvl w:val="0"/>
          <w:numId w:val="72"/>
        </w:numPr>
        <w:rPr>
          <w:rFonts w:ascii="Arial" w:cs="Arial" w:eastAsia="Arial" w:hAnsi="Arial"/>
          <w:sz w:val="19"/>
          <w:szCs w:val="19"/>
          <w:color w:val="auto"/>
        </w:rPr>
      </w:pPr>
      <w:r>
        <w:rPr>
          <w:rFonts w:ascii="Arial" w:cs="Arial" w:eastAsia="Arial" w:hAnsi="Arial"/>
          <w:sz w:val="19"/>
          <w:szCs w:val="19"/>
          <w:b w:val="1"/>
          <w:bCs w:val="1"/>
          <w:u w:val="single" w:color="auto"/>
          <w:color w:val="auto"/>
        </w:rPr>
        <w:t>No Further Modification</w:t>
      </w:r>
      <w:r>
        <w:rPr>
          <w:rFonts w:ascii="Arial" w:cs="Arial" w:eastAsia="Arial" w:hAnsi="Arial"/>
          <w:sz w:val="19"/>
          <w:szCs w:val="19"/>
          <w:color w:val="auto"/>
        </w:rPr>
        <w:t>. Except as set forth in this First Amendment, all of the terms and provisions of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remain unmodified and in full force and effect. In the event of any conflict between the terms and conditions of the Lease, and the terms and conditions of this First Amendment, the terms and conditions of this First Amendment shall prevail.</w:t>
      </w:r>
    </w:p>
    <w:p>
      <w:pPr>
        <w:spacing w:after="0" w:line="150" w:lineRule="exact"/>
        <w:rPr>
          <w:rFonts w:ascii="Arial" w:cs="Arial" w:eastAsia="Arial" w:hAnsi="Arial"/>
          <w:sz w:val="19"/>
          <w:szCs w:val="19"/>
          <w:color w:val="auto"/>
        </w:rPr>
      </w:pPr>
    </w:p>
    <w:p>
      <w:pPr>
        <w:ind w:left="-20" w:firstLine="656"/>
        <w:spacing w:after="0" w:line="243" w:lineRule="auto"/>
        <w:tabs>
          <w:tab w:leader="none" w:pos="1195"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First Amendment may be executed in multiple counterparts, each of which is to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for all purposes, but all of which together shall constitute one and the same instrument.</w:t>
      </w:r>
    </w:p>
    <w:p>
      <w:pPr>
        <w:spacing w:after="0" w:line="189" w:lineRule="exact"/>
        <w:rPr>
          <w:rFonts w:ascii="Arial" w:cs="Arial" w:eastAsia="Arial" w:hAnsi="Arial"/>
          <w:sz w:val="22"/>
          <w:szCs w:val="22"/>
          <w:color w:val="auto"/>
        </w:rPr>
      </w:pPr>
    </w:p>
    <w:p>
      <w:pPr>
        <w:jc w:val="both"/>
        <w:ind w:left="-20" w:firstLine="656"/>
        <w:spacing w:after="0" w:line="224" w:lineRule="auto"/>
        <w:tabs>
          <w:tab w:leader="none" w:pos="1168"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Electronic Signatures</w:t>
      </w:r>
      <w:r>
        <w:rPr>
          <w:rFonts w:ascii="Arial" w:cs="Arial" w:eastAsia="Arial" w:hAnsi="Arial"/>
          <w:sz w:val="22"/>
          <w:szCs w:val="22"/>
          <w:color w:val="auto"/>
        </w:rPr>
        <w:t>. Each of the parties to this First Amendment (i) has agreed to permit the use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where appropriate, of telecopy or other electronic signatures (including, without limitation, DocuSign) in order to expedite the transaction contemplated by this First Amendment, (ii) intends to be bound by its respective telecopy or other electronic signature, (iii) is aware that the other will rely on the telecopied or other electronically transmitted signature, and (iv) acknowledges such reliance and waives any defenses to the enforcement of this First Amendment and the documents affecting the transaction contemplated by this First Amendment based on the fact that a signature was sent by telecopy or electronic transmission only.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B4B4B"/>
        </w:rPr>
        <w:t>[SIGNATURES APPEAR ON FOLLOWING PAGE]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40" w:top="1440" w:right="339" w:bottom="1440" w:gutter="0" w:footer="0" w:header="0"/>
        </w:sectPr>
      </w:pPr>
    </w:p>
    <w:bookmarkStart w:id="140" w:name="page141"/>
    <w:bookmarkEnd w:id="140"/>
    <w:p>
      <w:pPr>
        <w:spacing w:after="0" w:line="200" w:lineRule="exact"/>
        <w:rPr>
          <w:sz w:val="20"/>
          <w:szCs w:val="20"/>
          <w:color w:val="auto"/>
        </w:rPr>
      </w:pPr>
    </w:p>
    <w:p>
      <w:pPr>
        <w:spacing w:after="0" w:line="395"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IN WITNESS WHEREOF, the parties have caused this First Amendment to be duly executed by their duly authorized representatives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80" w:type="dxa"/>
            <w:vAlign w:val="bottom"/>
            <w:gridSpan w:val="7"/>
          </w:tcPr>
          <w:p>
            <w:pPr>
              <w:spacing w:after="0"/>
              <w:rPr>
                <w:sz w:val="20"/>
                <w:szCs w:val="20"/>
                <w:color w:val="auto"/>
              </w:rPr>
            </w:pPr>
            <w:r>
              <w:rPr>
                <w:rFonts w:ascii="Arial" w:cs="Arial" w:eastAsia="Arial" w:hAnsi="Arial"/>
                <w:sz w:val="20"/>
                <w:szCs w:val="20"/>
                <w:color w:val="auto"/>
              </w:rPr>
              <w:t>LANDLORD:</w:t>
            </w:r>
          </w:p>
        </w:tc>
        <w:tc>
          <w:tcPr>
            <w:tcW w:w="4260" w:type="dxa"/>
            <w:vAlign w:val="bottom"/>
            <w:gridSpan w:val="4"/>
          </w:tcPr>
          <w:p>
            <w:pPr>
              <w:ind w:left="20"/>
              <w:spacing w:after="0"/>
              <w:rPr>
                <w:sz w:val="20"/>
                <w:szCs w:val="20"/>
                <w:color w:val="auto"/>
              </w:rPr>
            </w:pPr>
            <w:r>
              <w:rPr>
                <w:rFonts w:ascii="Arial" w:cs="Arial" w:eastAsia="Arial" w:hAnsi="Arial"/>
                <w:sz w:val="20"/>
                <w:szCs w:val="20"/>
                <w:color w:val="auto"/>
              </w:rPr>
              <w:t>TENANT:</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00"/>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480" w:type="dxa"/>
            <w:vAlign w:val="bottom"/>
            <w:gridSpan w:val="7"/>
          </w:tcPr>
          <w:p>
            <w:pPr>
              <w:spacing w:after="0"/>
              <w:rPr>
                <w:sz w:val="20"/>
                <w:szCs w:val="20"/>
                <w:color w:val="auto"/>
              </w:rPr>
            </w:pPr>
            <w:r>
              <w:rPr>
                <w:rFonts w:ascii="Arial" w:cs="Arial" w:eastAsia="Arial" w:hAnsi="Arial"/>
                <w:sz w:val="20"/>
                <w:szCs w:val="20"/>
                <w:b w:val="1"/>
                <w:bCs w:val="1"/>
                <w:color w:val="auto"/>
              </w:rPr>
              <w:t>BRITANNIA POINTE GRAND LIMITED</w:t>
            </w:r>
          </w:p>
        </w:tc>
        <w:tc>
          <w:tcPr>
            <w:tcW w:w="4260" w:type="dxa"/>
            <w:vAlign w:val="bottom"/>
            <w:gridSpan w:val="4"/>
          </w:tcPr>
          <w:p>
            <w:pPr>
              <w:ind w:left="20"/>
              <w:spacing w:after="0"/>
              <w:rPr>
                <w:sz w:val="20"/>
                <w:szCs w:val="20"/>
                <w:color w:val="auto"/>
              </w:rPr>
            </w:pPr>
            <w:r>
              <w:rPr>
                <w:rFonts w:ascii="Arial" w:cs="Arial" w:eastAsia="Arial" w:hAnsi="Arial"/>
                <w:sz w:val="20"/>
                <w:szCs w:val="20"/>
                <w:b w:val="1"/>
                <w:bCs w:val="1"/>
                <w:color w:val="auto"/>
              </w:rPr>
              <w:t>ALLOGENE THERAPEUTICS, INC.,</w:t>
            </w:r>
          </w:p>
        </w:tc>
        <w:tc>
          <w:tcPr>
            <w:tcW w:w="0" w:type="dxa"/>
            <w:vAlign w:val="bottom"/>
          </w:tcPr>
          <w:p>
            <w:pPr>
              <w:spacing w:after="0"/>
              <w:rPr>
                <w:sz w:val="1"/>
                <w:szCs w:val="1"/>
                <w:color w:val="auto"/>
              </w:rPr>
            </w:pPr>
          </w:p>
        </w:tc>
      </w:tr>
      <w:tr>
        <w:trPr>
          <w:trHeight w:val="256"/>
        </w:trPr>
        <w:tc>
          <w:tcPr>
            <w:tcW w:w="5480" w:type="dxa"/>
            <w:vAlign w:val="bottom"/>
            <w:gridSpan w:val="7"/>
          </w:tcPr>
          <w:p>
            <w:pPr>
              <w:spacing w:after="0"/>
              <w:rPr>
                <w:sz w:val="20"/>
                <w:szCs w:val="20"/>
                <w:color w:val="auto"/>
              </w:rPr>
            </w:pPr>
            <w:r>
              <w:rPr>
                <w:rFonts w:ascii="Arial" w:cs="Arial" w:eastAsia="Arial" w:hAnsi="Arial"/>
                <w:sz w:val="20"/>
                <w:szCs w:val="20"/>
                <w:b w:val="1"/>
                <w:bCs w:val="1"/>
                <w:color w:val="auto"/>
              </w:rPr>
              <w:t>PARTNERSHIP,</w:t>
            </w:r>
          </w:p>
        </w:tc>
        <w:tc>
          <w:tcPr>
            <w:tcW w:w="4260" w:type="dxa"/>
            <w:vAlign w:val="bottom"/>
            <w:gridSpan w:val="4"/>
          </w:tcPr>
          <w:p>
            <w:pPr>
              <w:ind w:left="20"/>
              <w:spacing w:after="0"/>
              <w:rPr>
                <w:sz w:val="20"/>
                <w:szCs w:val="20"/>
                <w:color w:val="auto"/>
              </w:rPr>
            </w:pPr>
            <w:r>
              <w:rPr>
                <w:rFonts w:ascii="Arial" w:cs="Arial" w:eastAsia="Arial" w:hAnsi="Arial"/>
                <w:sz w:val="20"/>
                <w:szCs w:val="20"/>
                <w:color w:val="auto"/>
              </w:rPr>
              <w:t>a Delaware corporation</w:t>
            </w:r>
          </w:p>
        </w:tc>
        <w:tc>
          <w:tcPr>
            <w:tcW w:w="0" w:type="dxa"/>
            <w:vAlign w:val="bottom"/>
          </w:tcPr>
          <w:p>
            <w:pPr>
              <w:spacing w:after="0"/>
              <w:rPr>
                <w:sz w:val="1"/>
                <w:szCs w:val="1"/>
                <w:color w:val="auto"/>
              </w:rPr>
            </w:pPr>
          </w:p>
        </w:tc>
      </w:tr>
      <w:tr>
        <w:trPr>
          <w:trHeight w:val="283"/>
        </w:trPr>
        <w:tc>
          <w:tcPr>
            <w:tcW w:w="5480" w:type="dxa"/>
            <w:vAlign w:val="bottom"/>
            <w:gridSpan w:val="7"/>
          </w:tcPr>
          <w:p>
            <w:pPr>
              <w:spacing w:after="0"/>
              <w:rPr>
                <w:sz w:val="20"/>
                <w:szCs w:val="20"/>
                <w:color w:val="auto"/>
              </w:rPr>
            </w:pPr>
            <w:r>
              <w:rPr>
                <w:rFonts w:ascii="Arial" w:cs="Arial" w:eastAsia="Arial" w:hAnsi="Arial"/>
                <w:sz w:val="20"/>
                <w:szCs w:val="20"/>
                <w:color w:val="auto"/>
              </w:rPr>
              <w:t>a Delaware limited partnership</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4920" w:type="dxa"/>
            <w:vAlign w:val="bottom"/>
            <w:gridSpan w:val="6"/>
          </w:tcPr>
          <w:p>
            <w:pPr>
              <w:ind w:left="280"/>
              <w:spacing w:after="0"/>
              <w:rPr>
                <w:sz w:val="20"/>
                <w:szCs w:val="20"/>
                <w:color w:val="auto"/>
              </w:rPr>
            </w:pPr>
            <w:r>
              <w:rPr>
                <w:rFonts w:ascii="Arial" w:cs="Arial" w:eastAsia="Arial" w:hAnsi="Arial"/>
                <w:sz w:val="20"/>
                <w:szCs w:val="20"/>
                <w:color w:val="auto"/>
              </w:rPr>
              <w:t>HCP-Pointe Grand, Incorporated</w:t>
            </w:r>
          </w:p>
        </w:tc>
        <w:tc>
          <w:tcPr>
            <w:tcW w:w="560" w:type="dxa"/>
            <w:vAlign w:val="bottom"/>
            <w:gridSpan w:val="2"/>
          </w:tcPr>
          <w:p>
            <w:pPr>
              <w:ind w:left="20"/>
              <w:spacing w:after="0"/>
              <w:rPr>
                <w:sz w:val="20"/>
                <w:szCs w:val="20"/>
                <w:color w:val="auto"/>
              </w:rPr>
            </w:pPr>
            <w:r>
              <w:rPr>
                <w:rFonts w:ascii="Arial" w:cs="Arial" w:eastAsia="Arial" w:hAnsi="Arial"/>
                <w:sz w:val="20"/>
                <w:szCs w:val="20"/>
                <w:color w:val="auto"/>
              </w:rPr>
              <w:t>By:</w:t>
            </w:r>
          </w:p>
        </w:tc>
        <w:tc>
          <w:tcPr>
            <w:tcW w:w="37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i w:val="1"/>
                <w:iCs w:val="1"/>
                <w:color w:val="auto"/>
              </w:rPr>
              <w:t>/s/ David Chang</w:t>
            </w:r>
          </w:p>
        </w:tc>
        <w:tc>
          <w:tcPr>
            <w:tcW w:w="0" w:type="dxa"/>
            <w:vAlign w:val="bottom"/>
          </w:tcPr>
          <w:p>
            <w:pPr>
              <w:spacing w:after="0"/>
              <w:rPr>
                <w:sz w:val="1"/>
                <w:szCs w:val="1"/>
                <w:color w:val="auto"/>
              </w:rPr>
            </w:pPr>
          </w:p>
        </w:tc>
      </w:tr>
      <w:tr>
        <w:trPr>
          <w:trHeight w:val="259"/>
        </w:trPr>
        <w:tc>
          <w:tcPr>
            <w:tcW w:w="560" w:type="dxa"/>
            <w:vAlign w:val="bottom"/>
          </w:tcPr>
          <w:p>
            <w:pPr>
              <w:spacing w:after="0"/>
              <w:rPr>
                <w:sz w:val="22"/>
                <w:szCs w:val="22"/>
                <w:color w:val="auto"/>
              </w:rPr>
            </w:pPr>
          </w:p>
        </w:tc>
        <w:tc>
          <w:tcPr>
            <w:tcW w:w="4920" w:type="dxa"/>
            <w:vAlign w:val="bottom"/>
            <w:gridSpan w:val="6"/>
          </w:tcPr>
          <w:p>
            <w:pPr>
              <w:ind w:left="280"/>
              <w:spacing w:after="0"/>
              <w:rPr>
                <w:sz w:val="20"/>
                <w:szCs w:val="20"/>
                <w:color w:val="auto"/>
              </w:rPr>
            </w:pPr>
            <w:r>
              <w:rPr>
                <w:rFonts w:ascii="Arial" w:cs="Arial" w:eastAsia="Arial" w:hAnsi="Arial"/>
                <w:sz w:val="20"/>
                <w:szCs w:val="20"/>
                <w:color w:val="auto"/>
              </w:rPr>
              <w:t>its general partner</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700" w:type="dxa"/>
            <w:vAlign w:val="bottom"/>
            <w:gridSpan w:val="2"/>
          </w:tcPr>
          <w:p>
            <w:pPr>
              <w:ind w:left="20"/>
              <w:spacing w:after="0"/>
              <w:rPr>
                <w:sz w:val="20"/>
                <w:szCs w:val="20"/>
                <w:color w:val="auto"/>
              </w:rPr>
            </w:pPr>
            <w:r>
              <w:rPr>
                <w:rFonts w:ascii="Arial" w:cs="Arial" w:eastAsia="Arial" w:hAnsi="Arial"/>
                <w:sz w:val="20"/>
                <w:szCs w:val="20"/>
                <w:color w:val="auto"/>
              </w:rPr>
              <w:t>David Chang</w:t>
            </w:r>
          </w:p>
        </w:tc>
        <w:tc>
          <w:tcPr>
            <w:tcW w:w="0" w:type="dxa"/>
            <w:vAlign w:val="bottom"/>
          </w:tcPr>
          <w:p>
            <w:pPr>
              <w:spacing w:after="0"/>
              <w:rPr>
                <w:sz w:val="1"/>
                <w:szCs w:val="1"/>
                <w:color w:val="auto"/>
              </w:rPr>
            </w:pPr>
          </w:p>
        </w:tc>
      </w:tr>
      <w:tr>
        <w:trPr>
          <w:trHeight w:val="23"/>
        </w:trPr>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380" w:type="dxa"/>
            <w:vAlign w:val="bottom"/>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0" w:type="dxa"/>
            <w:vAlign w:val="bottom"/>
          </w:tcPr>
          <w:p>
            <w:pPr>
              <w:spacing w:after="0"/>
              <w:rPr>
                <w:sz w:val="22"/>
                <w:szCs w:val="22"/>
                <w:color w:val="auto"/>
              </w:rPr>
            </w:pPr>
          </w:p>
        </w:tc>
        <w:tc>
          <w:tcPr>
            <w:tcW w:w="4920" w:type="dxa"/>
            <w:vAlign w:val="bottom"/>
            <w:gridSpan w:val="6"/>
          </w:tcPr>
          <w:p>
            <w:pPr>
              <w:ind w:left="2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Scott Bohn</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0" w:type="dxa"/>
            <w:vAlign w:val="bottom"/>
          </w:tcPr>
          <w:p>
            <w:pPr>
              <w:ind w:left="1100"/>
              <w:spacing w:after="0"/>
              <w:rPr>
                <w:sz w:val="20"/>
                <w:szCs w:val="20"/>
                <w:color w:val="auto"/>
              </w:rPr>
            </w:pPr>
            <w:r>
              <w:rPr>
                <w:rFonts w:ascii="Arial" w:cs="Arial" w:eastAsia="Arial" w:hAnsi="Arial"/>
                <w:sz w:val="20"/>
                <w:szCs w:val="20"/>
                <w:color w:val="auto"/>
              </w:rPr>
              <w:t>Print Name</w:t>
            </w:r>
          </w:p>
        </w:tc>
        <w:tc>
          <w:tcPr>
            <w:tcW w:w="0" w:type="dxa"/>
            <w:vAlign w:val="bottom"/>
          </w:tcPr>
          <w:p>
            <w:pPr>
              <w:spacing w:after="0"/>
              <w:rPr>
                <w:sz w:val="1"/>
                <w:szCs w:val="1"/>
                <w:color w:val="auto"/>
              </w:rPr>
            </w:pPr>
          </w:p>
        </w:tc>
      </w:tr>
      <w:tr>
        <w:trPr>
          <w:trHeight w:val="23"/>
        </w:trPr>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80" w:type="dxa"/>
            <w:vAlign w:val="bottom"/>
            <w:gridSpan w:val="4"/>
          </w:tcPr>
          <w:p>
            <w:pPr>
              <w:ind w:left="20"/>
              <w:spacing w:after="0"/>
              <w:rPr>
                <w:sz w:val="20"/>
                <w:szCs w:val="20"/>
                <w:color w:val="auto"/>
              </w:rPr>
            </w:pPr>
            <w:r>
              <w:rPr>
                <w:rFonts w:ascii="Arial" w:cs="Arial" w:eastAsia="Arial" w:hAnsi="Arial"/>
                <w:sz w:val="20"/>
                <w:szCs w:val="20"/>
                <w:color w:val="auto"/>
              </w:rPr>
              <w:t>Name:    Scott Bohn</w:t>
            </w:r>
          </w:p>
        </w:tc>
        <w:tc>
          <w:tcPr>
            <w:tcW w:w="560" w:type="dxa"/>
            <w:vAlign w:val="bottom"/>
            <w:gridSpan w:val="2"/>
          </w:tcPr>
          <w:p>
            <w:pPr>
              <w:ind w:left="20"/>
              <w:spacing w:after="0"/>
              <w:rPr>
                <w:sz w:val="20"/>
                <w:szCs w:val="20"/>
                <w:color w:val="auto"/>
              </w:rPr>
            </w:pPr>
            <w:r>
              <w:rPr>
                <w:rFonts w:ascii="Arial" w:cs="Arial" w:eastAsia="Arial" w:hAnsi="Arial"/>
                <w:sz w:val="20"/>
                <w:szCs w:val="20"/>
                <w:color w:val="auto"/>
              </w:rPr>
              <w:t>Its:</w:t>
            </w:r>
          </w:p>
        </w:tc>
        <w:tc>
          <w:tcPr>
            <w:tcW w:w="3700" w:type="dxa"/>
            <w:vAlign w:val="bottom"/>
            <w:gridSpan w:val="2"/>
          </w:tcPr>
          <w:p>
            <w:pPr>
              <w:ind w:left="20"/>
              <w:spacing w:after="0"/>
              <w:rPr>
                <w:sz w:val="20"/>
                <w:szCs w:val="20"/>
                <w:color w:val="auto"/>
              </w:rPr>
            </w:pPr>
            <w:r>
              <w:rPr>
                <w:rFonts w:ascii="Arial" w:cs="Arial" w:eastAsia="Arial" w:hAnsi="Arial"/>
                <w:sz w:val="20"/>
                <w:szCs w:val="20"/>
                <w:color w:val="auto"/>
              </w:rPr>
              <w:t>President and CEO</w:t>
            </w:r>
          </w:p>
        </w:tc>
        <w:tc>
          <w:tcPr>
            <w:tcW w:w="0" w:type="dxa"/>
            <w:vAlign w:val="bottom"/>
          </w:tcPr>
          <w:p>
            <w:pPr>
              <w:spacing w:after="0"/>
              <w:rPr>
                <w:sz w:val="1"/>
                <w:szCs w:val="1"/>
                <w:color w:val="auto"/>
              </w:rPr>
            </w:pPr>
          </w:p>
        </w:tc>
      </w:tr>
      <w:tr>
        <w:trPr>
          <w:trHeight w:val="23"/>
        </w:trPr>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9"/>
        </w:trPr>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80" w:type="dxa"/>
            <w:vAlign w:val="bottom"/>
            <w:gridSpan w:val="4"/>
          </w:tcPr>
          <w:p>
            <w:pPr>
              <w:ind w:left="20"/>
              <w:spacing w:after="0"/>
              <w:rPr>
                <w:sz w:val="20"/>
                <w:szCs w:val="20"/>
                <w:color w:val="auto"/>
              </w:rPr>
            </w:pPr>
            <w:r>
              <w:rPr>
                <w:rFonts w:ascii="Arial" w:cs="Arial" w:eastAsia="Arial" w:hAnsi="Arial"/>
                <w:sz w:val="20"/>
                <w:szCs w:val="20"/>
                <w:color w:val="auto"/>
              </w:rPr>
              <w:t>Its:   Senior Vice President</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20"/>
                <w:szCs w:val="20"/>
                <w:color w:val="auto"/>
              </w:rPr>
              <w:t>By:</w:t>
            </w:r>
          </w:p>
        </w:tc>
        <w:tc>
          <w:tcPr>
            <w:tcW w:w="3700" w:type="dxa"/>
            <w:vAlign w:val="bottom"/>
            <w:gridSpan w:val="2"/>
            <w:vMerge w:val="restart"/>
          </w:tcPr>
          <w:p>
            <w:pPr>
              <w:ind w:left="20"/>
              <w:spacing w:after="0"/>
              <w:rPr>
                <w:sz w:val="20"/>
                <w:szCs w:val="20"/>
                <w:color w:val="auto"/>
              </w:rPr>
            </w:pPr>
            <w:r>
              <w:rPr>
                <w:rFonts w:ascii="Arial" w:cs="Arial" w:eastAsia="Arial" w:hAnsi="Arial"/>
                <w:sz w:val="20"/>
                <w:szCs w:val="20"/>
                <w:i w:val="1"/>
                <w:iCs w:val="1"/>
                <w:color w:val="auto"/>
              </w:rPr>
              <w:t>/s/ Eric Schmidt</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37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0" w:type="dxa"/>
            <w:vAlign w:val="bottom"/>
          </w:tcPr>
          <w:p>
            <w:pPr>
              <w:ind w:left="80"/>
              <w:spacing w:after="0"/>
              <w:rPr>
                <w:sz w:val="20"/>
                <w:szCs w:val="20"/>
                <w:color w:val="auto"/>
              </w:rPr>
            </w:pPr>
            <w:r>
              <w:rPr>
                <w:rFonts w:ascii="Arial" w:cs="Arial" w:eastAsia="Arial" w:hAnsi="Arial"/>
                <w:sz w:val="20"/>
                <w:szCs w:val="20"/>
                <w:color w:val="auto"/>
              </w:rPr>
              <w:t>Eric Schmidt</w:t>
            </w:r>
          </w:p>
        </w:tc>
        <w:tc>
          <w:tcPr>
            <w:tcW w:w="0" w:type="dxa"/>
            <w:vAlign w:val="bottom"/>
          </w:tcPr>
          <w:p>
            <w:pPr>
              <w:spacing w:after="0"/>
              <w:rPr>
                <w:sz w:val="1"/>
                <w:szCs w:val="1"/>
                <w:color w:val="auto"/>
              </w:rPr>
            </w:pPr>
          </w:p>
        </w:tc>
      </w:tr>
      <w:tr>
        <w:trPr>
          <w:trHeight w:val="23"/>
        </w:trPr>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0" w:type="dxa"/>
            <w:vAlign w:val="bottom"/>
          </w:tcPr>
          <w:p>
            <w:pPr>
              <w:ind w:left="1100"/>
              <w:spacing w:after="0"/>
              <w:rPr>
                <w:sz w:val="20"/>
                <w:szCs w:val="20"/>
                <w:color w:val="auto"/>
              </w:rPr>
            </w:pPr>
            <w:r>
              <w:rPr>
                <w:rFonts w:ascii="Arial" w:cs="Arial" w:eastAsia="Arial" w:hAnsi="Arial"/>
                <w:sz w:val="20"/>
                <w:szCs w:val="20"/>
                <w:color w:val="auto"/>
              </w:rPr>
              <w:t>Print Name</w:t>
            </w: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Arial" w:cs="Arial" w:eastAsia="Arial" w:hAnsi="Arial"/>
                <w:sz w:val="20"/>
                <w:szCs w:val="20"/>
                <w:color w:val="auto"/>
              </w:rPr>
              <w:t>Its:</w:t>
            </w:r>
          </w:p>
        </w:tc>
        <w:tc>
          <w:tcPr>
            <w:tcW w:w="3700" w:type="dxa"/>
            <w:vAlign w:val="bottom"/>
            <w:gridSpan w:val="2"/>
          </w:tcPr>
          <w:p>
            <w:pPr>
              <w:ind w:left="20"/>
              <w:spacing w:after="0"/>
              <w:rPr>
                <w:sz w:val="20"/>
                <w:szCs w:val="20"/>
                <w:color w:val="auto"/>
              </w:rPr>
            </w:pPr>
            <w:r>
              <w:rPr>
                <w:rFonts w:ascii="Arial" w:cs="Arial" w:eastAsia="Arial" w:hAnsi="Arial"/>
                <w:sz w:val="20"/>
                <w:szCs w:val="20"/>
                <w:color w:val="auto"/>
              </w:rPr>
              <w:t>CFO</w:t>
            </w:r>
          </w:p>
        </w:tc>
        <w:tc>
          <w:tcPr>
            <w:tcW w:w="0" w:type="dxa"/>
            <w:vAlign w:val="bottom"/>
          </w:tcPr>
          <w:p>
            <w:pPr>
              <w:spacing w:after="0"/>
              <w:rPr>
                <w:sz w:val="1"/>
                <w:szCs w:val="1"/>
                <w:color w:val="auto"/>
              </w:rPr>
            </w:pPr>
          </w:p>
        </w:tc>
      </w:tr>
      <w:tr>
        <w:trPr>
          <w:trHeight w:val="23"/>
        </w:trPr>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320" w:top="1440" w:right="71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DEPICTION OF EXPANSION PREMISES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164465</wp:posOffset>
            </wp:positionV>
            <wp:extent cx="5349240" cy="39173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5349240" cy="391731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019"/>
          </w:cols>
          <w:pgMar w:left="1440" w:top="1413" w:right="1440" w:bottom="1440"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16"/>
          <w:szCs w:val="16"/>
          <w:color w:val="auto"/>
        </w:rPr>
        <w:t>Second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347980</wp:posOffset>
            </wp:positionV>
            <wp:extent cx="5349240" cy="40633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5349240" cy="4063365"/>
                    </a:xfrm>
                    <a:prstGeom prst="rect">
                      <a:avLst/>
                    </a:prstGeom>
                    <a:noFill/>
                  </pic:spPr>
                </pic:pic>
              </a:graphicData>
            </a:graphic>
          </wp:anchor>
        </w:drawing>
      </w:r>
    </w:p>
    <w:p>
      <w:pPr>
        <w:sectPr>
          <w:pgSz w:w="11900" w:h="16838" w:orient="portrait"/>
          <w:cols w:equalWidth="0" w:num="1">
            <w:col w:w="9019"/>
          </w:cols>
          <w:pgMar w:left="144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1419" w:right="1440" w:bottom="1440" w:gutter="0" w:footer="0" w:header="0"/>
          <w:type w:val="continuous"/>
        </w:sectPr>
      </w:pPr>
    </w:p>
    <w:bookmarkStart w:id="143" w:name="page144"/>
    <w:bookmarkEnd w:id="143"/>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FF&amp;E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 E Grand Furniture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16510</wp:posOffset>
            </wp:positionV>
            <wp:extent cx="3745865" cy="5220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3745865" cy="522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1440" w:right="1440" w:bottom="1440" w:gutter="0" w:footer="0" w:header="0"/>
        </w:sectPr>
      </w:pPr>
    </w:p>
    <w:bookmarkStart w:id="144" w:name="page145"/>
    <w:bookmarkEnd w:id="144"/>
    <w:p>
      <w:pPr>
        <w:spacing w:after="0" w:line="3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 LEASE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(310 Utah Avenue)</w:t>
      </w:r>
    </w:p>
    <w:p>
      <w:pPr>
        <w:spacing w:after="0" w:line="19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This FIRST AMENDMENT TO LEASE ("</w:t>
      </w:r>
      <w:r>
        <w:rPr>
          <w:rFonts w:ascii="Arial" w:cs="Arial" w:eastAsia="Arial" w:hAnsi="Arial"/>
          <w:sz w:val="22"/>
          <w:szCs w:val="22"/>
          <w:b w:val="1"/>
          <w:bCs w:val="1"/>
          <w:color w:val="auto"/>
        </w:rPr>
        <w:t>First Amendment</w:t>
      </w:r>
      <w:r>
        <w:rPr>
          <w:rFonts w:ascii="Arial" w:cs="Arial" w:eastAsia="Arial" w:hAnsi="Arial"/>
          <w:sz w:val="22"/>
          <w:szCs w:val="22"/>
          <w:color w:val="auto"/>
        </w:rPr>
        <w:t xml:space="preserve">") is made and entered into as of December 10, 2021, by and between </w:t>
      </w:r>
      <w:r>
        <w:rPr>
          <w:rFonts w:ascii="Arial" w:cs="Arial" w:eastAsia="Arial" w:hAnsi="Arial"/>
          <w:sz w:val="22"/>
          <w:szCs w:val="22"/>
          <w:b w:val="1"/>
          <w:bCs w:val="1"/>
          <w:color w:val="auto"/>
        </w:rPr>
        <w:t>HEALTHPEAK PROPERTIES, 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ALLOGENE</w:t>
      </w:r>
      <w:r>
        <w:rPr>
          <w:rFonts w:ascii="Arial" w:cs="Arial" w:eastAsia="Arial" w:hAnsi="Arial"/>
          <w:sz w:val="22"/>
          <w:szCs w:val="22"/>
          <w:color w:val="auto"/>
        </w:rPr>
        <w:t xml:space="preserve"> </w:t>
      </w:r>
      <w:r>
        <w:rPr>
          <w:rFonts w:ascii="Arial" w:cs="Arial" w:eastAsia="Arial" w:hAnsi="Arial"/>
          <w:sz w:val="22"/>
          <w:szCs w:val="22"/>
          <w:b w:val="1"/>
          <w:bCs w:val="1"/>
          <w:color w:val="auto"/>
        </w:rPr>
        <w:t>THERAPEUTICS, 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 xml:space="preserve"> :</w:t>
      </w:r>
    </w:p>
    <w:p>
      <w:pPr>
        <w:spacing w:after="0" w:line="214" w:lineRule="exact"/>
        <w:rPr>
          <w:sz w:val="20"/>
          <w:szCs w:val="20"/>
          <w:color w:val="auto"/>
        </w:rPr>
      </w:pPr>
    </w:p>
    <w:p>
      <w:pPr>
        <w:jc w:val="both"/>
        <w:ind w:firstLine="656"/>
        <w:spacing w:after="0" w:line="233" w:lineRule="auto"/>
        <w:tabs>
          <w:tab w:leader="none" w:pos="1118" w:val="left"/>
        </w:tabs>
        <w:numPr>
          <w:ilvl w:val="0"/>
          <w:numId w:val="73"/>
        </w:numPr>
        <w:rPr>
          <w:rFonts w:ascii="Arial" w:cs="Arial" w:eastAsia="Arial" w:hAnsi="Arial"/>
          <w:sz w:val="22"/>
          <w:szCs w:val="22"/>
          <w:color w:val="auto"/>
        </w:rPr>
      </w:pPr>
      <w:r>
        <w:rPr>
          <w:rFonts w:ascii="Arial" w:cs="Arial" w:eastAsia="Arial" w:hAnsi="Arial"/>
          <w:sz w:val="22"/>
          <w:szCs w:val="22"/>
          <w:color w:val="auto"/>
        </w:rPr>
        <w:t>Landlord (formerly known as HCP, Inc.) and Tenant are parties to the Lease dated October 25, 2018 (the "</w:t>
      </w:r>
      <w:r>
        <w:rPr>
          <w:rFonts w:ascii="Arial" w:cs="Arial" w:eastAsia="Arial" w:hAnsi="Arial"/>
          <w:sz w:val="22"/>
          <w:szCs w:val="22"/>
          <w:b w:val="1"/>
          <w:bCs w:val="1"/>
          <w:color w:val="auto"/>
        </w:rPr>
        <w:t>Lease</w:t>
      </w:r>
      <w:r>
        <w:rPr>
          <w:rFonts w:ascii="Arial" w:cs="Arial" w:eastAsia="Arial" w:hAnsi="Arial"/>
          <w:sz w:val="22"/>
          <w:szCs w:val="22"/>
          <w:color w:val="auto"/>
        </w:rPr>
        <w:t>"), pursuant to which Tenant leases approximately 14,943 rentable square feet of space (the "</w:t>
      </w:r>
      <w:r>
        <w:rPr>
          <w:rFonts w:ascii="Arial" w:cs="Arial" w:eastAsia="Arial" w:hAnsi="Arial"/>
          <w:sz w:val="22"/>
          <w:szCs w:val="22"/>
          <w:b w:val="1"/>
          <w:bCs w:val="1"/>
          <w:color w:val="auto"/>
        </w:rPr>
        <w:t>Premises</w:t>
      </w:r>
      <w:r>
        <w:rPr>
          <w:rFonts w:ascii="Arial" w:cs="Arial" w:eastAsia="Arial" w:hAnsi="Arial"/>
          <w:sz w:val="22"/>
          <w:szCs w:val="22"/>
          <w:color w:val="auto"/>
        </w:rPr>
        <w:t>") in the building (the "</w:t>
      </w:r>
      <w:r>
        <w:rPr>
          <w:rFonts w:ascii="Arial" w:cs="Arial" w:eastAsia="Arial" w:hAnsi="Arial"/>
          <w:sz w:val="22"/>
          <w:szCs w:val="22"/>
          <w:b w:val="1"/>
          <w:bCs w:val="1"/>
          <w:color w:val="auto"/>
        </w:rPr>
        <w:t>Building</w:t>
      </w:r>
      <w:r>
        <w:rPr>
          <w:rFonts w:ascii="Arial" w:cs="Arial" w:eastAsia="Arial" w:hAnsi="Arial"/>
          <w:sz w:val="22"/>
          <w:szCs w:val="22"/>
          <w:color w:val="auto"/>
        </w:rPr>
        <w:t>") located at 310 Utah Avenue, South San Francisco, California.</w:t>
      </w:r>
    </w:p>
    <w:p>
      <w:pPr>
        <w:spacing w:after="0" w:line="200" w:lineRule="exact"/>
        <w:rPr>
          <w:rFonts w:ascii="Arial" w:cs="Arial" w:eastAsia="Arial" w:hAnsi="Arial"/>
          <w:sz w:val="22"/>
          <w:szCs w:val="22"/>
          <w:color w:val="auto"/>
        </w:rPr>
      </w:pPr>
    </w:p>
    <w:p>
      <w:pPr>
        <w:ind w:left="1060" w:hanging="404"/>
        <w:spacing w:after="0"/>
        <w:tabs>
          <w:tab w:leader="none" w:pos="10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parties desire to amend the Lease on the terms and conditions set forth in this First Amendment.</w:t>
      </w:r>
    </w:p>
    <w:p>
      <w:pPr>
        <w:spacing w:after="0" w:line="220" w:lineRule="exact"/>
        <w:rPr>
          <w:sz w:val="20"/>
          <w:szCs w:val="20"/>
          <w:color w:val="auto"/>
        </w:rPr>
      </w:pPr>
    </w:p>
    <w:p>
      <w:pPr>
        <w:ind w:left="6200"/>
        <w:spacing w:after="0"/>
        <w:rPr>
          <w:sz w:val="20"/>
          <w:szCs w:val="20"/>
          <w:color w:val="auto"/>
        </w:rPr>
      </w:pPr>
      <w:r>
        <w:rPr>
          <w:rFonts w:ascii="Arial" w:cs="Arial" w:eastAsia="Arial" w:hAnsi="Arial"/>
          <w:sz w:val="22"/>
          <w:szCs w:val="22"/>
          <w:u w:val="single" w:color="auto"/>
          <w:color w:val="auto"/>
        </w:rPr>
        <w:t>A G R E E M E N T</w:t>
      </w:r>
      <w:r>
        <w:rPr>
          <w:rFonts w:ascii="Arial" w:cs="Arial" w:eastAsia="Arial" w:hAnsi="Arial"/>
          <w:sz w:val="22"/>
          <w:szCs w:val="22"/>
          <w:color w:val="auto"/>
        </w:rPr>
        <w:t xml:space="preserve"> :</w:t>
      </w:r>
    </w:p>
    <w:p>
      <w:pPr>
        <w:spacing w:after="0" w:line="22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95" w:lineRule="exact"/>
        <w:rPr>
          <w:sz w:val="20"/>
          <w:szCs w:val="20"/>
          <w:color w:val="auto"/>
        </w:rPr>
      </w:pPr>
    </w:p>
    <w:p>
      <w:pPr>
        <w:ind w:firstLine="656"/>
        <w:spacing w:after="0" w:line="243" w:lineRule="auto"/>
        <w:tabs>
          <w:tab w:leader="none" w:pos="1080"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Terms</w:t>
      </w:r>
      <w:r>
        <w:rPr>
          <w:rFonts w:ascii="Arial" w:cs="Arial" w:eastAsia="Arial" w:hAnsi="Arial"/>
          <w:sz w:val="22"/>
          <w:szCs w:val="22"/>
          <w:color w:val="auto"/>
        </w:rPr>
        <w:t>. All capitalized terms when used herein shall have the same respective meanings as are given such terms in</w:t>
      </w:r>
      <w:r>
        <w:rPr>
          <w:rFonts w:ascii="Arial" w:cs="Arial" w:eastAsia="Arial" w:hAnsi="Arial"/>
          <w:sz w:val="22"/>
          <w:szCs w:val="22"/>
          <w:b w:val="1"/>
          <w:bCs w:val="1"/>
          <w:color w:val="auto"/>
        </w:rPr>
        <w:t xml:space="preserve"> </w:t>
      </w:r>
      <w:r>
        <w:rPr>
          <w:rFonts w:ascii="Arial" w:cs="Arial" w:eastAsia="Arial" w:hAnsi="Arial"/>
          <w:sz w:val="22"/>
          <w:szCs w:val="22"/>
          <w:color w:val="auto"/>
        </w:rPr>
        <w:t>the Lease unless expressly provided otherwise in this First Amendment.</w:t>
      </w:r>
    </w:p>
    <w:p>
      <w:pPr>
        <w:spacing w:after="0" w:line="189" w:lineRule="exact"/>
        <w:rPr>
          <w:rFonts w:ascii="Arial" w:cs="Arial" w:eastAsia="Arial" w:hAnsi="Arial"/>
          <w:sz w:val="22"/>
          <w:szCs w:val="22"/>
          <w:color w:val="auto"/>
        </w:rPr>
      </w:pPr>
    </w:p>
    <w:p>
      <w:pPr>
        <w:ind w:left="1040" w:hanging="384"/>
        <w:spacing w:after="0"/>
        <w:tabs>
          <w:tab w:leader="none" w:pos="1040"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Lease Term</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u w:val="single" w:color="auto"/>
          <w:color w:val="auto"/>
        </w:rPr>
        <w:t>Extended Lease Term</w:t>
      </w:r>
      <w:r>
        <w:rPr>
          <w:rFonts w:ascii="Arial" w:cs="Arial" w:eastAsia="Arial" w:hAnsi="Arial"/>
          <w:sz w:val="21"/>
          <w:szCs w:val="21"/>
          <w:color w:val="auto"/>
        </w:rPr>
        <w:t>. Pursuant to the Lease, the Lease Term is scheduled to expire on February 28, 2029. Landlord and Tenant hereby agree to extend the Lease Term for a period of three (3) years and one (1) month, from March 1, 2029, through March 31, 2032 (the "</w:t>
      </w:r>
      <w:r>
        <w:rPr>
          <w:rFonts w:ascii="Arial" w:cs="Arial" w:eastAsia="Arial" w:hAnsi="Arial"/>
          <w:sz w:val="21"/>
          <w:szCs w:val="21"/>
          <w:b w:val="1"/>
          <w:bCs w:val="1"/>
          <w:color w:val="auto"/>
        </w:rPr>
        <w:t>Extended Term</w:t>
      </w:r>
      <w:r>
        <w:rPr>
          <w:rFonts w:ascii="Arial" w:cs="Arial" w:eastAsia="Arial" w:hAnsi="Arial"/>
          <w:sz w:val="21"/>
          <w:szCs w:val="21"/>
          <w:color w:val="auto"/>
        </w:rPr>
        <w:t>"), on the terms and conditions set forth in the Lease, as hereby amended by this First Amendment, unless sooner terminated as provided in the Lease.</w:t>
      </w:r>
    </w:p>
    <w:p>
      <w:pPr>
        <w:spacing w:after="0" w:line="19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b w:val="1"/>
          <w:bCs w:val="1"/>
          <w:u w:val="single" w:color="auto"/>
          <w:color w:val="auto"/>
        </w:rPr>
        <w:t>Option to Extend Lease Term</w:t>
      </w:r>
      <w:r>
        <w:rPr>
          <w:rFonts w:ascii="Arial" w:cs="Arial" w:eastAsia="Arial" w:hAnsi="Arial"/>
          <w:sz w:val="19"/>
          <w:szCs w:val="19"/>
          <w:color w:val="auto"/>
        </w:rPr>
        <w:t xml:space="preserve">. Notwithstanding the extension of the Lease Term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above, Landlord and Tenant acknowledge and agree that Tenant shall continue to have one (1) option to extend the Lease Term in accordance with, and pursuant to the terms of,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of the Lease; provided, however, all references therein to the "initial Lease Term" shall be deemed to refer to the "Extended Term" and such option shall be an option to extend the Lease Term for a period of eight (8) years (as opposed to seven (7) years as currently set forth in the Lease).</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2" w:lineRule="exact"/>
        <w:rPr>
          <w:sz w:val="20"/>
          <w:szCs w:val="20"/>
          <w:color w:val="auto"/>
        </w:rPr>
      </w:pPr>
    </w:p>
    <w:p>
      <w:pPr>
        <w:ind w:left="1040" w:hanging="384"/>
        <w:spacing w:after="0"/>
        <w:tabs>
          <w:tab w:leader="none" w:pos="1040" w:val="left"/>
        </w:tabs>
        <w:numPr>
          <w:ilvl w:val="0"/>
          <w:numId w:val="75"/>
        </w:numPr>
        <w:rPr>
          <w:rFonts w:ascii="Arial" w:cs="Arial" w:eastAsia="Arial" w:hAnsi="Arial"/>
          <w:sz w:val="22"/>
          <w:szCs w:val="22"/>
          <w:color w:val="auto"/>
        </w:rPr>
      </w:pPr>
      <w:r>
        <w:rPr>
          <w:rFonts w:ascii="Arial" w:cs="Arial" w:eastAsia="Arial" w:hAnsi="Arial"/>
          <w:sz w:val="22"/>
          <w:szCs w:val="22"/>
          <w:b w:val="1"/>
          <w:bCs w:val="1"/>
          <w:u w:val="single" w:color="auto"/>
          <w:color w:val="auto"/>
        </w:rPr>
        <w:t>Rent</w:t>
      </w:r>
    </w:p>
    <w:p>
      <w:pPr>
        <w:spacing w:after="0" w:line="220" w:lineRule="exact"/>
        <w:rPr>
          <w:sz w:val="20"/>
          <w:szCs w:val="20"/>
          <w:color w:val="auto"/>
        </w:rPr>
      </w:pPr>
    </w:p>
    <w:p>
      <w:pPr>
        <w:ind w:firstLine="1296"/>
        <w:spacing w:after="0" w:line="24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u w:val="single" w:color="auto"/>
          <w:color w:val="auto"/>
        </w:rPr>
        <w:t>Base Rent</w:t>
      </w:r>
      <w:r>
        <w:rPr>
          <w:rFonts w:ascii="Arial" w:cs="Arial" w:eastAsia="Arial" w:hAnsi="Arial"/>
          <w:sz w:val="22"/>
          <w:szCs w:val="22"/>
          <w:b w:val="1"/>
          <w:bCs w:val="1"/>
          <w:color w:val="auto"/>
        </w:rPr>
        <w:t>.</w:t>
      </w:r>
      <w:r>
        <w:rPr>
          <w:rFonts w:ascii="Arial" w:cs="Arial" w:eastAsia="Arial" w:hAnsi="Arial"/>
          <w:sz w:val="22"/>
          <w:szCs w:val="22"/>
          <w:color w:val="auto"/>
        </w:rPr>
        <w:t xml:space="preserve"> During the Extended Term, Tenant shall pay monthly installments of Base Rent for the Premises as follows, and otherwise shall pay Base Rent in accordance with the terms of the Lease:</w:t>
      </w:r>
    </w:p>
    <w:p>
      <w:pPr>
        <w:spacing w:after="0" w:line="263" w:lineRule="exact"/>
        <w:rPr>
          <w:sz w:val="20"/>
          <w:szCs w:val="20"/>
          <w:color w:val="auto"/>
        </w:rPr>
      </w:pPr>
    </w:p>
    <w:tbl>
      <w:tblPr>
        <w:tblLayout w:type="fixed"/>
        <w:tblInd w:w="1380" w:type="dxa"/>
        <w:tblCellMar>
          <w:top w:w="0" w:type="dxa"/>
          <w:left w:w="0" w:type="dxa"/>
          <w:bottom w:w="0" w:type="dxa"/>
          <w:right w:w="0" w:type="dxa"/>
        </w:tblCellMar>
      </w:tblPr>
      <w:tr>
        <w:trPr>
          <w:trHeight w:val="257"/>
        </w:trPr>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22"/>
                <w:szCs w:val="22"/>
                <w:color w:val="auto"/>
                <w:w w:val="96"/>
              </w:rPr>
              <w:t>Monthly</w:t>
            </w:r>
          </w:p>
        </w:tc>
        <w:tc>
          <w:tcPr>
            <w:tcW w:w="1900" w:type="dxa"/>
            <w:vAlign w:val="bottom"/>
            <w:gridSpan w:val="3"/>
          </w:tcPr>
          <w:p>
            <w:pPr>
              <w:jc w:val="center"/>
              <w:ind w:left="432"/>
              <w:spacing w:after="0"/>
              <w:rPr>
                <w:sz w:val="20"/>
                <w:szCs w:val="20"/>
                <w:color w:val="auto"/>
              </w:rPr>
            </w:pPr>
            <w:r>
              <w:rPr>
                <w:rFonts w:ascii="Arial" w:cs="Arial" w:eastAsia="Arial" w:hAnsi="Arial"/>
                <w:sz w:val="22"/>
                <w:szCs w:val="22"/>
                <w:color w:val="auto"/>
                <w:w w:val="92"/>
              </w:rPr>
              <w:t>Monthly Rental</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22"/>
                <w:szCs w:val="22"/>
                <w:color w:val="auto"/>
                <w:w w:val="90"/>
              </w:rPr>
              <w:t>Period During</w:t>
            </w:r>
          </w:p>
        </w:tc>
        <w:tc>
          <w:tcPr>
            <w:tcW w:w="620" w:type="dxa"/>
            <w:vAlign w:val="bottom"/>
          </w:tcPr>
          <w:p>
            <w:pPr>
              <w:spacing w:after="0"/>
              <w:rPr>
                <w:sz w:val="22"/>
                <w:szCs w:val="22"/>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22"/>
                <w:szCs w:val="22"/>
                <w:color w:val="auto"/>
                <w:w w:val="93"/>
              </w:rPr>
              <w:t>Annual</w:t>
            </w:r>
          </w:p>
        </w:tc>
        <w:tc>
          <w:tcPr>
            <w:tcW w:w="2300" w:type="dxa"/>
            <w:vAlign w:val="bottom"/>
            <w:gridSpan w:val="3"/>
          </w:tcPr>
          <w:p>
            <w:pPr>
              <w:ind w:left="400"/>
              <w:spacing w:after="0"/>
              <w:rPr>
                <w:sz w:val="20"/>
                <w:szCs w:val="20"/>
                <w:color w:val="auto"/>
              </w:rPr>
            </w:pPr>
            <w:r>
              <w:rPr>
                <w:rFonts w:ascii="Arial" w:cs="Arial" w:eastAsia="Arial" w:hAnsi="Arial"/>
                <w:sz w:val="22"/>
                <w:szCs w:val="22"/>
                <w:color w:val="auto"/>
              </w:rPr>
              <w:t>Installment</w:t>
            </w:r>
          </w:p>
        </w:tc>
        <w:tc>
          <w:tcPr>
            <w:tcW w:w="58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22"/>
                <w:szCs w:val="22"/>
                <w:color w:val="auto"/>
              </w:rPr>
              <w:t>Rate</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320" w:type="dxa"/>
            <w:vAlign w:val="bottom"/>
          </w:tcPr>
          <w:p>
            <w:pPr>
              <w:jc w:val="center"/>
              <w:spacing w:after="0" w:line="224" w:lineRule="exact"/>
              <w:rPr>
                <w:sz w:val="20"/>
                <w:szCs w:val="20"/>
                <w:color w:val="auto"/>
              </w:rPr>
            </w:pPr>
            <w:r>
              <w:rPr>
                <w:rFonts w:ascii="Arial" w:cs="Arial" w:eastAsia="Arial" w:hAnsi="Arial"/>
                <w:sz w:val="22"/>
                <w:szCs w:val="22"/>
                <w:color w:val="auto"/>
                <w:w w:val="87"/>
              </w:rPr>
              <w:t>Extended Term</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gridSpan w:val="2"/>
          </w:tcPr>
          <w:p>
            <w:pPr>
              <w:jc w:val="center"/>
              <w:ind w:right="580"/>
              <w:spacing w:after="0" w:line="224" w:lineRule="exact"/>
              <w:rPr>
                <w:sz w:val="20"/>
                <w:szCs w:val="20"/>
                <w:color w:val="auto"/>
              </w:rPr>
            </w:pPr>
            <w:r>
              <w:rPr>
                <w:rFonts w:ascii="Arial" w:cs="Arial" w:eastAsia="Arial" w:hAnsi="Arial"/>
                <w:sz w:val="22"/>
                <w:szCs w:val="22"/>
                <w:color w:val="auto"/>
                <w:w w:val="85"/>
              </w:rPr>
              <w:t>Base Rent</w:t>
            </w:r>
          </w:p>
        </w:tc>
        <w:tc>
          <w:tcPr>
            <w:tcW w:w="2300" w:type="dxa"/>
            <w:vAlign w:val="bottom"/>
            <w:gridSpan w:val="3"/>
          </w:tcPr>
          <w:p>
            <w:pPr>
              <w:jc w:val="center"/>
              <w:ind w:left="12"/>
              <w:spacing w:after="0" w:line="224" w:lineRule="exact"/>
              <w:rPr>
                <w:sz w:val="20"/>
                <w:szCs w:val="20"/>
                <w:color w:val="auto"/>
              </w:rPr>
            </w:pPr>
            <w:r>
              <w:rPr>
                <w:rFonts w:ascii="Arial" w:cs="Arial" w:eastAsia="Arial" w:hAnsi="Arial"/>
                <w:sz w:val="22"/>
                <w:szCs w:val="22"/>
                <w:color w:val="auto"/>
                <w:w w:val="86"/>
              </w:rPr>
              <w:t>of Base Rent</w:t>
            </w:r>
          </w:p>
        </w:tc>
        <w:tc>
          <w:tcPr>
            <w:tcW w:w="1900" w:type="dxa"/>
            <w:vAlign w:val="bottom"/>
            <w:gridSpan w:val="3"/>
          </w:tcPr>
          <w:p>
            <w:pPr>
              <w:jc w:val="center"/>
              <w:ind w:left="432"/>
              <w:spacing w:after="0" w:line="224" w:lineRule="exact"/>
              <w:rPr>
                <w:sz w:val="20"/>
                <w:szCs w:val="20"/>
                <w:color w:val="auto"/>
              </w:rPr>
            </w:pPr>
            <w:r>
              <w:rPr>
                <w:rFonts w:ascii="Arial" w:cs="Arial" w:eastAsia="Arial" w:hAnsi="Arial"/>
                <w:sz w:val="22"/>
                <w:szCs w:val="22"/>
                <w:color w:val="auto"/>
                <w:w w:val="86"/>
              </w:rPr>
              <w:t>per square feet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1880" w:type="dxa"/>
            <w:vAlign w:val="bottom"/>
            <w:gridSpan w:val="3"/>
          </w:tcPr>
          <w:p>
            <w:pPr>
              <w:jc w:val="center"/>
              <w:ind w:right="460"/>
              <w:spacing w:after="0"/>
              <w:rPr>
                <w:sz w:val="20"/>
                <w:szCs w:val="20"/>
                <w:color w:val="auto"/>
              </w:rPr>
            </w:pPr>
            <w:r>
              <w:rPr>
                <w:rFonts w:ascii="Arial" w:cs="Arial" w:eastAsia="Arial" w:hAnsi="Arial"/>
                <w:sz w:val="22"/>
                <w:szCs w:val="22"/>
                <w:color w:val="auto"/>
                <w:w w:val="89"/>
              </w:rPr>
              <w:t>March 1, 2029 –</w:t>
            </w:r>
          </w:p>
        </w:tc>
        <w:tc>
          <w:tcPr>
            <w:tcW w:w="620" w:type="dxa"/>
            <w:vAlign w:val="bottom"/>
          </w:tcPr>
          <w:p>
            <w:pPr>
              <w:spacing w:after="0"/>
              <w:rPr>
                <w:sz w:val="24"/>
                <w:szCs w:val="24"/>
                <w:color w:val="auto"/>
              </w:rPr>
            </w:pPr>
          </w:p>
        </w:tc>
        <w:tc>
          <w:tcPr>
            <w:tcW w:w="1460" w:type="dxa"/>
            <w:vAlign w:val="bottom"/>
            <w:gridSpan w:val="2"/>
            <w:vMerge w:val="restart"/>
          </w:tcPr>
          <w:p>
            <w:pPr>
              <w:jc w:val="center"/>
              <w:ind w:right="580"/>
              <w:spacing w:after="0"/>
              <w:rPr>
                <w:sz w:val="20"/>
                <w:szCs w:val="20"/>
                <w:color w:val="auto"/>
              </w:rPr>
            </w:pPr>
            <w:r>
              <w:rPr>
                <w:rFonts w:ascii="Arial" w:cs="Arial" w:eastAsia="Arial" w:hAnsi="Arial"/>
                <w:sz w:val="22"/>
                <w:szCs w:val="22"/>
                <w:color w:val="auto"/>
                <w:w w:val="98"/>
              </w:rPr>
              <w:t>N/A</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880" w:type="dxa"/>
            <w:vAlign w:val="bottom"/>
            <w:gridSpan w:val="3"/>
          </w:tcPr>
          <w:p>
            <w:pPr>
              <w:jc w:val="center"/>
              <w:ind w:right="460"/>
              <w:spacing w:after="0"/>
              <w:rPr>
                <w:sz w:val="20"/>
                <w:szCs w:val="20"/>
                <w:color w:val="auto"/>
              </w:rPr>
            </w:pPr>
            <w:r>
              <w:rPr>
                <w:rFonts w:ascii="Arial" w:cs="Arial" w:eastAsia="Arial" w:hAnsi="Arial"/>
                <w:sz w:val="22"/>
                <w:szCs w:val="22"/>
                <w:color w:val="auto"/>
                <w:w w:val="90"/>
              </w:rPr>
              <w:t>March 31, 2029</w:t>
            </w:r>
          </w:p>
        </w:tc>
        <w:tc>
          <w:tcPr>
            <w:tcW w:w="620" w:type="dxa"/>
            <w:vAlign w:val="bottom"/>
          </w:tcPr>
          <w:p>
            <w:pPr>
              <w:spacing w:after="0"/>
              <w:rPr>
                <w:sz w:val="23"/>
                <w:szCs w:val="23"/>
                <w:color w:val="auto"/>
              </w:rPr>
            </w:pPr>
          </w:p>
        </w:tc>
        <w:tc>
          <w:tcPr>
            <w:tcW w:w="1460" w:type="dxa"/>
            <w:vAlign w:val="bottom"/>
            <w:gridSpan w:val="2"/>
            <w:vMerge w:val="continue"/>
          </w:tcPr>
          <w:p>
            <w:pPr>
              <w:spacing w:after="0"/>
              <w:rPr>
                <w:sz w:val="23"/>
                <w:szCs w:val="23"/>
                <w:color w:val="auto"/>
              </w:rPr>
            </w:pPr>
          </w:p>
        </w:tc>
        <w:tc>
          <w:tcPr>
            <w:tcW w:w="1760" w:type="dxa"/>
            <w:vAlign w:val="bottom"/>
            <w:gridSpan w:val="2"/>
          </w:tcPr>
          <w:p>
            <w:pPr>
              <w:jc w:val="center"/>
              <w:ind w:left="552"/>
              <w:spacing w:after="0"/>
              <w:rPr>
                <w:sz w:val="20"/>
                <w:szCs w:val="20"/>
                <w:color w:val="auto"/>
              </w:rPr>
            </w:pPr>
            <w:r>
              <w:rPr>
                <w:rFonts w:ascii="Arial" w:cs="Arial" w:eastAsia="Arial" w:hAnsi="Arial"/>
                <w:sz w:val="22"/>
                <w:szCs w:val="22"/>
                <w:color w:val="auto"/>
                <w:w w:val="86"/>
              </w:rPr>
              <w:t>$119,396.96</w:t>
            </w:r>
          </w:p>
        </w:tc>
        <w:tc>
          <w:tcPr>
            <w:tcW w:w="540" w:type="dxa"/>
            <w:vAlign w:val="bottom"/>
          </w:tcPr>
          <w:p>
            <w:pPr>
              <w:spacing w:after="0"/>
              <w:rPr>
                <w:sz w:val="23"/>
                <w:szCs w:val="23"/>
                <w:color w:val="auto"/>
              </w:rPr>
            </w:pPr>
          </w:p>
        </w:tc>
        <w:tc>
          <w:tcPr>
            <w:tcW w:w="1860" w:type="dxa"/>
            <w:vAlign w:val="bottom"/>
            <w:gridSpan w:val="2"/>
          </w:tcPr>
          <w:p>
            <w:pPr>
              <w:jc w:val="center"/>
              <w:ind w:left="472"/>
              <w:spacing w:after="0"/>
              <w:rPr>
                <w:sz w:val="20"/>
                <w:szCs w:val="20"/>
                <w:color w:val="auto"/>
              </w:rPr>
            </w:pPr>
            <w:r>
              <w:rPr>
                <w:rFonts w:ascii="Arial" w:cs="Arial" w:eastAsia="Arial" w:hAnsi="Arial"/>
                <w:sz w:val="22"/>
                <w:szCs w:val="22"/>
                <w:color w:val="auto"/>
                <w:w w:val="87"/>
              </w:rPr>
              <w:t>$7.99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9"/>
        </w:trPr>
        <w:tc>
          <w:tcPr>
            <w:tcW w:w="60" w:type="dxa"/>
            <w:vAlign w:val="bottom"/>
          </w:tcPr>
          <w:p>
            <w:pPr>
              <w:spacing w:after="0"/>
              <w:rPr>
                <w:sz w:val="24"/>
                <w:szCs w:val="24"/>
                <w:color w:val="auto"/>
              </w:rPr>
            </w:pPr>
          </w:p>
        </w:tc>
        <w:tc>
          <w:tcPr>
            <w:tcW w:w="1820" w:type="dxa"/>
            <w:vAlign w:val="bottom"/>
            <w:gridSpan w:val="2"/>
          </w:tcPr>
          <w:p>
            <w:pPr>
              <w:jc w:val="center"/>
              <w:ind w:right="500"/>
              <w:spacing w:after="0"/>
              <w:rPr>
                <w:sz w:val="20"/>
                <w:szCs w:val="20"/>
                <w:color w:val="auto"/>
              </w:rPr>
            </w:pPr>
            <w:r>
              <w:rPr>
                <w:rFonts w:ascii="Arial" w:cs="Arial" w:eastAsia="Arial" w:hAnsi="Arial"/>
                <w:sz w:val="22"/>
                <w:szCs w:val="22"/>
                <w:color w:val="auto"/>
                <w:w w:val="93"/>
              </w:rPr>
              <w:t>April 1, 2029 –</w:t>
            </w:r>
          </w:p>
        </w:tc>
        <w:tc>
          <w:tcPr>
            <w:tcW w:w="2080" w:type="dxa"/>
            <w:vAlign w:val="bottom"/>
            <w:gridSpan w:val="3"/>
            <w:vMerge w:val="restart"/>
          </w:tcPr>
          <w:p>
            <w:pPr>
              <w:jc w:val="center"/>
              <w:spacing w:after="0"/>
              <w:rPr>
                <w:sz w:val="20"/>
                <w:szCs w:val="20"/>
                <w:color w:val="auto"/>
              </w:rPr>
            </w:pPr>
            <w:r>
              <w:rPr>
                <w:rFonts w:ascii="Arial" w:cs="Arial" w:eastAsia="Arial" w:hAnsi="Arial"/>
                <w:sz w:val="22"/>
                <w:szCs w:val="22"/>
                <w:color w:val="auto"/>
                <w:w w:val="88"/>
              </w:rPr>
              <w:t>$1,482,910.18</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880" w:type="dxa"/>
            <w:vAlign w:val="bottom"/>
            <w:gridSpan w:val="3"/>
          </w:tcPr>
          <w:p>
            <w:pPr>
              <w:jc w:val="center"/>
              <w:ind w:right="460"/>
              <w:spacing w:after="0"/>
              <w:rPr>
                <w:sz w:val="20"/>
                <w:szCs w:val="20"/>
                <w:color w:val="auto"/>
              </w:rPr>
            </w:pPr>
            <w:r>
              <w:rPr>
                <w:rFonts w:ascii="Arial" w:cs="Arial" w:eastAsia="Arial" w:hAnsi="Arial"/>
                <w:sz w:val="22"/>
                <w:szCs w:val="22"/>
                <w:color w:val="auto"/>
                <w:w w:val="90"/>
              </w:rPr>
              <w:t>March 31, 2030</w:t>
            </w:r>
          </w:p>
        </w:tc>
        <w:tc>
          <w:tcPr>
            <w:tcW w:w="2080" w:type="dxa"/>
            <w:vAlign w:val="bottom"/>
            <w:gridSpan w:val="3"/>
            <w:vMerge w:val="continue"/>
          </w:tcPr>
          <w:p>
            <w:pPr>
              <w:spacing w:after="0"/>
              <w:rPr>
                <w:sz w:val="23"/>
                <w:szCs w:val="23"/>
                <w:color w:val="auto"/>
              </w:rPr>
            </w:pPr>
          </w:p>
        </w:tc>
        <w:tc>
          <w:tcPr>
            <w:tcW w:w="1760" w:type="dxa"/>
            <w:vAlign w:val="bottom"/>
            <w:gridSpan w:val="2"/>
          </w:tcPr>
          <w:p>
            <w:pPr>
              <w:jc w:val="center"/>
              <w:ind w:left="532"/>
              <w:spacing w:after="0"/>
              <w:rPr>
                <w:sz w:val="20"/>
                <w:szCs w:val="20"/>
                <w:color w:val="auto"/>
              </w:rPr>
            </w:pPr>
            <w:r>
              <w:rPr>
                <w:rFonts w:ascii="Arial" w:cs="Arial" w:eastAsia="Arial" w:hAnsi="Arial"/>
                <w:sz w:val="22"/>
                <w:szCs w:val="22"/>
                <w:color w:val="auto"/>
                <w:w w:val="88"/>
              </w:rPr>
              <w:t>$123,575.85</w:t>
            </w:r>
          </w:p>
        </w:tc>
        <w:tc>
          <w:tcPr>
            <w:tcW w:w="540" w:type="dxa"/>
            <w:vAlign w:val="bottom"/>
          </w:tcPr>
          <w:p>
            <w:pPr>
              <w:spacing w:after="0"/>
              <w:rPr>
                <w:sz w:val="23"/>
                <w:szCs w:val="23"/>
                <w:color w:val="auto"/>
              </w:rPr>
            </w:pPr>
          </w:p>
        </w:tc>
        <w:tc>
          <w:tcPr>
            <w:tcW w:w="1860" w:type="dxa"/>
            <w:vAlign w:val="bottom"/>
            <w:gridSpan w:val="2"/>
          </w:tcPr>
          <w:p>
            <w:pPr>
              <w:jc w:val="center"/>
              <w:ind w:left="472"/>
              <w:spacing w:after="0"/>
              <w:rPr>
                <w:sz w:val="20"/>
                <w:szCs w:val="20"/>
                <w:color w:val="auto"/>
              </w:rPr>
            </w:pPr>
            <w:r>
              <w:rPr>
                <w:rFonts w:ascii="Arial" w:cs="Arial" w:eastAsia="Arial" w:hAnsi="Arial"/>
                <w:sz w:val="22"/>
                <w:szCs w:val="22"/>
                <w:color w:val="auto"/>
                <w:w w:val="87"/>
              </w:rPr>
              <w:t>$8.27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9"/>
        </w:trPr>
        <w:tc>
          <w:tcPr>
            <w:tcW w:w="60" w:type="dxa"/>
            <w:vAlign w:val="bottom"/>
          </w:tcPr>
          <w:p>
            <w:pPr>
              <w:spacing w:after="0"/>
              <w:rPr>
                <w:sz w:val="24"/>
                <w:szCs w:val="24"/>
                <w:color w:val="auto"/>
              </w:rPr>
            </w:pPr>
          </w:p>
        </w:tc>
        <w:tc>
          <w:tcPr>
            <w:tcW w:w="1820" w:type="dxa"/>
            <w:vAlign w:val="bottom"/>
            <w:gridSpan w:val="2"/>
          </w:tcPr>
          <w:p>
            <w:pPr>
              <w:jc w:val="center"/>
              <w:ind w:right="500"/>
              <w:spacing w:after="0"/>
              <w:rPr>
                <w:sz w:val="20"/>
                <w:szCs w:val="20"/>
                <w:color w:val="auto"/>
              </w:rPr>
            </w:pPr>
            <w:r>
              <w:rPr>
                <w:rFonts w:ascii="Arial" w:cs="Arial" w:eastAsia="Arial" w:hAnsi="Arial"/>
                <w:sz w:val="22"/>
                <w:szCs w:val="22"/>
                <w:color w:val="auto"/>
                <w:w w:val="93"/>
              </w:rPr>
              <w:t>April 1, 2030 –</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880" w:type="dxa"/>
            <w:vAlign w:val="bottom"/>
            <w:gridSpan w:val="3"/>
          </w:tcPr>
          <w:p>
            <w:pPr>
              <w:jc w:val="center"/>
              <w:ind w:right="460"/>
              <w:spacing w:after="0"/>
              <w:rPr>
                <w:sz w:val="20"/>
                <w:szCs w:val="20"/>
                <w:color w:val="auto"/>
              </w:rPr>
            </w:pPr>
            <w:r>
              <w:rPr>
                <w:rFonts w:ascii="Arial" w:cs="Arial" w:eastAsia="Arial" w:hAnsi="Arial"/>
                <w:sz w:val="22"/>
                <w:szCs w:val="22"/>
                <w:color w:val="auto"/>
                <w:w w:val="90"/>
              </w:rPr>
              <w:t>March 31, 2031</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8"/>
              </w:rPr>
              <w:t>$1,534,812.04</w:t>
            </w:r>
          </w:p>
        </w:tc>
        <w:tc>
          <w:tcPr>
            <w:tcW w:w="1760" w:type="dxa"/>
            <w:vAlign w:val="bottom"/>
            <w:gridSpan w:val="2"/>
          </w:tcPr>
          <w:p>
            <w:pPr>
              <w:jc w:val="center"/>
              <w:ind w:left="532"/>
              <w:spacing w:after="0"/>
              <w:rPr>
                <w:sz w:val="20"/>
                <w:szCs w:val="20"/>
                <w:color w:val="auto"/>
              </w:rPr>
            </w:pPr>
            <w:r>
              <w:rPr>
                <w:rFonts w:ascii="Arial" w:cs="Arial" w:eastAsia="Arial" w:hAnsi="Arial"/>
                <w:sz w:val="22"/>
                <w:szCs w:val="22"/>
                <w:color w:val="auto"/>
                <w:w w:val="88"/>
              </w:rPr>
              <w:t>$127,901.00</w:t>
            </w:r>
          </w:p>
        </w:tc>
        <w:tc>
          <w:tcPr>
            <w:tcW w:w="540" w:type="dxa"/>
            <w:vAlign w:val="bottom"/>
          </w:tcPr>
          <w:p>
            <w:pPr>
              <w:spacing w:after="0"/>
              <w:rPr>
                <w:sz w:val="23"/>
                <w:szCs w:val="23"/>
                <w:color w:val="auto"/>
              </w:rPr>
            </w:pPr>
          </w:p>
        </w:tc>
        <w:tc>
          <w:tcPr>
            <w:tcW w:w="1860" w:type="dxa"/>
            <w:vAlign w:val="bottom"/>
            <w:gridSpan w:val="2"/>
          </w:tcPr>
          <w:p>
            <w:pPr>
              <w:jc w:val="center"/>
              <w:ind w:left="472"/>
              <w:spacing w:after="0"/>
              <w:rPr>
                <w:sz w:val="20"/>
                <w:szCs w:val="20"/>
                <w:color w:val="auto"/>
              </w:rPr>
            </w:pPr>
            <w:r>
              <w:rPr>
                <w:rFonts w:ascii="Arial" w:cs="Arial" w:eastAsia="Arial" w:hAnsi="Arial"/>
                <w:sz w:val="22"/>
                <w:szCs w:val="22"/>
                <w:color w:val="auto"/>
                <w:w w:val="87"/>
              </w:rPr>
              <w:t>$8.56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9"/>
        </w:trPr>
        <w:tc>
          <w:tcPr>
            <w:tcW w:w="60" w:type="dxa"/>
            <w:vAlign w:val="bottom"/>
          </w:tcPr>
          <w:p>
            <w:pPr>
              <w:spacing w:after="0"/>
              <w:rPr>
                <w:sz w:val="24"/>
                <w:szCs w:val="24"/>
                <w:color w:val="auto"/>
              </w:rPr>
            </w:pPr>
          </w:p>
        </w:tc>
        <w:tc>
          <w:tcPr>
            <w:tcW w:w="1820" w:type="dxa"/>
            <w:vAlign w:val="bottom"/>
            <w:gridSpan w:val="2"/>
          </w:tcPr>
          <w:p>
            <w:pPr>
              <w:jc w:val="center"/>
              <w:ind w:right="500"/>
              <w:spacing w:after="0"/>
              <w:rPr>
                <w:sz w:val="20"/>
                <w:szCs w:val="20"/>
                <w:color w:val="auto"/>
              </w:rPr>
            </w:pPr>
            <w:r>
              <w:rPr>
                <w:rFonts w:ascii="Arial" w:cs="Arial" w:eastAsia="Arial" w:hAnsi="Arial"/>
                <w:sz w:val="22"/>
                <w:szCs w:val="22"/>
                <w:color w:val="auto"/>
                <w:w w:val="93"/>
              </w:rPr>
              <w:t>April 1, 2031 –</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880" w:type="dxa"/>
            <w:vAlign w:val="bottom"/>
            <w:gridSpan w:val="3"/>
          </w:tcPr>
          <w:p>
            <w:pPr>
              <w:jc w:val="center"/>
              <w:ind w:right="460"/>
              <w:spacing w:after="0"/>
              <w:rPr>
                <w:sz w:val="20"/>
                <w:szCs w:val="20"/>
                <w:color w:val="auto"/>
              </w:rPr>
            </w:pPr>
            <w:r>
              <w:rPr>
                <w:rFonts w:ascii="Arial" w:cs="Arial" w:eastAsia="Arial" w:hAnsi="Arial"/>
                <w:sz w:val="22"/>
                <w:szCs w:val="22"/>
                <w:color w:val="auto"/>
                <w:w w:val="90"/>
              </w:rPr>
              <w:t>March 31, 2032</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8"/>
              </w:rPr>
              <w:t>$1,588,530.46</w:t>
            </w:r>
          </w:p>
        </w:tc>
        <w:tc>
          <w:tcPr>
            <w:tcW w:w="1760" w:type="dxa"/>
            <w:vAlign w:val="bottom"/>
            <w:gridSpan w:val="2"/>
          </w:tcPr>
          <w:p>
            <w:pPr>
              <w:jc w:val="center"/>
              <w:ind w:left="532"/>
              <w:spacing w:after="0"/>
              <w:rPr>
                <w:sz w:val="20"/>
                <w:szCs w:val="20"/>
                <w:color w:val="auto"/>
              </w:rPr>
            </w:pPr>
            <w:r>
              <w:rPr>
                <w:rFonts w:ascii="Arial" w:cs="Arial" w:eastAsia="Arial" w:hAnsi="Arial"/>
                <w:sz w:val="22"/>
                <w:szCs w:val="22"/>
                <w:color w:val="auto"/>
                <w:w w:val="88"/>
              </w:rPr>
              <w:t>$132,377.54</w:t>
            </w:r>
          </w:p>
        </w:tc>
        <w:tc>
          <w:tcPr>
            <w:tcW w:w="540" w:type="dxa"/>
            <w:vAlign w:val="bottom"/>
          </w:tcPr>
          <w:p>
            <w:pPr>
              <w:spacing w:after="0"/>
              <w:rPr>
                <w:sz w:val="23"/>
                <w:szCs w:val="23"/>
                <w:color w:val="auto"/>
              </w:rPr>
            </w:pPr>
          </w:p>
        </w:tc>
        <w:tc>
          <w:tcPr>
            <w:tcW w:w="1860" w:type="dxa"/>
            <w:vAlign w:val="bottom"/>
            <w:gridSpan w:val="2"/>
          </w:tcPr>
          <w:p>
            <w:pPr>
              <w:jc w:val="center"/>
              <w:ind w:left="472"/>
              <w:spacing w:after="0"/>
              <w:rPr>
                <w:sz w:val="20"/>
                <w:szCs w:val="20"/>
                <w:color w:val="auto"/>
              </w:rPr>
            </w:pPr>
            <w:r>
              <w:rPr>
                <w:rFonts w:ascii="Arial" w:cs="Arial" w:eastAsia="Arial" w:hAnsi="Arial"/>
                <w:sz w:val="22"/>
                <w:szCs w:val="22"/>
                <w:color w:val="auto"/>
                <w:w w:val="87"/>
              </w:rPr>
              <w:t>$8.86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20" w:firstLine="1296"/>
        <w:spacing w:after="0" w:line="24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u w:val="single" w:color="auto"/>
          <w:color w:val="auto"/>
        </w:rPr>
        <w:t>Direct Expenses</w:t>
      </w:r>
      <w:r>
        <w:rPr>
          <w:rFonts w:ascii="Arial" w:cs="Arial" w:eastAsia="Arial" w:hAnsi="Arial"/>
          <w:sz w:val="22"/>
          <w:szCs w:val="22"/>
          <w:color w:val="auto"/>
        </w:rPr>
        <w:t>. Prior to the and during the Extended Term, Tenant shall continue to be obligated to pay Tenant's Share of the Direct Expenses in accordance with the terms of the Lease.</w:t>
      </w:r>
    </w:p>
    <w:p>
      <w:pPr>
        <w:spacing w:after="0" w:line="19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9"/>
          <w:szCs w:val="19"/>
          <w:color w:val="auto"/>
        </w:rPr>
        <w:t>4.</w:t>
      </w:r>
      <w:r>
        <w:rPr>
          <w:sz w:val="20"/>
          <w:szCs w:val="20"/>
          <w:color w:val="auto"/>
        </w:rPr>
        <w:tab/>
      </w:r>
      <w:r>
        <w:rPr>
          <w:rFonts w:ascii="Arial" w:cs="Arial" w:eastAsia="Arial" w:hAnsi="Arial"/>
          <w:sz w:val="19"/>
          <w:szCs w:val="19"/>
          <w:b w:val="1"/>
          <w:bCs w:val="1"/>
          <w:u w:val="single" w:color="auto"/>
          <w:color w:val="auto"/>
        </w:rPr>
        <w:t>Notice Address</w:t>
      </w:r>
      <w:r>
        <w:rPr>
          <w:rFonts w:ascii="Arial" w:cs="Arial" w:eastAsia="Arial" w:hAnsi="Arial"/>
          <w:sz w:val="19"/>
          <w:szCs w:val="19"/>
          <w:color w:val="auto"/>
        </w:rPr>
        <w:t>. In Section 10 of the Summary section of the Lease, the second notice address is hereby revised to:</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Novos Law LLP</w:t>
      </w:r>
    </w:p>
    <w:p>
      <w:pPr>
        <w:ind w:left="1300"/>
        <w:spacing w:after="0" w:line="181" w:lineRule="auto"/>
        <w:rPr>
          <w:sz w:val="20"/>
          <w:szCs w:val="20"/>
          <w:color w:val="auto"/>
        </w:rPr>
      </w:pPr>
      <w:r>
        <w:rPr>
          <w:rFonts w:ascii="Arial" w:cs="Arial" w:eastAsia="Arial" w:hAnsi="Arial"/>
          <w:sz w:val="22"/>
          <w:szCs w:val="22"/>
          <w:color w:val="auto"/>
        </w:rPr>
        <w:t>1801 Century Park East, 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1300"/>
        <w:spacing w:after="0" w:line="218" w:lineRule="auto"/>
        <w:rPr>
          <w:sz w:val="20"/>
          <w:szCs w:val="20"/>
          <w:color w:val="auto"/>
        </w:rPr>
      </w:pPr>
      <w:r>
        <w:rPr>
          <w:rFonts w:ascii="Arial" w:cs="Arial" w:eastAsia="Arial" w:hAnsi="Arial"/>
          <w:sz w:val="22"/>
          <w:szCs w:val="22"/>
          <w:color w:val="auto"/>
        </w:rPr>
        <w:t>Los Angeles, CA 90067</w:t>
      </w:r>
    </w:p>
    <w:p>
      <w:pPr>
        <w:ind w:left="1300"/>
        <w:spacing w:after="0"/>
        <w:rPr>
          <w:sz w:val="20"/>
          <w:szCs w:val="20"/>
          <w:color w:val="auto"/>
        </w:rPr>
      </w:pPr>
      <w:r>
        <w:rPr>
          <w:rFonts w:ascii="Arial" w:cs="Arial" w:eastAsia="Arial" w:hAnsi="Arial"/>
          <w:sz w:val="22"/>
          <w:szCs w:val="22"/>
          <w:color w:val="auto"/>
        </w:rPr>
        <w:t>Attention: Jordan Fishman</w:t>
      </w:r>
    </w:p>
    <w:p>
      <w:pPr>
        <w:spacing w:after="0" w:line="196" w:lineRule="exact"/>
        <w:rPr>
          <w:sz w:val="20"/>
          <w:szCs w:val="20"/>
          <w:color w:val="auto"/>
        </w:rPr>
      </w:pPr>
    </w:p>
    <w:p>
      <w:pPr>
        <w:jc w:val="both"/>
        <w:ind w:firstLine="656"/>
        <w:spacing w:after="0" w:line="260" w:lineRule="auto"/>
        <w:tabs>
          <w:tab w:leader="none" w:pos="1039" w:val="left"/>
        </w:tabs>
        <w:numPr>
          <w:ilvl w:val="0"/>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Broker</w:t>
      </w:r>
      <w:r>
        <w:rPr>
          <w:rFonts w:ascii="Arial" w:cs="Arial" w:eastAsia="Arial" w:hAnsi="Arial"/>
          <w:sz w:val="19"/>
          <w:szCs w:val="19"/>
          <w:color w:val="auto"/>
        </w:rPr>
        <w:t>. Landlord and Tenant hereby warrant to each other that they have had no dealings with any real estate broker</w:t>
      </w:r>
      <w:r>
        <w:rPr>
          <w:rFonts w:ascii="Arial" w:cs="Arial" w:eastAsia="Arial" w:hAnsi="Arial"/>
          <w:sz w:val="19"/>
          <w:szCs w:val="19"/>
          <w:b w:val="1"/>
          <w:bCs w:val="1"/>
          <w:color w:val="auto"/>
        </w:rPr>
        <w:t xml:space="preserve"> </w:t>
      </w:r>
      <w:r>
        <w:rPr>
          <w:rFonts w:ascii="Arial" w:cs="Arial" w:eastAsia="Arial" w:hAnsi="Arial"/>
          <w:sz w:val="19"/>
          <w:szCs w:val="19"/>
          <w:color w:val="auto"/>
        </w:rPr>
        <w:t>or agent in connection with the negotiation of this First Amendment other than CBRE, Inc. (the "</w:t>
      </w:r>
      <w:r>
        <w:rPr>
          <w:rFonts w:ascii="Arial" w:cs="Arial" w:eastAsia="Arial" w:hAnsi="Arial"/>
          <w:sz w:val="19"/>
          <w:szCs w:val="19"/>
          <w:b w:val="1"/>
          <w:bCs w:val="1"/>
          <w:color w:val="auto"/>
        </w:rPr>
        <w:t>Broker</w:t>
      </w:r>
      <w:r>
        <w:rPr>
          <w:rFonts w:ascii="Arial" w:cs="Arial" w:eastAsia="Arial" w:hAnsi="Arial"/>
          <w:sz w:val="19"/>
          <w:szCs w:val="19"/>
          <w:color w:val="auto"/>
        </w:rPr>
        <w:t xml:space="preserve">"), and that they know of no other real estate broker or agent who is entitled to a commission in connection with this First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 occurring by, through, or under the indemnifying party. Landlord shall pay any commission owed to the Broker in connection with this First Amendment pursuant to a separate agreement. The terms of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survive the expiration or earlier termination of the term of the Lease, as hereby amended.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2" w:lineRule="exact"/>
        <w:rPr>
          <w:sz w:val="20"/>
          <w:szCs w:val="20"/>
          <w:color w:val="auto"/>
        </w:rPr>
      </w:pPr>
    </w:p>
    <w:p>
      <w:pPr>
        <w:jc w:val="both"/>
        <w:ind w:left="-656" w:firstLine="656"/>
        <w:spacing w:after="0" w:line="229" w:lineRule="auto"/>
        <w:tabs>
          <w:tab w:leader="none" w:pos="505" w:val="left"/>
        </w:tabs>
        <w:numPr>
          <w:ilvl w:val="0"/>
          <w:numId w:val="77"/>
        </w:numPr>
        <w:rPr>
          <w:rFonts w:ascii="Arial" w:cs="Arial" w:eastAsia="Arial" w:hAnsi="Arial"/>
          <w:sz w:val="21"/>
          <w:szCs w:val="21"/>
          <w:color w:val="auto"/>
        </w:rPr>
      </w:pPr>
      <w:r>
        <w:rPr>
          <w:rFonts w:ascii="Arial" w:cs="Arial" w:eastAsia="Arial" w:hAnsi="Arial"/>
          <w:sz w:val="21"/>
          <w:szCs w:val="21"/>
          <w:b w:val="1"/>
          <w:bCs w:val="1"/>
          <w:u w:val="single" w:color="auto"/>
          <w:color w:val="auto"/>
        </w:rPr>
        <w:t>Judicial Reference</w:t>
      </w:r>
      <w:r>
        <w:rPr>
          <w:rFonts w:ascii="Arial" w:cs="Arial" w:eastAsia="Arial" w:hAnsi="Arial"/>
          <w:sz w:val="21"/>
          <w:szCs w:val="21"/>
          <w:color w:val="auto"/>
        </w:rPr>
        <w:t>. NOTWITHSTANDING ANY PROVISION TO THE CONTRARY CONTAINED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LEASE, THE PARTIES HEREBY WAIVE, TO THE FULLEST EXTENT PERMITTED BY APPLICABLE LAW, THE RIGHT TO TRIAL BY JURY IN ANY LITIGATION ARISING OUT OF OR RELATING TO THE LEASE. IF THE JURY WAIVER PROVISIONS OF THE LEASE ARE NOT ENFORCEABLE UNDER CALIFORNIA LAW, THEN THE FOLLOWING PROVISIONS SHALL APPLY. IT IS THE DESIRE AND INTENTION OF THE PARTIES TO AGREE UPON A MECHANISM AND PROCEDURE UNDER WHICH CONTROVERSIES AND DISPUTES ARISING OUT OF THE LEASE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 MATTERS WHATSOEVER ARISING OUT OF OR IN ANY WAY CONNECTED WITH THE LEASE, TENANT'S USE OR OCCUPANCY OF THE PREMISES AND/OR ANY CLAIM OF INJURY OR DAMAGE, WHETHER SOUNDING IN CONTRACT, TORT, OR OTHERWISE, SHALL BE HEARD AND RESOLVED BY A REFEREE UNDER THE PROVISIONS OF THE CALIFORNIA CODE OF CIVIL PROCEDURE, SECTIONS 638 — 645.1, INCLUSIVE (AS SAME MAY BE AMENDED, OR ANY SUCCESSOR STATUTE(S) THERETO) (THE "</w:t>
      </w:r>
      <w:r>
        <w:rPr>
          <w:rFonts w:ascii="Arial" w:cs="Arial" w:eastAsia="Arial" w:hAnsi="Arial"/>
          <w:sz w:val="21"/>
          <w:szCs w:val="21"/>
          <w:b w:val="1"/>
          <w:bCs w:val="1"/>
          <w:color w:val="auto"/>
        </w:rPr>
        <w:t>REFEREE SECTIONS</w:t>
      </w:r>
      <w:r>
        <w:rPr>
          <w:rFonts w:ascii="Arial" w:cs="Arial" w:eastAsia="Arial" w:hAnsi="Arial"/>
          <w:sz w:val="21"/>
          <w:szCs w:val="21"/>
          <w:color w:val="auto"/>
        </w:rPr>
        <w:t>").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HOWEVER, THAT ALLOCATION OF THE COSTS AND FEES, INCLUDING ANY INITIATION FEE, OF SUCH PROCEEDING SHALL BE ULTIMATELY DETERMINED IN ACCORDANCE WITH THE LEASE. THE VENUE OF THE PROCEEDINGS SHALL BE IN THE COUNTY IN WHICH THE PREMISES ARE LOCATED. WITHIN TEN (10) DAYS OF RECEIPT BY ANY PARTY OF A WRITTEN REQUEST TO RESOLVE ANY DISPUTE OR CONTROVERSY PURSUANT TO THIS SECTION 7, THE PARTIES SHALL AGREE UPON A SINGLE REFEREE WHO SHALL TRY ALL ISSUES, WHETHER OF FACT OR LAW, AND REPORT A FINDING AND JUDGMENT ON SUCH ISSUES AS REQUIRED BY THE REFEREE SECTIONS. IF THE PARTIES ARE UNABLE TO AGREE UPON A REFEREE WITHIN SUCH TEN (10) 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JAMS, THE AMERICAN ARBITRATION ASSOCIATION OR SIMILAR MEDIATION/ARBITRATION ENTITY.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976" w:top="1440" w:right="339" w:bottom="1440" w:gutter="0" w:footer="0" w:header="0"/>
        </w:sectPr>
      </w:pPr>
    </w:p>
    <w:bookmarkStart w:id="147" w:name="page148"/>
    <w:bookmarkEnd w:id="147"/>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FOR ANY CAUSE OF ACTION THAT IS BEFORE THE REFEREE, INCLUDING AN AWARD OF ATTORNEYS' FEES AND COSTS IN ACCORDANCE WITH THE LEASE. THE REFEREE SHALL NOT, HOWEVER, HAVE THE POWER TO AWARD PUNITIVE DAMAGES, NOR ANY OTHER DAMAGES WHICH ARE NOT PERMITTED BY THE EXPRESS PROVISIONS OF THE LEASE, AND THE PARTIES HEREBY WAIVE ANY RIGHT TO RECOVER ANY SUCH DAMAGES. THE PARTIES SHALL BE ENTITLED TO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 THE DISPUTE OR CONTROVERSY IN ACCORDANCE WITH THE TERMS OF THIS SECTION 7. IN THIS REGARD, THE PARTIES AGREE THAT THE PARTIES AND THE REFEREE SHALL USE BEST EFFORTS TO ENSURE THAT (A) DISCOVERY BE CONDUCTED FOR A PERIOD NO LONGER THAN SIX (6) MONTHS FROM THE DATE THE REFEREE IS APPOINTED, EXCLUDING MOTIONS REGARDING DISCOVERY, AND</w:t>
      </w:r>
    </w:p>
    <w:p>
      <w:pPr>
        <w:spacing w:after="0" w:line="220" w:lineRule="exact"/>
        <w:rPr>
          <w:sz w:val="20"/>
          <w:szCs w:val="20"/>
          <w:color w:val="auto"/>
        </w:rPr>
      </w:pPr>
    </w:p>
    <w:p>
      <w:pPr>
        <w:jc w:val="both"/>
        <w:ind w:firstLine="8"/>
        <w:spacing w:after="0" w:line="255" w:lineRule="auto"/>
        <w:tabs>
          <w:tab w:leader="none" w:pos="417" w:val="left"/>
        </w:tabs>
        <w:numPr>
          <w:ilvl w:val="0"/>
          <w:numId w:val="78"/>
        </w:numPr>
        <w:rPr>
          <w:rFonts w:ascii="Arial" w:cs="Arial" w:eastAsia="Arial" w:hAnsi="Arial"/>
          <w:sz w:val="19"/>
          <w:szCs w:val="19"/>
          <w:color w:val="auto"/>
        </w:rPr>
      </w:pPr>
      <w:r>
        <w:rPr>
          <w:rFonts w:ascii="Arial" w:cs="Arial" w:eastAsia="Arial" w:hAnsi="Arial"/>
          <w:sz w:val="19"/>
          <w:szCs w:val="19"/>
          <w:color w:val="auto"/>
        </w:rPr>
        <w:t>A TRIAL DATE BE SET WITHIN NINE (9) MONTHS OF THE DATE THE REFEREE IS APPOINTED. 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SECTION 7 SHALL PREJUDICE THE RIGHT OF ANY PARTY TO OBTAIN PROVISIONAL RELIEF OR OTHER EQUITABLE REMEDIES FROM A COURT OF COMPETENT JURISDICTION AS SHALL OTHERWISE BE AVAILABLE UNDER THE CODE OF CIVIL PROCEDURE AND/OR APPLICABLE COURT RULES.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200" w:firstLine="656"/>
        <w:spacing w:after="0" w:line="254" w:lineRule="auto"/>
        <w:tabs>
          <w:tab w:leader="none" w:pos="1026" w:val="left"/>
        </w:tabs>
        <w:numPr>
          <w:ilvl w:val="1"/>
          <w:numId w:val="78"/>
        </w:numPr>
        <w:rPr>
          <w:rFonts w:ascii="Arial" w:cs="Arial" w:eastAsia="Arial" w:hAnsi="Arial"/>
          <w:sz w:val="21"/>
          <w:szCs w:val="21"/>
          <w:color w:val="auto"/>
        </w:rPr>
      </w:pPr>
      <w:r>
        <w:rPr>
          <w:rFonts w:ascii="Arial" w:cs="Arial" w:eastAsia="Arial" w:hAnsi="Arial"/>
          <w:sz w:val="21"/>
          <w:szCs w:val="21"/>
          <w:b w:val="1"/>
          <w:bCs w:val="1"/>
          <w:u w:val="single" w:color="auto"/>
          <w:color w:val="auto"/>
        </w:rPr>
        <w:t>Signatures</w:t>
      </w:r>
      <w:r>
        <w:rPr>
          <w:rFonts w:ascii="Arial" w:cs="Arial" w:eastAsia="Arial" w:hAnsi="Arial"/>
          <w:sz w:val="21"/>
          <w:szCs w:val="21"/>
          <w:color w:val="auto"/>
        </w:rPr>
        <w:t>. The parties hereto consent and agree that this First Amendment may be signed and/or transmitted by</w:t>
      </w:r>
      <w:r>
        <w:rPr>
          <w:rFonts w:ascii="Arial" w:cs="Arial" w:eastAsia="Arial" w:hAnsi="Arial"/>
          <w:sz w:val="21"/>
          <w:szCs w:val="21"/>
          <w:b w:val="1"/>
          <w:bCs w:val="1"/>
          <w:color w:val="auto"/>
        </w:rPr>
        <w:t xml:space="preserve"> </w:t>
      </w:r>
      <w:r>
        <w:rPr>
          <w:rFonts w:ascii="Arial" w:cs="Arial" w:eastAsia="Arial" w:hAnsi="Arial"/>
          <w:sz w:val="21"/>
          <w:szCs w:val="21"/>
          <w:color w:val="auto"/>
        </w:rPr>
        <w:t>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8" w:lineRule="exact"/>
        <w:rPr>
          <w:sz w:val="20"/>
          <w:szCs w:val="20"/>
          <w:color w:val="auto"/>
        </w:rPr>
      </w:pPr>
    </w:p>
    <w:p>
      <w:pPr>
        <w:jc w:val="both"/>
        <w:ind w:right="40"/>
        <w:spacing w:after="0" w:line="257" w:lineRule="auto"/>
        <w:rPr>
          <w:sz w:val="20"/>
          <w:szCs w:val="20"/>
          <w:color w:val="auto"/>
        </w:rPr>
      </w:pPr>
      <w:r>
        <w:rPr>
          <w:rFonts w:ascii="Arial" w:cs="Arial" w:eastAsia="Arial" w:hAnsi="Arial"/>
          <w:sz w:val="21"/>
          <w:szCs w:val="21"/>
          <w:color w:val="auto"/>
        </w:rPr>
        <w:t>that (1) to the extent a party signs this First Amendment using electronic signature technology, by clicking “SIGN”, such party is signing this First Amendment electronically, and (2) the electronic signatures appearing on this First Amendment shall be treated, for purposes of validity, enforceability and admissibility, the same as handwritten signatures.</w:t>
      </w:r>
    </w:p>
    <w:p>
      <w:pPr>
        <w:spacing w:after="0" w:line="190" w:lineRule="exact"/>
        <w:rPr>
          <w:sz w:val="20"/>
          <w:szCs w:val="20"/>
          <w:color w:val="auto"/>
        </w:rPr>
      </w:pPr>
    </w:p>
    <w:p>
      <w:pPr>
        <w:jc w:val="both"/>
        <w:ind w:firstLine="656"/>
        <w:spacing w:after="0" w:line="233" w:lineRule="auto"/>
        <w:tabs>
          <w:tab w:leader="none" w:pos="1147" w:val="left"/>
        </w:tabs>
        <w:numPr>
          <w:ilvl w:val="0"/>
          <w:numId w:val="79"/>
        </w:numPr>
        <w:rPr>
          <w:rFonts w:ascii="Arial" w:cs="Arial" w:eastAsia="Arial" w:hAnsi="Arial"/>
          <w:sz w:val="22"/>
          <w:szCs w:val="22"/>
          <w:color w:val="auto"/>
        </w:rPr>
      </w:pPr>
      <w:r>
        <w:rPr>
          <w:rFonts w:ascii="Arial" w:cs="Arial" w:eastAsia="Arial" w:hAnsi="Arial"/>
          <w:sz w:val="22"/>
          <w:szCs w:val="22"/>
          <w:b w:val="1"/>
          <w:bCs w:val="1"/>
          <w:u w:val="single" w:color="auto"/>
          <w:color w:val="auto"/>
        </w:rPr>
        <w:t>California Required Disclosures</w:t>
      </w:r>
      <w:r>
        <w:rPr>
          <w:rFonts w:ascii="Arial" w:cs="Arial" w:eastAsia="Arial" w:hAnsi="Arial"/>
          <w:sz w:val="22"/>
          <w:szCs w:val="22"/>
          <w:color w:val="auto"/>
        </w:rPr>
        <w:t>. For purposes of Section 1938 of the California Civil Code, Landlord hereby</w:t>
      </w:r>
      <w:r>
        <w:rPr>
          <w:rFonts w:ascii="Arial" w:cs="Arial" w:eastAsia="Arial" w:hAnsi="Arial"/>
          <w:sz w:val="22"/>
          <w:szCs w:val="22"/>
          <w:b w:val="1"/>
          <w:bCs w:val="1"/>
          <w:color w:val="auto"/>
        </w:rPr>
        <w:t xml:space="preserve"> </w:t>
      </w:r>
      <w:r>
        <w:rPr>
          <w:rFonts w:ascii="Arial" w:cs="Arial" w:eastAsia="Arial" w:hAnsi="Arial"/>
          <w:sz w:val="22"/>
          <w:szCs w:val="22"/>
          <w:color w:val="auto"/>
        </w:rPr>
        <w:t>discloses to Tenant, and Tenant hereby acknowledges that the Common Areas and the Premises have not undergone inspection by a Certified Access Specialist (CASp).</w:t>
      </w:r>
    </w:p>
    <w:p>
      <w:pPr>
        <w:spacing w:after="0" w:line="194" w:lineRule="exact"/>
        <w:rPr>
          <w:rFonts w:ascii="Arial" w:cs="Arial" w:eastAsia="Arial" w:hAnsi="Arial"/>
          <w:sz w:val="22"/>
          <w:szCs w:val="22"/>
          <w:color w:val="auto"/>
        </w:rPr>
      </w:pPr>
    </w:p>
    <w:p>
      <w:pPr>
        <w:jc w:val="both"/>
        <w:ind w:right="20" w:firstLine="656"/>
        <w:spacing w:after="0" w:line="233" w:lineRule="auto"/>
        <w:tabs>
          <w:tab w:leader="none" w:pos="1080" w:val="left"/>
        </w:tabs>
        <w:numPr>
          <w:ilvl w:val="0"/>
          <w:numId w:val="79"/>
        </w:numPr>
        <w:rPr>
          <w:rFonts w:ascii="Arial" w:cs="Arial" w:eastAsia="Arial" w:hAnsi="Arial"/>
          <w:sz w:val="22"/>
          <w:szCs w:val="22"/>
          <w:color w:val="auto"/>
        </w:rPr>
      </w:pPr>
      <w:r>
        <w:rPr>
          <w:rFonts w:ascii="Arial" w:cs="Arial" w:eastAsia="Arial" w:hAnsi="Arial"/>
          <w:sz w:val="22"/>
          <w:szCs w:val="22"/>
          <w:b w:val="1"/>
          <w:bCs w:val="1"/>
          <w:u w:val="single" w:color="auto"/>
          <w:color w:val="auto"/>
        </w:rPr>
        <w:t>No Further Modification; Conflict</w:t>
      </w:r>
      <w:r>
        <w:rPr>
          <w:rFonts w:ascii="Arial" w:cs="Arial" w:eastAsia="Arial" w:hAnsi="Arial"/>
          <w:sz w:val="22"/>
          <w:szCs w:val="22"/>
          <w:color w:val="auto"/>
        </w:rPr>
        <w:t>. Except as specifically set forth in this First Amendment, all of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Lease shall remain unmodified and in full force and effect. In the event of a conflict between the terms of the Lease and this First Amendment, the terms of this First Amendment shall prevail.</w:t>
      </w:r>
    </w:p>
    <w:p>
      <w:pPr>
        <w:spacing w:after="0" w:line="195"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[SIGNATURES FOLLOW ON NEXT PAGE]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this First Amendment has been executed as of the day and year first above written.</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260" w:type="dxa"/>
            <w:vAlign w:val="bottom"/>
          </w:tcPr>
          <w:p>
            <w:pPr>
              <w:spacing w:after="0"/>
              <w:rPr>
                <w:sz w:val="20"/>
                <w:szCs w:val="20"/>
                <w:color w:val="auto"/>
              </w:rPr>
            </w:pPr>
            <w:r>
              <w:rPr>
                <w:rFonts w:ascii="Arial" w:cs="Arial" w:eastAsia="Arial" w:hAnsi="Arial"/>
                <w:sz w:val="22"/>
                <w:szCs w:val="22"/>
                <w:color w:val="auto"/>
                <w:w w:val="98"/>
              </w:rPr>
              <w:t>LANDLORD:</w:t>
            </w:r>
          </w:p>
        </w:tc>
        <w:tc>
          <w:tcPr>
            <w:tcW w:w="526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2"/>
                <w:szCs w:val="22"/>
                <w:color w:val="auto"/>
              </w:rPr>
              <w:t>TENANT:</w:t>
            </w:r>
          </w:p>
        </w:tc>
      </w:tr>
      <w:tr>
        <w:trPr>
          <w:trHeight w:val="20"/>
        </w:trPr>
        <w:tc>
          <w:tcPr>
            <w:tcW w:w="12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578"/>
        </w:trPr>
        <w:tc>
          <w:tcPr>
            <w:tcW w:w="6520" w:type="dxa"/>
            <w:vAlign w:val="bottom"/>
            <w:gridSpan w:val="2"/>
          </w:tcPr>
          <w:p>
            <w:pPr>
              <w:spacing w:after="0"/>
              <w:rPr>
                <w:sz w:val="20"/>
                <w:szCs w:val="20"/>
                <w:color w:val="auto"/>
              </w:rPr>
            </w:pPr>
            <w:r>
              <w:rPr>
                <w:rFonts w:ascii="Arial" w:cs="Arial" w:eastAsia="Arial" w:hAnsi="Arial"/>
                <w:sz w:val="20"/>
                <w:szCs w:val="20"/>
                <w:b w:val="1"/>
                <w:bCs w:val="1"/>
                <w:color w:val="auto"/>
              </w:rPr>
              <w:t>HEALTHPEAK PROPERTIES, INC.,</w:t>
            </w: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w w:val="99"/>
              </w:rPr>
              <w:t>ALLOGENE THERAPEUTICS, INC.,</w:t>
            </w:r>
          </w:p>
        </w:tc>
      </w:tr>
    </w:tbl>
    <w:p>
      <w:pPr>
        <w:spacing w:after="0" w:line="33" w:lineRule="exact"/>
        <w:rPr>
          <w:sz w:val="20"/>
          <w:szCs w:val="20"/>
          <w:color w:val="auto"/>
        </w:rPr>
      </w:pPr>
    </w:p>
    <w:p>
      <w:pPr>
        <w:sectPr>
          <w:pgSz w:w="11900" w:h="16838" w:orient="portrait"/>
          <w:cols w:equalWidth="0" w:num="1">
            <w:col w:w="10139"/>
          </w:cols>
          <w:pgMar w:left="320" w:top="1440" w:right="1440" w:bottom="1440" w:gutter="0" w:footer="0" w:header="0"/>
        </w:sectPr>
      </w:pPr>
    </w:p>
    <w:p>
      <w:pPr>
        <w:ind w:left="20"/>
        <w:spacing w:after="0"/>
        <w:rPr>
          <w:sz w:val="20"/>
          <w:szCs w:val="20"/>
          <w:color w:val="auto"/>
        </w:rPr>
      </w:pPr>
      <w:r>
        <w:rPr>
          <w:rFonts w:ascii="Arial" w:cs="Arial" w:eastAsia="Arial" w:hAnsi="Arial"/>
          <w:sz w:val="20"/>
          <w:szCs w:val="20"/>
          <w:color w:val="auto"/>
        </w:rPr>
        <w:t>a Maryland corporation</w:t>
      </w:r>
    </w:p>
    <w:p>
      <w:pPr>
        <w:spacing w:after="0" w:line="324"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i w:val="1"/>
          <w:iCs w:val="1"/>
          <w:color w:val="auto"/>
        </w:rPr>
        <w:t>/s/ Scott Bohn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27305</wp:posOffset>
            </wp:positionV>
            <wp:extent cx="20656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Scott Bohn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4174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47"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Print Name</w:t>
      </w:r>
    </w:p>
    <w:p>
      <w:pPr>
        <w:spacing w:after="0" w:line="20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20"/>
          <w:szCs w:val="20"/>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27305</wp:posOffset>
            </wp:positionV>
            <wp:extent cx="20656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a Delaware corporation</w:t>
      </w:r>
    </w:p>
    <w:p>
      <w:pPr>
        <w:spacing w:after="0" w:line="324"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i w:val="1"/>
          <w:iCs w:val="1"/>
          <w:color w:val="auto"/>
        </w:rPr>
        <w:t>/s/ David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27305</wp:posOffset>
            </wp:positionV>
            <wp:extent cx="20656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7" w:lineRule="exact"/>
        <w:rPr>
          <w:sz w:val="20"/>
          <w:szCs w:val="20"/>
          <w:color w:val="auto"/>
        </w:rPr>
      </w:pPr>
    </w:p>
    <w:p>
      <w:pPr>
        <w:ind w:left="520"/>
        <w:spacing w:after="0"/>
        <w:rPr>
          <w:sz w:val="20"/>
          <w:szCs w:val="20"/>
          <w:color w:val="auto"/>
        </w:rPr>
      </w:pPr>
      <w:r>
        <w:rPr>
          <w:rFonts w:ascii="Arial" w:cs="Arial" w:eastAsia="Arial" w:hAnsi="Arial"/>
          <w:sz w:val="20"/>
          <w:szCs w:val="20"/>
          <w:color w:val="auto"/>
        </w:rPr>
        <w:t>David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27305</wp:posOffset>
            </wp:positionV>
            <wp:extent cx="24003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47"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Print Name</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Its:</w:t>
        <w:tab/>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27305</wp:posOffset>
            </wp:positionV>
            <wp:extent cx="20656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04"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i w:val="1"/>
          <w:iCs w:val="1"/>
          <w:color w:val="auto"/>
        </w:rPr>
        <w:t>/s/ Eric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27305</wp:posOffset>
            </wp:positionV>
            <wp:extent cx="20656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7" w:lineRule="exact"/>
        <w:rPr>
          <w:sz w:val="20"/>
          <w:szCs w:val="20"/>
          <w:color w:val="auto"/>
        </w:rPr>
      </w:pPr>
    </w:p>
    <w:p>
      <w:pPr>
        <w:ind w:left="520"/>
        <w:spacing w:after="0"/>
        <w:rPr>
          <w:sz w:val="20"/>
          <w:szCs w:val="20"/>
          <w:color w:val="auto"/>
        </w:rPr>
      </w:pPr>
      <w:r>
        <w:rPr>
          <w:rFonts w:ascii="Arial" w:cs="Arial" w:eastAsia="Arial" w:hAnsi="Arial"/>
          <w:sz w:val="20"/>
          <w:szCs w:val="20"/>
          <w:color w:val="auto"/>
        </w:rPr>
        <w:t>Eric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27305</wp:posOffset>
            </wp:positionV>
            <wp:extent cx="24003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47" w:lineRule="exact"/>
        <w:rPr>
          <w:sz w:val="20"/>
          <w:szCs w:val="20"/>
          <w:color w:val="auto"/>
        </w:rPr>
      </w:pPr>
    </w:p>
    <w:p>
      <w:pPr>
        <w:jc w:val="right"/>
        <w:ind w:right="1019"/>
        <w:spacing w:after="0"/>
        <w:rPr>
          <w:sz w:val="20"/>
          <w:szCs w:val="20"/>
          <w:color w:val="auto"/>
        </w:rPr>
      </w:pPr>
      <w:r>
        <w:rPr>
          <w:rFonts w:ascii="Arial" w:cs="Arial" w:eastAsia="Arial" w:hAnsi="Arial"/>
          <w:sz w:val="20"/>
          <w:szCs w:val="20"/>
          <w:color w:val="auto"/>
        </w:rPr>
        <w:t>Print Name</w:t>
      </w:r>
    </w:p>
    <w:p>
      <w:pPr>
        <w:spacing w:after="0" w:line="162"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Its:</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27305</wp:posOffset>
            </wp:positionV>
            <wp:extent cx="20656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359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139"/>
          </w:cols>
          <w:pgMar w:left="320" w:top="1440" w:right="1440"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right="160" w:hanging="328"/>
        <w:spacing w:after="0" w:line="228" w:lineRule="auto"/>
        <w:tabs>
          <w:tab w:leader="none" w:pos="6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Registration Statements (Forms S-8 Nos. 333-227965, 333-230164, 333-236701 and 333-253530) Amended and Restated 2018 Equity Incentive Plan and 2018 Employee Stock Purchase Plan of Allogene Therapeutics, Inc., and</w:t>
      </w:r>
    </w:p>
    <w:p>
      <w:pPr>
        <w:ind w:left="640" w:hanging="308"/>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Registration Statement (Form S-3 No. 333-234516) of Allogene Therapeutics, Inc.;</w:t>
      </w:r>
    </w:p>
    <w:p>
      <w:pPr>
        <w:spacing w:after="0" w:line="2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of our reports dated February 23, 2022, with respect to the consolidated financial statements of Allogene Therapeutics, Inc. and the effectiveness of internal control over financial reporting of Allogene Therapeutics, Inc. included in this Annual Report (Form 10-K) of Allogene Therapeutics, Inc. for the year ended December 31, 2021.</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240"/>
          </w:cols>
          <w:pgMar w:left="320" w:top="1417"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Chang, M.D., Ph.D., certify that:</w:t>
      </w:r>
    </w:p>
    <w:p>
      <w:pPr>
        <w:spacing w:after="0" w:line="225"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Allogene Therapeutics,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300" w:hanging="652"/>
        <w:spacing w:after="0" w:line="291"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660" w:right="380" w:hanging="328"/>
        <w:spacing w:after="0" w:line="263" w:lineRule="auto"/>
        <w:tabs>
          <w:tab w:leader="none" w:pos="65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297" w:val="left"/>
        </w:tabs>
        <w:numPr>
          <w:ilvl w:val="2"/>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294"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720" w:val="left"/>
          <w:tab w:leader="none" w:pos="632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Chang,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Chang, M.D., Ph.D.</w:t>
      </w:r>
    </w:p>
    <w:p>
      <w:pPr>
        <w:ind w:left="6200"/>
        <w:spacing w:after="0" w:line="203" w:lineRule="auto"/>
        <w:rPr>
          <w:sz w:val="20"/>
          <w:szCs w:val="20"/>
          <w:color w:val="auto"/>
        </w:rPr>
      </w:pPr>
      <w:r>
        <w:rPr>
          <w:rFonts w:ascii="Arial" w:cs="Arial" w:eastAsia="Arial" w:hAnsi="Arial"/>
          <w:sz w:val="18"/>
          <w:szCs w:val="18"/>
          <w:color w:val="auto"/>
        </w:rPr>
        <w:t>President and Chief Executive Officer</w:t>
      </w: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07"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Schmidt, Ph.D., certify that:</w:t>
      </w:r>
    </w:p>
    <w:p>
      <w:pPr>
        <w:spacing w:after="0" w:line="225"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Allogene Therapeutics;</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300" w:hanging="652"/>
        <w:spacing w:after="0" w:line="291"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660" w:right="380" w:hanging="328"/>
        <w:spacing w:after="0" w:line="263" w:lineRule="auto"/>
        <w:tabs>
          <w:tab w:leader="none" w:pos="6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297" w:val="left"/>
        </w:tabs>
        <w:numPr>
          <w:ilvl w:val="2"/>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294" w:val="left"/>
        </w:tabs>
        <w:numPr>
          <w:ilvl w:val="2"/>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720" w:val="left"/>
          <w:tab w:leader="none" w:pos="626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Schmidt,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Eric Schmidt, Ph.D.</w:t>
      </w:r>
    </w:p>
    <w:p>
      <w:pPr>
        <w:ind w:left="6200"/>
        <w:spacing w:after="0" w:line="203" w:lineRule="auto"/>
        <w:rPr>
          <w:sz w:val="20"/>
          <w:szCs w:val="20"/>
          <w:color w:val="auto"/>
        </w:rPr>
      </w:pPr>
      <w:r>
        <w:rPr>
          <w:rFonts w:ascii="Arial" w:cs="Arial" w:eastAsia="Arial" w:hAnsi="Arial"/>
          <w:sz w:val="18"/>
          <w:szCs w:val="18"/>
          <w:color w:val="auto"/>
        </w:rPr>
        <w:t>Chief Financial Officer</w:t>
      </w: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107"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connection with the Annual Report of Allogene Therapeutics, Inc. (the “Company”) on Form 10-K for the fiscal year ended December 31, 2021, to which this Certification is attached as Exhibit 32.1, as filed with the Securities and Exchange Commission on the date hereof (the “Report”), I, David Chang, M.D., Ph.D., President and Chief Executive Officer of the Company certify, pursuant to 18 U.S.C. § 1350, as adopted pursuant to § 906 of the Sarbanes-Oxley Act of 2002, that:</w:t>
      </w:r>
    </w:p>
    <w:p>
      <w:pPr>
        <w:spacing w:after="0" w:line="187" w:lineRule="exact"/>
        <w:rPr>
          <w:sz w:val="20"/>
          <w:szCs w:val="20"/>
          <w:color w:val="auto"/>
        </w:rPr>
      </w:pPr>
    </w:p>
    <w:p>
      <w:pPr>
        <w:ind w:left="1620" w:right="580" w:hanging="802"/>
        <w:spacing w:after="0" w:line="277" w:lineRule="auto"/>
        <w:tabs>
          <w:tab w:leader="none" w:pos="161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1620" w:right="20" w:hanging="802"/>
        <w:spacing w:after="0" w:line="277" w:lineRule="auto"/>
        <w:tabs>
          <w:tab w:leader="none" w:pos="161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ind w:left="20"/>
        <w:spacing w:after="0"/>
        <w:tabs>
          <w:tab w:leader="none" w:pos="5720" w:val="left"/>
          <w:tab w:leader="none" w:pos="626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Chang,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Chang, M.D., Ph.D.</w:t>
      </w:r>
    </w:p>
    <w:p>
      <w:pPr>
        <w:ind w:left="6200"/>
        <w:spacing w:after="0" w:line="203" w:lineRule="auto"/>
        <w:rPr>
          <w:sz w:val="20"/>
          <w:szCs w:val="20"/>
          <w:color w:val="auto"/>
        </w:rPr>
      </w:pPr>
      <w:r>
        <w:rPr>
          <w:rFonts w:ascii="Arial" w:cs="Arial" w:eastAsia="Arial" w:hAnsi="Arial"/>
          <w:sz w:val="18"/>
          <w:szCs w:val="18"/>
          <w:color w:val="auto"/>
        </w:rPr>
        <w:t>President and Chief Executive Officer</w:t>
      </w:r>
    </w:p>
    <w:p>
      <w:pPr>
        <w:ind w:left="6200"/>
        <w:spacing w:after="0"/>
        <w:rPr>
          <w:sz w:val="20"/>
          <w:szCs w:val="20"/>
          <w:color w:val="auto"/>
        </w:rPr>
      </w:pPr>
      <w:r>
        <w:rPr>
          <w:rFonts w:ascii="Arial" w:cs="Arial" w:eastAsia="Arial" w:hAnsi="Arial"/>
          <w:sz w:val="18"/>
          <w:szCs w:val="18"/>
          <w:color w:val="auto"/>
        </w:rPr>
        <w:t>(Principal Executive Officer)</w:t>
      </w:r>
    </w:p>
    <w:p>
      <w:pPr>
        <w:spacing w:after="0" w:line="196"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Allogene Therapeutics, Inc.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1107"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810"/>
        <w:spacing w:after="0" w:line="259" w:lineRule="auto"/>
        <w:rPr>
          <w:sz w:val="20"/>
          <w:szCs w:val="20"/>
          <w:color w:val="auto"/>
        </w:rPr>
      </w:pPr>
      <w:r>
        <w:rPr>
          <w:rFonts w:ascii="Arial" w:cs="Arial" w:eastAsia="Arial" w:hAnsi="Arial"/>
          <w:sz w:val="18"/>
          <w:szCs w:val="18"/>
          <w:color w:val="auto"/>
        </w:rPr>
        <w:t>In connection with the Annual Report of Allogene Therapeutics, Inc. (the “Company”) on Form 10-K for the fiscal year ended December 31, 2021, to which this Certification is attached as Exhibit 32.2, as filed with the Securities and Exchange Commission on the date hereof (the “Report”), I, Eric Schmidt, Ph.D., Chief Financial Officer of the Company, certify, pursuant to 18 U.S.C. § 1350, as adopted pursuant to § 906 of the Sarbanes-Oxley Act of 2002, that:</w:t>
      </w:r>
    </w:p>
    <w:p>
      <w:pPr>
        <w:spacing w:after="0" w:line="187" w:lineRule="exact"/>
        <w:rPr>
          <w:sz w:val="20"/>
          <w:szCs w:val="20"/>
          <w:color w:val="auto"/>
        </w:rPr>
      </w:pPr>
    </w:p>
    <w:p>
      <w:pPr>
        <w:ind w:left="1620" w:right="580" w:hanging="802"/>
        <w:spacing w:after="0" w:line="277" w:lineRule="auto"/>
        <w:tabs>
          <w:tab w:leader="none" w:pos="16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1620" w:right="20" w:hanging="802"/>
        <w:spacing w:after="0" w:line="277" w:lineRule="auto"/>
        <w:tabs>
          <w:tab w:leader="none" w:pos="16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ind w:left="20"/>
        <w:spacing w:after="0"/>
        <w:tabs>
          <w:tab w:leader="none" w:pos="5720" w:val="left"/>
          <w:tab w:leader="none" w:pos="626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Schmidt,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Eric Schmidt, Ph.D.</w:t>
      </w:r>
    </w:p>
    <w:p>
      <w:pPr>
        <w:ind w:left="6200"/>
        <w:spacing w:after="0" w:line="203" w:lineRule="auto"/>
        <w:rPr>
          <w:sz w:val="20"/>
          <w:szCs w:val="20"/>
          <w:color w:val="auto"/>
        </w:rPr>
      </w:pPr>
      <w:r>
        <w:rPr>
          <w:rFonts w:ascii="Arial" w:cs="Arial" w:eastAsia="Arial" w:hAnsi="Arial"/>
          <w:sz w:val="18"/>
          <w:szCs w:val="18"/>
          <w:color w:val="auto"/>
        </w:rPr>
        <w:t>Chief Financial Officer</w:t>
      </w: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196"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Allogene Therapeutics,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bullet"/>
      <w:start w:val="1"/>
    </w:lvl>
  </w:abstractNum>
  <w:abstractNum w:abstractNumId="6">
    <w:nsid w:val="7A6D8D3C"/>
    <w:multiLevelType w:val="hybridMultilevel"/>
    <w:lvl w:ilvl="0">
      <w:lvlJc w:val="left"/>
      <w:lvlText w:val="2"/>
      <w:numFmt w:val="bullet"/>
      <w:start w:val="1"/>
    </w:lvl>
  </w:abstractNum>
  <w:abstractNum w:abstractNumId="7">
    <w:nsid w:val="4B588F54"/>
    <w:multiLevelType w:val="hybridMultilevel"/>
    <w:lvl w:ilvl="0">
      <w:lvlJc w:val="left"/>
      <w:lvlText w:val="3"/>
      <w:numFmt w:val="bullet"/>
      <w:start w:val="1"/>
    </w:lvl>
  </w:abstractNum>
  <w:abstractNum w:abstractNumId="8">
    <w:nsid w:val="542289EC"/>
    <w:multiLevelType w:val="hybridMultilevel"/>
    <w:lvl w:ilvl="0">
      <w:lvlJc w:val="left"/>
      <w:lvlText w:val="4"/>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1"/>
      <w:numFmt w:val="bullet"/>
      <w:start w:val="1"/>
    </w:lvl>
  </w:abstractNum>
  <w:abstractNum w:abstractNumId="17">
    <w:nsid w:val="1BA026FA"/>
    <w:multiLevelType w:val="hybridMultilevel"/>
    <w:lvl w:ilvl="0">
      <w:lvlJc w:val="left"/>
      <w:lvlText w:val="2"/>
      <w:numFmt w:val="bullet"/>
      <w:start w:val="1"/>
    </w:lvl>
  </w:abstractNum>
  <w:abstractNum w:abstractNumId="18">
    <w:nsid w:val="79A1DEAA"/>
    <w:multiLevelType w:val="hybridMultilevel"/>
    <w:lvl w:ilvl="0">
      <w:lvlJc w:val="left"/>
      <w:lvlText w:val="3"/>
      <w:numFmt w:val="bullet"/>
      <w:start w:val="1"/>
    </w:lvl>
  </w:abstractNum>
  <w:abstractNum w:abstractNumId="19">
    <w:nsid w:val="75C6C33A"/>
    <w:multiLevelType w:val="hybridMultilevel"/>
    <w:lvl w:ilvl="0">
      <w:lvlJc w:val="left"/>
      <w:lvlText w:val="4"/>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1)"/>
      <w:numFmt w:val="lowerRoman"/>
      <w:start w:val="4"/>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lowerRoman"/>
      <w:start w:val="2"/>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1."/>
      <w:numFmt w:val="upperLetter"/>
      <w:start w:val="1"/>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decimal"/>
      <w:start w:val="2"/>
    </w:lvl>
  </w:abstractNum>
  <w:abstractNum w:abstractNumId="64">
    <w:nsid w:val="540A471C"/>
    <w:multiLevelType w:val="hybridMultilevel"/>
    <w:lvl w:ilvl="0">
      <w:lvlJc w:val="left"/>
      <w:lvlText w:val="%1."/>
      <w:numFmt w:val="decimal"/>
      <w:start w:val="3"/>
    </w:lvl>
  </w:abstractNum>
  <w:abstractNum w:abstractNumId="65">
    <w:nsid w:val="7BD3EE7B"/>
    <w:multiLevelType w:val="hybridMultilevel"/>
    <w:lvl w:ilvl="0">
      <w:lvlJc w:val="left"/>
      <w:lvlText w:val="%1."/>
      <w:numFmt w:val="decimal"/>
      <w:start w:val="4"/>
    </w:lvl>
  </w:abstractNum>
  <w:abstractNum w:abstractNumId="66">
    <w:nsid w:val="51D9C564"/>
    <w:multiLevelType w:val="hybridMultilevel"/>
    <w:lvl w:ilvl="0">
      <w:lvlJc w:val="left"/>
      <w:lvlText w:val="(%1)"/>
      <w:numFmt w:val="lowerLetter"/>
      <w:start w:val="1"/>
    </w:lvl>
  </w:abstractNum>
  <w:abstractNum w:abstractNumId="67">
    <w:nsid w:val="613EFDC5"/>
    <w:multiLevelType w:val="hybridMultilevel"/>
    <w:lvl w:ilvl="0">
      <w:lvlJc w:val="left"/>
      <w:lvlText w:val="%1"/>
      <w:numFmt w:val="lowerRoman"/>
      <w:start w:val="1"/>
    </w:lvl>
    <w:lvl w:ilvl="1">
      <w:lvlJc w:val="left"/>
      <w:lvlText w:val="%2."/>
      <w:numFmt w:val="decimal"/>
      <w:start w:val="5"/>
    </w:lvl>
  </w:abstractNum>
  <w:abstractNum w:abstractNumId="68">
    <w:nsid w:val="BF72B14"/>
    <w:multiLevelType w:val="hybridMultilevel"/>
    <w:lvl w:ilvl="0">
      <w:lvlJc w:val="left"/>
      <w:lvlText w:val="(%1)"/>
      <w:numFmt w:val="lowerRoman"/>
      <w:start w:val="1"/>
    </w:lvl>
    <w:lvl w:ilvl="1">
      <w:lvlJc w:val="left"/>
      <w:lvlText w:val="%2."/>
      <w:numFmt w:val="decimal"/>
      <w:start w:val="6"/>
    </w:lvl>
  </w:abstractNum>
  <w:abstractNum w:abstractNumId="69">
    <w:nsid w:val="11447B73"/>
    <w:multiLevelType w:val="hybridMultilevel"/>
    <w:lvl w:ilvl="0">
      <w:lvlJc w:val="left"/>
      <w:lvlText w:val="%1."/>
      <w:numFmt w:val="decimal"/>
      <w:start w:val="11"/>
    </w:lvl>
  </w:abstractNum>
  <w:abstractNum w:abstractNumId="70">
    <w:nsid w:val="42963E5A"/>
    <w:multiLevelType w:val="hybridMultilevel"/>
    <w:lvl w:ilvl="0">
      <w:lvlJc w:val="left"/>
      <w:lvlText w:val="%1."/>
      <w:numFmt w:val="decimal"/>
      <w:start w:val="14"/>
    </w:lvl>
  </w:abstractNum>
  <w:abstractNum w:abstractNumId="71">
    <w:nsid w:val="A0382C5"/>
    <w:multiLevelType w:val="hybridMultilevel"/>
    <w:lvl w:ilvl="0">
      <w:lvlJc w:val="left"/>
      <w:lvlText w:val="%1."/>
      <w:numFmt w:val="decimal"/>
      <w:start w:val="15"/>
    </w:lvl>
  </w:abstractNum>
  <w:abstractNum w:abstractNumId="72">
    <w:nsid w:val="8F2B15E"/>
    <w:multiLevelType w:val="hybridMultilevel"/>
    <w:lvl w:ilvl="0">
      <w:lvlJc w:val="left"/>
      <w:lvlText w:val="%1."/>
      <w:numFmt w:val="upperLetter"/>
      <w:start w:val="1"/>
    </w:lvl>
  </w:abstractNum>
  <w:abstractNum w:abstractNumId="73">
    <w:nsid w:val="1A32234B"/>
    <w:multiLevelType w:val="hybridMultilevel"/>
    <w:lvl w:ilvl="0">
      <w:lvlJc w:val="left"/>
      <w:lvlText w:val="%1."/>
      <w:numFmt w:val="decimal"/>
      <w:start w:val="1"/>
    </w:lvl>
  </w:abstractNum>
  <w:abstractNum w:abstractNumId="74">
    <w:nsid w:val="3B0FD379"/>
    <w:multiLevelType w:val="hybridMultilevel"/>
    <w:lvl w:ilvl="0">
      <w:lvlJc w:val="left"/>
      <w:lvlText w:val="%1."/>
      <w:numFmt w:val="decimal"/>
      <w:start w:val="3"/>
    </w:lvl>
  </w:abstractNum>
  <w:abstractNum w:abstractNumId="75">
    <w:nsid w:val="68EB2F63"/>
    <w:multiLevelType w:val="hybridMultilevel"/>
    <w:lvl w:ilvl="0">
      <w:lvlJc w:val="left"/>
      <w:lvlText w:val="%1."/>
      <w:numFmt w:val="decimal"/>
      <w:start w:val="5"/>
    </w:lvl>
  </w:abstractNum>
  <w:abstractNum w:abstractNumId="76">
    <w:nsid w:val="4962813B"/>
    <w:multiLevelType w:val="hybridMultilevel"/>
    <w:lvl w:ilvl="0">
      <w:lvlJc w:val="left"/>
      <w:lvlText w:val="%1."/>
      <w:numFmt w:val="decimal"/>
      <w:start w:val="6"/>
    </w:lvl>
  </w:abstractNum>
  <w:abstractNum w:abstractNumId="77">
    <w:nsid w:val="60B6DF70"/>
    <w:multiLevelType w:val="hybridMultilevel"/>
    <w:lvl w:ilvl="0">
      <w:lvlJc w:val="left"/>
      <w:lvlText w:val="(%1)"/>
      <w:numFmt w:val="upperLetter"/>
      <w:start w:val="2"/>
    </w:lvl>
    <w:lvl w:ilvl="1">
      <w:lvlJc w:val="left"/>
      <w:lvlText w:val="%2."/>
      <w:numFmt w:val="decimal"/>
      <w:start w:val="7"/>
    </w:lvl>
  </w:abstractNum>
  <w:abstractNum w:abstractNumId="78">
    <w:nsid w:val="6A5EE64"/>
    <w:multiLevelType w:val="hybridMultilevel"/>
    <w:lvl w:ilvl="0">
      <w:lvlJc w:val="left"/>
      <w:lvlText w:val="%1."/>
      <w:numFmt w:val="decimal"/>
      <w:start w:val="8"/>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89"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jpeg"/><Relationship Id="rId196" Type="http://schemas.openxmlformats.org/officeDocument/2006/relationships/image" Target="media/image159.jpeg"/><Relationship Id="rId197" Type="http://schemas.openxmlformats.org/officeDocument/2006/relationships/image" Target="media/image160.jpe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159" Type="http://schemas.openxmlformats.org/officeDocument/2006/relationships/hyperlink" Target="http://www.sec.gov/Archives/edgar/data/1737287/000119312518299356/d622265dex31.htm" TargetMode="External"/><Relationship Id="rId160" Type="http://schemas.openxmlformats.org/officeDocument/2006/relationships/hyperlink" Target="http://www.sec.gov/Archives/edgar/data/1737287/000119312518299356/d622265dex32.htm" TargetMode="External"/><Relationship Id="rId161" Type="http://schemas.openxmlformats.org/officeDocument/2006/relationships/hyperlink" Target="http://www.sec.gov/Archives/edgar/data/1737287/000119312518290441/d548088dex41.htm" TargetMode="External"/><Relationship Id="rId162" Type="http://schemas.openxmlformats.org/officeDocument/2006/relationships/hyperlink" Target="https://www.sec.gov/Archives/edgar/data/1737287/000173728720000012/allo-20191231xex43.htm" TargetMode="External"/><Relationship Id="rId163" Type="http://schemas.openxmlformats.org/officeDocument/2006/relationships/hyperlink" Target="http://www.sec.gov/Archives/edgar/data/1737287/000119312518273504/d548088dex42.htm" TargetMode="External"/><Relationship Id="rId164" Type="http://schemas.openxmlformats.org/officeDocument/2006/relationships/hyperlink" Target="http://www.sec.gov/Archives/edgar/data/1737287/000119312518290441/d548088dex101.htm" TargetMode="External"/><Relationship Id="rId165" Type="http://schemas.openxmlformats.org/officeDocument/2006/relationships/hyperlink" Target="http://www.sec.gov/Archives/edgar/data/1737287/000119312518290441/d548088dex102.htm" TargetMode="External"/><Relationship Id="rId166" Type="http://schemas.openxmlformats.org/officeDocument/2006/relationships/hyperlink" Target="http://www.sec.gov/Archives/edgar/data/1737287/000119312518273504/d548088dex102.htm" TargetMode="External"/><Relationship Id="rId167" Type="http://schemas.openxmlformats.org/officeDocument/2006/relationships/hyperlink" Target="http://www.sec.gov/Archives/edgar/data/1737287/000119312518306372/d642001dex992.htm" TargetMode="External"/><Relationship Id="rId168" Type="http://schemas.openxmlformats.org/officeDocument/2006/relationships/hyperlink" Target="http://www.sec.gov/Archives/edgar/data/1737287/000119312518306372/d642001dex993.htm" TargetMode="External"/><Relationship Id="rId169" Type="http://schemas.openxmlformats.org/officeDocument/2006/relationships/hyperlink" Target="http://www.sec.gov/Archives/edgar/data/1737287/000119312518290441/d548088dex106.htm" TargetMode="External"/><Relationship Id="rId170" Type="http://schemas.openxmlformats.org/officeDocument/2006/relationships/hyperlink" Target="http://www.sec.gov/Archives/edgar/data/1737287/000173728721000009/allo-2020x1231xex107.htm" TargetMode="External"/><Relationship Id="rId173" Type="http://schemas.openxmlformats.org/officeDocument/2006/relationships/hyperlink" Target="http://www.sec.gov/Archives/edgar/data/1737287/000119312518273504/d548088dex1012.htm" TargetMode="External"/><Relationship Id="rId174" Type="http://schemas.openxmlformats.org/officeDocument/2006/relationships/hyperlink" Target="http://www.sec.gov/Archives/edgar/data/1737287/000119312518273504/d548088dex1013.htm" TargetMode="External"/><Relationship Id="rId175" Type="http://schemas.openxmlformats.org/officeDocument/2006/relationships/hyperlink" Target="http://www.sec.gov/Archives/edgar/data/1737287/000119312518273504/d548088dex1014.htm" TargetMode="External"/><Relationship Id="rId176" Type="http://schemas.openxmlformats.org/officeDocument/2006/relationships/hyperlink" Target="https://www.sec.gov/Archives/edgar/data/1737287/000173728720000012/allo-20191231xex1011.htm" TargetMode="External"/><Relationship Id="rId177" Type="http://schemas.openxmlformats.org/officeDocument/2006/relationships/hyperlink" Target="http://www.sec.gov/Archives/edgar/data/1737287/000173728720000027/allo-2020331xex101.htm" TargetMode="External"/><Relationship Id="rId178" Type="http://schemas.openxmlformats.org/officeDocument/2006/relationships/hyperlink" Target="http://www.sec.gov/Archives/edgar/data/1737287/000156459019016480/allo-ex10_104.htm" TargetMode="External"/><Relationship Id="rId179" Type="http://schemas.openxmlformats.org/officeDocument/2006/relationships/hyperlink" Target="http://www.sec.gov/Archives/edgar/data/1737287/000119312518275199/d548088dex107.htm" TargetMode="External"/><Relationship Id="rId180" Type="http://schemas.openxmlformats.org/officeDocument/2006/relationships/hyperlink" Target="http://www.sec.gov/Archives/edgar/data/1737287/000119312518273504/d548088dex108.htm" TargetMode="External"/><Relationship Id="rId181" Type="http://schemas.openxmlformats.org/officeDocument/2006/relationships/hyperlink" Target="http://www.sec.gov/Archives/edgar/data/1737287/000173728720000012/allo-20191231xex1015.htm" TargetMode="External"/><Relationship Id="rId182" Type="http://schemas.openxmlformats.org/officeDocument/2006/relationships/hyperlink" Target="http://www.sec.gov/Archives/edgar/data/1737287/000119312518273504/d548088dex1011.htm" TargetMode="External"/><Relationship Id="rId183" Type="http://schemas.openxmlformats.org/officeDocument/2006/relationships/hyperlink" Target="http://www.sec.gov/Archives/edgar/data/1737287/000156459019006991/allo-ex1017_446.htm" TargetMode="External"/><Relationship Id="rId184" Type="http://schemas.openxmlformats.org/officeDocument/2006/relationships/hyperlink" Target="http://www.sec.gov/Archives/edgar/data/1737287/000156459019006991/allo-ex1018_447.htm" TargetMode="External"/><Relationship Id="rId185" Type="http://schemas.openxmlformats.org/officeDocument/2006/relationships/hyperlink" Target="http://www.sec.gov/Archives/edgar/data/1737287/000173728719000020/allo-20190930xex101.htm" TargetMode="External"/><Relationship Id="rId186" Type="http://schemas.openxmlformats.org/officeDocument/2006/relationships/hyperlink" Target="http://www.sec.gov/Archives/edgar/data/1737287/000173728720000047/allo-20200630xexx101.htm" TargetMode="External"/><Relationship Id="rId187" Type="http://schemas.openxmlformats.org/officeDocument/2006/relationships/hyperlink" Target="http://www.sec.gov/Archives/edgar/data/1737287/000173728719000022/allo-20191106xex12.htm" TargetMode="External"/><Relationship Id="rId188" Type="http://schemas.openxmlformats.org/officeDocument/2006/relationships/hyperlink" Target="http://www.sec.gov/Archives/edgar/data/1737287/000173728721000009/allo-2020x1231xex1023.htm" TargetMode="External"/><Relationship Id="rId190" Type="http://schemas.openxmlformats.org/officeDocument/2006/relationships/hyperlink" Target="http://www.sec.gov/Archives/edgar/data/1737287/000173728721000009/allo-20201231xex1024.htm" TargetMode="External"/><Relationship Id="rId191" Type="http://schemas.openxmlformats.org/officeDocument/2006/relationships/hyperlink" Target="http://www.sec.gov/Archives/edgar/data/1737287/000173728721000009/allo-20201231xex1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2022-02-23T15:28:55Z</dcterms:created>
  <dcterms:modified xsi:type="dcterms:W3CDTF">2022-02-23T15:28:55Z</dcterms:modified>
</cp:coreProperties>
</file>