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Allogene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 (the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019770106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0000FF"/>
        </w:rPr>
        <w:t>Margaret M. Madden, Esq</w:t>
      </w:r>
    </w:p>
    <w:p>
      <w:pPr>
        <w:spacing w:after="0" w:line="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0000FF"/>
        </w:rPr>
        <w:t>66 Hudson Boulevard East,</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212-733-2323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019770106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Pfizer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22,032,040.00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22,032,040.00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22,032,040.00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Percent of class represented by amount in row (11) is calculated based upon 224,730,144 shares of common stock,</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$0.001 par value per share, outstanding as of November 4, 2025, as reported by the Issuer on the cover of its Form 10-</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Q for the quarterly period ended September 30, 2025 and filed with the U.S. Securities and Exchange Commission on</w:t>
            </w:r>
          </w:p>
        </w:tc>
      </w:tr>
    </w:tbl>
    <w:p>
      <w:pPr>
        <w:jc w:val="both"/>
        <w:spacing w:after="0" w:line="190" w:lineRule="auto"/>
        <w:rPr>
          <w:sz w:val="20"/>
          <w:szCs w:val="20"/>
          <w:color w:val="auto"/>
        </w:rPr>
      </w:pPr>
      <w:r>
        <w:rPr>
          <w:rFonts w:ascii="Times New Roman" w:cs="Times New Roman" w:eastAsia="Times New Roman" w:hAnsi="Times New Roman"/>
          <w:sz w:val="36"/>
          <w:szCs w:val="36"/>
          <w:b w:val="1"/>
          <w:bCs w:val="1"/>
          <w:color w:val="auto"/>
          <w:vertAlign w:val="superscript"/>
        </w:rPr>
        <w:t>Reporting</w:t>
      </w:r>
      <w:r>
        <w:rPr>
          <w:rFonts w:ascii="Times New Roman" w:cs="Times New Roman" w:eastAsia="Times New Roman" w:hAnsi="Times New Roman"/>
          <w:sz w:val="21"/>
          <w:szCs w:val="21"/>
          <w:color w:val="auto"/>
        </w:rPr>
        <w:t xml:space="preserve"> November 6, 2025 (the "Form 10-Q"). The decrease in the percentage of shares of Common Stock held by the </w:t>
      </w:r>
      <w:r>
        <w:rPr>
          <w:rFonts w:ascii="Times New Roman" w:cs="Times New Roman" w:eastAsia="Times New Roman" w:hAnsi="Times New Roman"/>
          <w:sz w:val="36"/>
          <w:szCs w:val="36"/>
          <w:b w:val="1"/>
          <w:bCs w:val="1"/>
          <w:color w:val="auto"/>
          <w:vertAlign w:val="superscript"/>
        </w:rPr>
        <w:t>Person:</w:t>
      </w:r>
      <w:r>
        <w:rPr>
          <w:rFonts w:ascii="Times New Roman" w:cs="Times New Roman" w:eastAsia="Times New Roman" w:hAnsi="Times New Roman"/>
          <w:sz w:val="21"/>
          <w:szCs w:val="21"/>
          <w:color w:val="auto"/>
        </w:rPr>
        <w:t xml:space="preserve"> Reporting Person reported on this Amendment No. 4 resulted solely from the increase in the number of shares of</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reported as outstanding by the Issuer in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 (the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Allogene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210 East Grand Avenue, South San Francisco, CALIFORNIA , 94080.</w:t>
      </w:r>
    </w:p>
    <w:p>
      <w:pPr>
        <w:spacing w:after="0" w:line="20" w:lineRule="exact"/>
        <w:rPr>
          <w:sz w:val="20"/>
          <w:szCs w:val="20"/>
          <w:color w:val="auto"/>
        </w:rPr>
      </w:pPr>
    </w:p>
    <w:p>
      <w:pPr>
        <w:jc w:val="right"/>
        <w:ind w:left="40" w:right="40"/>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4 (this "Amendment No. 4") to the statement on Schedule 13D originally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with the U.S. Securities and Exchange Commission (the "Commission") on October 22, 2018, as amended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1 filed on September 17, 2021, Amendment No. 2 filed on April 7, 2022 and Amendment No. 3 filed on October 25, 2023 (the "Schedule 13D"), relates to the common stock, par value $0.001 per share (the "Common Stock"), of Allogene Therapeutics, Inc., a Delaware corporation (the "Issuer"). The Issuer's principal</w:t>
      </w:r>
    </w:p>
    <w:p>
      <w:pPr>
        <w:sectPr>
          <w:pgSz w:w="11900" w:h="16838" w:orient="portrait"/>
          <w:cols w:equalWidth="0" w:num="1">
            <w:col w:w="11240"/>
          </w:cols>
          <w:pgMar w:left="320" w:top="126" w:right="339" w:bottom="0" w:gutter="0" w:footer="0" w:header="0"/>
        </w:sectPr>
      </w:pPr>
    </w:p>
    <w:bookmarkStart w:id="2" w:name="page3"/>
    <w:bookmarkEnd w:id="2"/>
    <w:p>
      <w:pPr>
        <w:jc w:val="both"/>
        <w:ind w:left="960"/>
        <w:spacing w:after="0" w:line="236" w:lineRule="auto"/>
        <w:rPr>
          <w:sz w:val="20"/>
          <w:szCs w:val="20"/>
          <w:color w:val="auto"/>
        </w:rPr>
      </w:pPr>
      <w:r>
        <w:rPr>
          <w:rFonts w:ascii="Times New Roman" w:cs="Times New Roman" w:eastAsia="Times New Roman" w:hAnsi="Times New Roman"/>
          <w:sz w:val="22"/>
          <w:szCs w:val="22"/>
          <w:color w:val="auto"/>
        </w:rPr>
        <w:t>executive offices are located at 210 East Grand Avenue, South San Francisco, California 94080. The Issuer's shares of Common Stock are listed on The Nasdaq Stock Market LLC under the ticker symbol "ALLO". Except as specifically provided herein, this Amendment No. 4 does not modify any of the information previously reported in the Schedule 13D. Capitalized terms used but not otherwise defined in this Amendment No. 4 shall have the meanings ascribed to them in the Schedule 13D. Information given in response to each item shall be deemed incorporated by reference in all other items, as applicable.</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this Item is being made.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Pfizer is 66 Hudson Boulevard East, New York, New York 10001-2192</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this Item is being made.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this Item is being made.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this Item is being made.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this Item is being made.</w:t>
      </w:r>
    </w:p>
    <w:p>
      <w:pPr>
        <w:spacing w:after="0" w:line="44" w:lineRule="exact"/>
        <w:rPr>
          <w:sz w:val="20"/>
          <w:szCs w:val="20"/>
          <w:color w:val="auto"/>
        </w:rPr>
      </w:pPr>
    </w:p>
    <w:p>
      <w:pPr>
        <w:jc w:val="center"/>
        <w:ind w:right="5640"/>
        <w:spacing w:after="0"/>
        <w:tabs>
          <w:tab w:leader="none" w:pos="28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 amendment to this Item is being made.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 amendment to this Item is being made.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paragraphs captioned (a) - (b) of Item 5 of the Schedule 13D are hereby superseded by the following paragraphs:</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(a)--(b) The information related to the beneficial ownership of Common Stock by the Reporting Person set forth in</w:t>
      </w:r>
    </w:p>
    <w:p>
      <w:pPr>
        <w:ind w:left="920" w:right="140" w:hanging="912"/>
        <w:spacing w:after="0" w:line="19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Rows 7 through 13 of the cover page hereto is incorporated by reference. The decrease in the percentage of shares of Common Stock held by the Reporting Person reported on this Amendment No. 4 resulted solely from the increase in the number of shares of Common Stock reported as outstanding by the Issuer in the Form 10-Q for the quarterly period ended September 30, 2025 as filed with the U.S. Securities and Exchange Commission on November 6, 2025.</w:t>
      </w:r>
    </w:p>
    <w:p>
      <w:pPr>
        <w:spacing w:after="0" w:line="15"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(a).</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paragraph captioned (c) in the Schedule 13D is hereby supersed by the following paragraph: (c) Except as</w:t>
      </w:r>
    </w:p>
    <w:p>
      <w:pPr>
        <w:spacing w:after="0" w:line="14" w:lineRule="exact"/>
        <w:rPr>
          <w:rFonts w:ascii="Times New Roman" w:cs="Times New Roman" w:eastAsia="Times New Roman" w:hAnsi="Times New Roman"/>
          <w:sz w:val="22"/>
          <w:szCs w:val="22"/>
          <w:color w:val="auto"/>
        </w:rPr>
      </w:pPr>
    </w:p>
    <w:p>
      <w:pPr>
        <w:ind w:left="920" w:right="72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reported in the Schedule 13D, neither the Reporting Person nor any of the Individuals listed on Schedule I has effected any transactions in the Common Stock during the past sixty (60) days.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this Item is being made.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8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 amendment to this Item is being made.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60"/>
        <w:spacing w:after="0" w:line="258" w:lineRule="auto"/>
        <w:rPr>
          <w:sz w:val="20"/>
          <w:szCs w:val="20"/>
          <w:color w:val="auto"/>
        </w:rPr>
      </w:pPr>
      <w:r>
        <w:rPr>
          <w:rFonts w:ascii="Times New Roman" w:cs="Times New Roman" w:eastAsia="Times New Roman" w:hAnsi="Times New Roman"/>
          <w:sz w:val="22"/>
          <w:szCs w:val="22"/>
          <w:color w:val="auto"/>
        </w:rPr>
        <w:t>Schedule I: Name, business address, present principal occupation or employment and place of citizenship of the directors and executive officers of Pfizer Inc.</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Pfizer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Madelyn D. Purcell</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Madelyn D. Purcell/Assistant Secretary</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ectPr>
          <w:pgSz w:w="11900" w:h="16838" w:orient="portrait"/>
          <w:cols w:equalWidth="0" w:num="1">
            <w:col w:w="11160"/>
          </w:cols>
          <w:pgMar w:left="360" w:top="111"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business address, present principal occupation or employment and place of citizenship of the directors and executive officers of Pfizer</w:t>
      </w:r>
    </w:p>
    <w:p>
      <w:pPr>
        <w:spacing w:after="0" w:line="295" w:lineRule="exact"/>
        <w:rPr>
          <w:sz w:val="20"/>
          <w:szCs w:val="20"/>
          <w:color w:val="auto"/>
        </w:rPr>
      </w:pPr>
    </w:p>
    <w:p>
      <w:pPr>
        <w:ind w:right="700"/>
        <w:spacing w:after="0" w:line="329" w:lineRule="auto"/>
        <w:rPr>
          <w:sz w:val="20"/>
          <w:szCs w:val="20"/>
          <w:color w:val="auto"/>
        </w:rPr>
      </w:pPr>
      <w:r>
        <w:rPr>
          <w:rFonts w:ascii="Times New Roman" w:cs="Times New Roman" w:eastAsia="Times New Roman" w:hAnsi="Times New Roman"/>
          <w:sz w:val="18"/>
          <w:szCs w:val="18"/>
          <w:color w:val="auto"/>
        </w:rPr>
        <w:t>The business address of each director and executive officer is c/o Pfizer Inc., 66 Hudson Boulevard East, New York, NY 10001. Unless otherwise indicated, each director and executive officer is a citizen of the United States.</w:t>
      </w:r>
    </w:p>
    <w:p>
      <w:pPr>
        <w:sectPr>
          <w:pgSz w:w="11900" w:h="16838" w:orient="portrait"/>
          <w:cols w:equalWidth="0" w:num="1">
            <w:col w:w="11200"/>
          </w:cols>
          <w:pgMar w:left="320" w:top="1427" w:right="379" w:bottom="1440" w:gutter="0" w:footer="0" w:header="0"/>
        </w:sectPr>
      </w:pP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NAME AND POSITION</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Albert Bourla, DVM, Ph.D.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Ronald E. Blaylock</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Mortimer J. Buckley</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Susan Desmond-Hellmann, M.D., M.P.H.</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Joseph J. Echevarria</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Scott Gottlieb, M.D.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Susan Hockfield, Ph.D.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Dan R. Littman, M.D., Ph.D.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Shantanu Narayen</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Suzanne Nora Johnson</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James Quincey</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James C. Smith</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Cyrus Taraporevala</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Andrew Baum</w:t>
      </w:r>
    </w:p>
    <w:p>
      <w:pPr>
        <w:spacing w:after="0" w:line="54" w:lineRule="exact"/>
        <w:rPr>
          <w:sz w:val="20"/>
          <w:szCs w:val="20"/>
          <w:color w:val="auto"/>
        </w:rPr>
      </w:pPr>
    </w:p>
    <w:p>
      <w:pPr>
        <w:ind w:left="20"/>
        <w:spacing w:after="0" w:line="313" w:lineRule="auto"/>
        <w:rPr>
          <w:sz w:val="20"/>
          <w:szCs w:val="20"/>
          <w:color w:val="auto"/>
        </w:rPr>
      </w:pPr>
      <w:r>
        <w:rPr>
          <w:rFonts w:ascii="Times New Roman" w:cs="Times New Roman" w:eastAsia="Times New Roman" w:hAnsi="Times New Roman"/>
          <w:sz w:val="18"/>
          <w:szCs w:val="18"/>
          <w:color w:val="auto"/>
        </w:rPr>
        <w:t>Chief Strategy and Innovation Officer, Executive Vice President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Chris Boshoff, FRCP, FMedSci, Ph.D.</w:t>
      </w:r>
    </w:p>
    <w:p>
      <w:pPr>
        <w:spacing w:after="0" w:line="54" w:lineRule="exact"/>
        <w:rPr>
          <w:sz w:val="20"/>
          <w:szCs w:val="20"/>
          <w:color w:val="auto"/>
        </w:rPr>
      </w:pPr>
    </w:p>
    <w:p>
      <w:pPr>
        <w:ind w:left="20" w:right="260"/>
        <w:spacing w:after="0" w:line="313" w:lineRule="auto"/>
        <w:rPr>
          <w:sz w:val="20"/>
          <w:szCs w:val="20"/>
          <w:color w:val="auto"/>
        </w:rPr>
      </w:pPr>
      <w:r>
        <w:rPr>
          <w:rFonts w:ascii="Times New Roman" w:cs="Times New Roman" w:eastAsia="Times New Roman" w:hAnsi="Times New Roman"/>
          <w:sz w:val="18"/>
          <w:szCs w:val="18"/>
          <w:color w:val="auto"/>
        </w:rPr>
        <w:t>Chief Scientific Officer and President, Research &amp; Development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0" w:right="20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PRESENT PRINCIPAL OCCUPATION OR EMPLOYMENT </w:t>
      </w:r>
      <w:r>
        <w:rPr>
          <w:rFonts w:ascii="Times New Roman" w:cs="Times New Roman" w:eastAsia="Times New Roman" w:hAnsi="Times New Roman"/>
          <w:sz w:val="18"/>
          <w:szCs w:val="18"/>
          <w:color w:val="auto"/>
        </w:rPr>
        <w:t>Chairman and Chief Executive Officer, Pfizer.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Founder, Managing Partner of GenNx360 Capital Partners.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Former Chairman and Chief Executive Officer of Vanguard Group Inc.</w:t>
      </w:r>
    </w:p>
    <w:p>
      <w:pPr>
        <w:spacing w:after="0" w:line="200" w:lineRule="exact"/>
        <w:rPr>
          <w:sz w:val="20"/>
          <w:szCs w:val="20"/>
          <w:color w:val="auto"/>
        </w:rPr>
      </w:pPr>
    </w:p>
    <w:p>
      <w:pPr>
        <w:spacing w:after="0" w:line="20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Former Chief Executive Officer of the Bill &amp; Melinda Gates Medical Research Institute.</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Retired Chief Executive Officer of Deloitte LLP.</w:t>
      </w:r>
    </w:p>
    <w:p>
      <w:pPr>
        <w:spacing w:after="0" w:line="200" w:lineRule="exact"/>
        <w:rPr>
          <w:sz w:val="20"/>
          <w:szCs w:val="20"/>
          <w:color w:val="auto"/>
        </w:rPr>
      </w:pPr>
    </w:p>
    <w:p>
      <w:pPr>
        <w:spacing w:after="0" w:line="201" w:lineRule="exact"/>
        <w:rPr>
          <w:sz w:val="20"/>
          <w:szCs w:val="20"/>
          <w:color w:val="auto"/>
        </w:rPr>
      </w:pPr>
    </w:p>
    <w:p>
      <w:pPr>
        <w:ind w:left="20" w:right="120"/>
        <w:spacing w:after="0" w:line="237" w:lineRule="auto"/>
        <w:rPr>
          <w:sz w:val="20"/>
          <w:szCs w:val="20"/>
          <w:color w:val="auto"/>
        </w:rPr>
      </w:pPr>
      <w:r>
        <w:rPr>
          <w:rFonts w:ascii="Times New Roman" w:cs="Times New Roman" w:eastAsia="Times New Roman" w:hAnsi="Times New Roman"/>
          <w:sz w:val="18"/>
          <w:szCs w:val="18"/>
          <w:color w:val="auto"/>
        </w:rPr>
        <w:t>Partner, New Enterprise Associates, Inc.’s Healthcare Investment Team and Senior Fellow of the American Enterprise Institute.</w:t>
      </w:r>
    </w:p>
    <w:p>
      <w:pPr>
        <w:spacing w:after="0" w:line="19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Professor of Neuroscience and President Emerita, Massachusetts Institute of Technology.</w:t>
      </w:r>
    </w:p>
    <w:p>
      <w:pPr>
        <w:spacing w:after="0" w:line="200" w:lineRule="exact"/>
        <w:rPr>
          <w:sz w:val="20"/>
          <w:szCs w:val="20"/>
          <w:color w:val="auto"/>
        </w:rPr>
      </w:pPr>
    </w:p>
    <w:p>
      <w:pPr>
        <w:spacing w:after="0" w:line="20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Helen L. and Martin S. Kimmel Professor of Molecular Immunology, Department of Pathology at NYU Grossman School of Medicine. Investigator of the Howard Hughes Medical</w:t>
      </w:r>
    </w:p>
    <w:p>
      <w:pPr>
        <w:spacing w:after="0"/>
        <w:rPr>
          <w:sz w:val="20"/>
          <w:szCs w:val="20"/>
          <w:color w:val="auto"/>
        </w:rPr>
      </w:pPr>
      <w:r>
        <w:rPr>
          <w:rFonts w:ascii="Times New Roman" w:cs="Times New Roman" w:eastAsia="Times New Roman" w:hAnsi="Times New Roman"/>
          <w:sz w:val="18"/>
          <w:szCs w:val="18"/>
          <w:color w:val="auto"/>
        </w:rPr>
        <w:t>Institute.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 of Adobe Inc.</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Retired Vice Chairman, Goldman Sachs Group, Inc.</w:t>
      </w:r>
    </w:p>
    <w:p>
      <w:pPr>
        <w:spacing w:after="0" w:line="200" w:lineRule="exact"/>
        <w:rPr>
          <w:sz w:val="20"/>
          <w:szCs w:val="20"/>
          <w:color w:val="auto"/>
        </w:rPr>
      </w:pPr>
    </w:p>
    <w:p>
      <w:pPr>
        <w:spacing w:after="0" w:line="201" w:lineRule="exact"/>
        <w:rPr>
          <w:sz w:val="20"/>
          <w:szCs w:val="20"/>
          <w:color w:val="auto"/>
        </w:rPr>
      </w:pPr>
    </w:p>
    <w:p>
      <w:pPr>
        <w:ind w:left="20" w:right="420"/>
        <w:spacing w:after="0" w:line="237" w:lineRule="auto"/>
        <w:rPr>
          <w:sz w:val="20"/>
          <w:szCs w:val="20"/>
          <w:color w:val="auto"/>
        </w:rPr>
      </w:pPr>
      <w:r>
        <w:rPr>
          <w:rFonts w:ascii="Times New Roman" w:cs="Times New Roman" w:eastAsia="Times New Roman" w:hAnsi="Times New Roman"/>
          <w:sz w:val="18"/>
          <w:szCs w:val="18"/>
          <w:color w:val="auto"/>
        </w:rPr>
        <w:t>Chairman and Chief Executive Officer, The Coca-Cola Company. Country of citizenship United Kingdom.</w:t>
      </w:r>
    </w:p>
    <w:p>
      <w:pPr>
        <w:spacing w:after="0" w:line="199" w:lineRule="exact"/>
        <w:rPr>
          <w:sz w:val="20"/>
          <w:szCs w:val="20"/>
          <w:color w:val="auto"/>
        </w:rPr>
      </w:pPr>
    </w:p>
    <w:p>
      <w:pPr>
        <w:ind w:left="20" w:right="60"/>
        <w:spacing w:after="0" w:line="237" w:lineRule="auto"/>
        <w:rPr>
          <w:sz w:val="20"/>
          <w:szCs w:val="20"/>
          <w:color w:val="auto"/>
        </w:rPr>
      </w:pPr>
      <w:r>
        <w:rPr>
          <w:rFonts w:ascii="Times New Roman" w:cs="Times New Roman" w:eastAsia="Times New Roman" w:hAnsi="Times New Roman"/>
          <w:sz w:val="18"/>
          <w:szCs w:val="18"/>
          <w:color w:val="auto"/>
        </w:rPr>
        <w:t>Chairman of the Thomson Reuters Foundation. Retired President and Chief Executive Officer of Thomson Reuters Corporation.</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Former President and Chief Executive Officer of State Street Global Advisors.</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Strategy and Innovation Officer, Executive Vice President, Pfizer.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Country of citizenship United Kingdom</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Scientific Officer and President, Research &amp; Development, Pfizer.</w:t>
      </w:r>
    </w:p>
    <w:p>
      <w:pPr>
        <w:spacing w:after="0" w:line="856" w:lineRule="exact"/>
        <w:rPr>
          <w:sz w:val="20"/>
          <w:szCs w:val="20"/>
          <w:color w:val="auto"/>
        </w:rPr>
      </w:pPr>
    </w:p>
    <w:p>
      <w:pPr>
        <w:sectPr>
          <w:pgSz w:w="11900" w:h="16838" w:orient="portrait"/>
          <w:cols w:equalWidth="0" w:num="2">
            <w:col w:w="3940" w:space="420"/>
            <w:col w:w="6840"/>
          </w:cols>
          <w:pgMar w:left="320" w:top="1427" w:right="37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00"/>
          </w:cols>
          <w:pgMar w:left="320" w:top="1427" w:right="379" w:bottom="1440" w:gutter="0" w:footer="0" w:header="0"/>
          <w:type w:val="continuous"/>
        </w:sectPr>
      </w:pPr>
    </w:p>
    <w:bookmarkStart w:id="4" w:name="page5"/>
    <w:bookmarkEnd w:id="4"/>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Alexandre de Germay</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Chief International Commercial Officer, Executive Vice President., Pfizer.</w:t>
            </w:r>
          </w:p>
        </w:tc>
        <w:tc>
          <w:tcPr>
            <w:tcW w:w="0" w:type="dxa"/>
            <w:vAlign w:val="bottom"/>
          </w:tcPr>
          <w:p>
            <w:pPr>
              <w:spacing w:after="0"/>
              <w:rPr>
                <w:sz w:val="1"/>
                <w:szCs w:val="1"/>
                <w:color w:val="auto"/>
              </w:rPr>
            </w:pPr>
          </w:p>
        </w:tc>
      </w:tr>
      <w:tr>
        <w:trPr>
          <w:trHeight w:val="27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International Commercial Officer, Executive Vice</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Country of citizenship France.</w:t>
            </w:r>
          </w:p>
        </w:tc>
        <w:tc>
          <w:tcPr>
            <w:tcW w:w="0" w:type="dxa"/>
            <w:vAlign w:val="bottom"/>
          </w:tcPr>
          <w:p>
            <w:pPr>
              <w:spacing w:after="0"/>
              <w:rPr>
                <w:sz w:val="1"/>
                <w:szCs w:val="1"/>
                <w:color w:val="auto"/>
              </w:rPr>
            </w:pPr>
          </w:p>
        </w:tc>
      </w:tr>
      <w:tr>
        <w:trPr>
          <w:trHeight w:val="25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5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David M. Denton</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Executive Vice President, Pfizer.</w:t>
            </w:r>
          </w:p>
        </w:tc>
        <w:tc>
          <w:tcPr>
            <w:tcW w:w="0" w:type="dxa"/>
            <w:vAlign w:val="bottom"/>
          </w:tcPr>
          <w:p>
            <w:pPr>
              <w:spacing w:after="0"/>
              <w:rPr>
                <w:sz w:val="1"/>
                <w:szCs w:val="1"/>
                <w:color w:val="auto"/>
              </w:rPr>
            </w:pPr>
          </w:p>
        </w:tc>
      </w:tr>
      <w:tr>
        <w:trPr>
          <w:trHeight w:val="68"/>
        </w:trPr>
        <w:tc>
          <w:tcPr>
            <w:tcW w:w="4300" w:type="dxa"/>
            <w:vAlign w:val="bottom"/>
            <w:vMerge w:val="continue"/>
          </w:tcPr>
          <w:p>
            <w:pPr>
              <w:spacing w:after="0"/>
              <w:rPr>
                <w:sz w:val="5"/>
                <w:szCs w:val="5"/>
                <w:color w:val="auto"/>
              </w:rPr>
            </w:pPr>
          </w:p>
        </w:tc>
        <w:tc>
          <w:tcPr>
            <w:tcW w:w="5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Executive Vice President</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Lidia Fonseca</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Digital and Technology Officer, Executive Vice President, Pfizer.</w:t>
            </w:r>
          </w:p>
        </w:tc>
        <w:tc>
          <w:tcPr>
            <w:tcW w:w="0" w:type="dxa"/>
            <w:vAlign w:val="bottom"/>
          </w:tcPr>
          <w:p>
            <w:pPr>
              <w:spacing w:after="0"/>
              <w:rPr>
                <w:sz w:val="1"/>
                <w:szCs w:val="1"/>
                <w:color w:val="auto"/>
              </w:rPr>
            </w:pPr>
          </w:p>
        </w:tc>
      </w:tr>
      <w:tr>
        <w:trPr>
          <w:trHeight w:val="68"/>
        </w:trPr>
        <w:tc>
          <w:tcPr>
            <w:tcW w:w="4300" w:type="dxa"/>
            <w:vAlign w:val="bottom"/>
            <w:vMerge w:val="continue"/>
          </w:tcPr>
          <w:p>
            <w:pPr>
              <w:spacing w:after="0"/>
              <w:rPr>
                <w:sz w:val="5"/>
                <w:szCs w:val="5"/>
                <w:color w:val="auto"/>
              </w:rPr>
            </w:pPr>
          </w:p>
        </w:tc>
        <w:tc>
          <w:tcPr>
            <w:tcW w:w="5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Digital and Technology Officer, Executive Vice</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5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Douglas M. Lankler</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Legal Officer, Executive Vice President, Pfizer.</w:t>
            </w:r>
          </w:p>
        </w:tc>
        <w:tc>
          <w:tcPr>
            <w:tcW w:w="0" w:type="dxa"/>
            <w:vAlign w:val="bottom"/>
          </w:tcPr>
          <w:p>
            <w:pPr>
              <w:spacing w:after="0"/>
              <w:rPr>
                <w:sz w:val="1"/>
                <w:szCs w:val="1"/>
                <w:color w:val="auto"/>
              </w:rPr>
            </w:pPr>
          </w:p>
        </w:tc>
      </w:tr>
      <w:tr>
        <w:trPr>
          <w:trHeight w:val="68"/>
        </w:trPr>
        <w:tc>
          <w:tcPr>
            <w:tcW w:w="4300" w:type="dxa"/>
            <w:vAlign w:val="bottom"/>
            <w:vMerge w:val="continue"/>
          </w:tcPr>
          <w:p>
            <w:pPr>
              <w:spacing w:after="0"/>
              <w:rPr>
                <w:sz w:val="5"/>
                <w:szCs w:val="5"/>
                <w:color w:val="auto"/>
              </w:rPr>
            </w:pPr>
          </w:p>
        </w:tc>
        <w:tc>
          <w:tcPr>
            <w:tcW w:w="5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Executive Vice President</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Aamir Malik</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U.S. Commercial Officer, Executive Vice President, Pfizer.</w:t>
            </w:r>
          </w:p>
        </w:tc>
        <w:tc>
          <w:tcPr>
            <w:tcW w:w="0" w:type="dxa"/>
            <w:vAlign w:val="bottom"/>
          </w:tcPr>
          <w:p>
            <w:pPr>
              <w:spacing w:after="0"/>
              <w:rPr>
                <w:sz w:val="1"/>
                <w:szCs w:val="1"/>
                <w:color w:val="auto"/>
              </w:rPr>
            </w:pPr>
          </w:p>
        </w:tc>
      </w:tr>
      <w:tr>
        <w:trPr>
          <w:trHeight w:val="68"/>
        </w:trPr>
        <w:tc>
          <w:tcPr>
            <w:tcW w:w="4300" w:type="dxa"/>
            <w:vAlign w:val="bottom"/>
            <w:vMerge w:val="continue"/>
          </w:tcPr>
          <w:p>
            <w:pPr>
              <w:spacing w:after="0"/>
              <w:rPr>
                <w:sz w:val="5"/>
                <w:szCs w:val="5"/>
                <w:color w:val="auto"/>
              </w:rPr>
            </w:pPr>
          </w:p>
        </w:tc>
        <w:tc>
          <w:tcPr>
            <w:tcW w:w="5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U.S. Commercial Officer, Executive Vice President</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Michael McDermott</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Global Supply Officer, Executive Vice President, Pfizer.</w:t>
            </w:r>
          </w:p>
        </w:tc>
        <w:tc>
          <w:tcPr>
            <w:tcW w:w="0" w:type="dxa"/>
            <w:vAlign w:val="bottom"/>
          </w:tcPr>
          <w:p>
            <w:pPr>
              <w:spacing w:after="0"/>
              <w:rPr>
                <w:sz w:val="1"/>
                <w:szCs w:val="1"/>
                <w:color w:val="auto"/>
              </w:rPr>
            </w:pPr>
          </w:p>
        </w:tc>
      </w:tr>
      <w:tr>
        <w:trPr>
          <w:trHeight w:val="68"/>
        </w:trPr>
        <w:tc>
          <w:tcPr>
            <w:tcW w:w="4300" w:type="dxa"/>
            <w:vAlign w:val="bottom"/>
            <w:vMerge w:val="continue"/>
          </w:tcPr>
          <w:p>
            <w:pPr>
              <w:spacing w:after="0"/>
              <w:rPr>
                <w:sz w:val="5"/>
                <w:szCs w:val="5"/>
                <w:color w:val="auto"/>
              </w:rPr>
            </w:pPr>
          </w:p>
        </w:tc>
        <w:tc>
          <w:tcPr>
            <w:tcW w:w="5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Global Supply Officer, Executive Vice President</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Payal Sahni Becher</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People Experience Officer, Executive Vice President, Pfizer.</w:t>
            </w:r>
          </w:p>
        </w:tc>
        <w:tc>
          <w:tcPr>
            <w:tcW w:w="0" w:type="dxa"/>
            <w:vAlign w:val="bottom"/>
          </w:tcPr>
          <w:p>
            <w:pPr>
              <w:spacing w:after="0"/>
              <w:rPr>
                <w:sz w:val="1"/>
                <w:szCs w:val="1"/>
                <w:color w:val="auto"/>
              </w:rPr>
            </w:pPr>
          </w:p>
        </w:tc>
      </w:tr>
      <w:tr>
        <w:trPr>
          <w:trHeight w:val="68"/>
        </w:trPr>
        <w:tc>
          <w:tcPr>
            <w:tcW w:w="4300" w:type="dxa"/>
            <w:vAlign w:val="bottom"/>
            <w:vMerge w:val="continue"/>
          </w:tcPr>
          <w:p>
            <w:pPr>
              <w:spacing w:after="0"/>
              <w:rPr>
                <w:sz w:val="5"/>
                <w:szCs w:val="5"/>
                <w:color w:val="auto"/>
              </w:rPr>
            </w:pPr>
          </w:p>
        </w:tc>
        <w:tc>
          <w:tcPr>
            <w:tcW w:w="5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Experience Officer, Executive Vice President</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119"/>
      </w:cols>
      <w:pgMar w:left="3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2026-02-13T16:12:46Z</dcterms:created>
  <dcterms:modified xsi:type="dcterms:W3CDTF">2026-02-13T16:12:46Z</dcterms:modified>
</cp:coreProperties>
</file>