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79"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6"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160" w:lineRule="exact"/>
        <w:rPr>
          <w:sz w:val="24"/>
          <w:szCs w:val="24"/>
          <w:color w:val="auto"/>
        </w:rPr>
      </w:pPr>
    </w:p>
    <w:p>
      <w:pPr>
        <w:ind w:left="3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5"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Securities Exchange Act of 1934</w:t>
      </w:r>
    </w:p>
    <w:p>
      <w:pPr>
        <w:spacing w:after="0" w:line="44" w:lineRule="exact"/>
        <w:rPr>
          <w:sz w:val="24"/>
          <w:szCs w:val="24"/>
          <w:color w:val="auto"/>
        </w:rPr>
      </w:pPr>
    </w:p>
    <w:p>
      <w:pPr>
        <w:ind w:left="4560"/>
        <w:spacing w:after="0"/>
        <w:tabs>
          <w:tab w:leader="none" w:pos="65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2080"/>
        <w:spacing w:after="0"/>
        <w:rPr>
          <w:sz w:val="20"/>
          <w:szCs w:val="20"/>
          <w:color w:val="auto"/>
        </w:rPr>
      </w:pPr>
      <w:r>
        <w:rPr>
          <w:rFonts w:ascii="Arial" w:cs="Arial" w:eastAsia="Arial" w:hAnsi="Arial"/>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4">
            <w:col w:w="3880" w:space="100"/>
            <w:col w:w="940" w:space="720"/>
            <w:col w:w="3260" w:space="100"/>
            <w:col w:w="1139"/>
          </w:cols>
          <w:pgMar w:left="320" w:top="144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Check the appropriate box:</w:t>
      </w:r>
    </w:p>
    <w:p>
      <w:pPr>
        <w:sectPr>
          <w:pgSz w:w="11900" w:h="16838" w:orient="portrait"/>
          <w:cols w:equalWidth="0" w:num="1">
            <w:col w:w="10139"/>
          </w:cols>
          <w:pgMar w:left="320" w:top="1440" w:right="1440" w:bottom="1440" w:gutter="0" w:footer="0" w:header="0"/>
          <w:type w:val="continuous"/>
        </w:sectPr>
      </w:pPr>
    </w:p>
    <w:p>
      <w:pPr>
        <w:spacing w:after="0" w:line="318"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6"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480" w:hanging="454"/>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0" w:lineRule="exact"/>
        <w:rPr>
          <w:sz w:val="24"/>
          <w:szCs w:val="24"/>
          <w:color w:val="auto"/>
        </w:rPr>
      </w:pPr>
    </w:p>
    <w:p>
      <w:pPr>
        <w:spacing w:after="0" w:line="388" w:lineRule="exact"/>
        <w:rPr>
          <w:sz w:val="24"/>
          <w:szCs w:val="24"/>
          <w:color w:val="auto"/>
        </w:rPr>
      </w:pPr>
    </w:p>
    <w:p>
      <w:pPr>
        <w:jc w:val="center"/>
        <w:ind w:right="-1100"/>
        <w:spacing w:after="0"/>
        <w:rPr>
          <w:sz w:val="20"/>
          <w:szCs w:val="20"/>
          <w:color w:val="auto"/>
        </w:rPr>
      </w:pPr>
      <w:r>
        <w:rPr>
          <w:rFonts w:ascii="Arial" w:cs="Arial" w:eastAsia="Arial" w:hAnsi="Arial"/>
          <w:sz w:val="39"/>
          <w:szCs w:val="39"/>
          <w:b w:val="1"/>
          <w:bCs w:val="1"/>
          <w:color w:val="auto"/>
        </w:rPr>
        <w:t>ALLOGENE THERAPEUTICS, INC.</w:t>
      </w:r>
    </w:p>
    <w:p>
      <w:pPr>
        <w:spacing w:after="0" w:line="9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7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w:t>
      </w:r>
    </w:p>
    <w:p>
      <w:pPr>
        <w:spacing w:after="0" w:line="59" w:lineRule="exact"/>
        <w:rPr>
          <w:sz w:val="24"/>
          <w:szCs w:val="24"/>
          <w:color w:val="auto"/>
        </w:rPr>
      </w:pPr>
    </w:p>
    <w:p>
      <w:pPr>
        <w:ind w:left="32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6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31" w:lineRule="exact"/>
        <w:rPr>
          <w:sz w:val="24"/>
          <w:szCs w:val="24"/>
          <w:color w:val="auto"/>
        </w:rPr>
      </w:pPr>
    </w:p>
    <w:p>
      <w:pPr>
        <w:ind w:left="520" w:hanging="494"/>
        <w:spacing w:after="0"/>
        <w:tabs>
          <w:tab w:leader="none" w:pos="5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20" w:hanging="494"/>
        <w:spacing w:after="0"/>
        <w:tabs>
          <w:tab w:leader="none" w:pos="5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20" w:hanging="494"/>
        <w:spacing w:after="0"/>
        <w:tabs>
          <w:tab w:leader="none" w:pos="5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05686F"/>
        </w:rPr>
        <w:t>ALLOGENE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5686F"/>
        </w:rPr>
        <w:t>210 East Grand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5686F"/>
        </w:rPr>
        <w:t>South San Francisco, California 94080</w:t>
      </w:r>
    </w:p>
    <w:p>
      <w:pPr>
        <w:spacing w:after="0" w:line="9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SUPPLEMENT TO PROXY STATEMENT FOR THE</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2026 ANNUAL MEETING OF STOCKHOLDERS TO BE HELD ON</w:t>
      </w:r>
    </w:p>
    <w:p>
      <w:pPr>
        <w:jc w:val="center"/>
        <w:spacing w:after="0"/>
        <w:rPr>
          <w:sz w:val="20"/>
          <w:szCs w:val="20"/>
          <w:color w:val="auto"/>
        </w:rPr>
      </w:pPr>
      <w:r>
        <w:rPr>
          <w:rFonts w:ascii="Arial" w:cs="Arial" w:eastAsia="Arial" w:hAnsi="Arial"/>
          <w:sz w:val="18"/>
          <w:szCs w:val="18"/>
          <w:b w:val="1"/>
          <w:bCs w:val="1"/>
          <w:color w:val="auto"/>
        </w:rPr>
        <w:t>June 18,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This proxy statement supplement, dated May 20, 2026 (this “Supplement”), supplements the definitive proxy statement on Schedule 14A of Allogene Therapeutics, Inc., a Delaware corporation (the “Company”), dated April 30, 2026 (the “Proxy Statement”) for the Annual Meeting of Stockholders of the Company to be held on June 18, 2026 at 8:00 a.m., Pacific Time virtually via live webcast at www.virtualshareholdermeeting.com/ALLO2026 (the “Annual Meeting”). This Supplement updates the Summary Compensation Table under the “Executive Compensation” section of the Proxy Statement to correct the amounts reported in the “Total” column for Dr. Chang for 2024 and Dr. Roberts and Mr. Parker for 2025 to reflect the correct sum of total compensation reported for the applicable year.</w:t>
      </w:r>
    </w:p>
    <w:p>
      <w:pPr>
        <w:spacing w:after="0" w:line="76"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THIS SUPPLEMENT SHOULD BE READ IN CONJUNCTION WITH THE PROXY STATEMENT.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EXCEPT AS SPECIFICALLY SUPPLEMENTED BY THE INFORMATION CONTAINED HEREIN, THIS SUPPLEMENT DOES NOT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MODIFY ANY OTHER INFORMATION SET FORTH IN THE PROXY STATEMENT.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5686F"/>
        </w:rPr>
        <w:t>2025 Summary Compensation Table</w:t>
      </w:r>
    </w:p>
    <w:p>
      <w:pPr>
        <w:spacing w:after="0" w:line="131"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color w:val="auto"/>
        </w:rPr>
        <w:t>The following table sets forth all of the compensation awarded to, earned by or paid to our Named Executive Officers during the fiscal years ended December 31, 2025, and December 31,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Non-equity</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4"/>
              </w:rPr>
              <w:t>RSU</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Option</w:t>
            </w: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incentive</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4"/>
              </w:rPr>
              <w:t>All other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PSU</w:t>
            </w:r>
          </w:p>
        </w:tc>
        <w:tc>
          <w:tcPr>
            <w:tcW w:w="1040" w:type="dxa"/>
            <w:vAlign w:val="bottom"/>
            <w:gridSpan w:val="2"/>
            <w:vMerge w:val="continue"/>
          </w:tcPr>
          <w:p>
            <w:pPr>
              <w:spacing w:after="0"/>
              <w:rPr>
                <w:sz w:val="12"/>
                <w:szCs w:val="12"/>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plan</w:t>
            </w:r>
          </w:p>
        </w:tc>
        <w:tc>
          <w:tcPr>
            <w:tcW w:w="134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200"/>
              <w:spacing w:after="0"/>
              <w:rPr>
                <w:sz w:val="20"/>
                <w:szCs w:val="20"/>
                <w:color w:val="auto"/>
              </w:rPr>
            </w:pPr>
            <w:r>
              <w:rPr>
                <w:rFonts w:ascii="Arial" w:cs="Arial" w:eastAsia="Arial" w:hAnsi="Arial"/>
                <w:sz w:val="13"/>
                <w:szCs w:val="13"/>
                <w:b w:val="1"/>
                <w:bCs w:val="1"/>
                <w:color w:val="auto"/>
              </w:rPr>
              <w:t>Salary</w:t>
            </w:r>
          </w:p>
        </w:tc>
        <w:tc>
          <w:tcPr>
            <w:tcW w:w="780" w:type="dxa"/>
            <w:vAlign w:val="bottom"/>
            <w:gridSpan w:val="2"/>
          </w:tcPr>
          <w:p>
            <w:pPr>
              <w:ind w:left="140"/>
              <w:spacing w:after="0"/>
              <w:rPr>
                <w:sz w:val="20"/>
                <w:szCs w:val="20"/>
                <w:color w:val="auto"/>
              </w:rPr>
            </w:pPr>
            <w:r>
              <w:rPr>
                <w:rFonts w:ascii="Arial" w:cs="Arial" w:eastAsia="Arial" w:hAnsi="Arial"/>
                <w:sz w:val="13"/>
                <w:szCs w:val="13"/>
                <w:b w:val="1"/>
                <w:bCs w:val="1"/>
                <w:color w:val="auto"/>
              </w:rPr>
              <w:t>Bonus</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awards</w:t>
            </w:r>
          </w:p>
        </w:tc>
        <w:tc>
          <w:tcPr>
            <w:tcW w:w="9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8"/>
              </w:rPr>
              <w:t>awards</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awards</w:t>
            </w: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compensation</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compensation ($)</w:t>
            </w:r>
          </w:p>
        </w:tc>
        <w:tc>
          <w:tcPr>
            <w:tcW w:w="920" w:type="dxa"/>
            <w:vAlign w:val="bottom"/>
          </w:tcPr>
          <w:p>
            <w:pPr>
              <w:jc w:val="right"/>
              <w:ind w:right="25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2"/>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Year</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($)(1)</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($)(2)</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($)(3)</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($)(4)</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(5)</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David Chang, M.D., Ph.D.</w:t>
            </w:r>
          </w:p>
        </w:tc>
        <w:tc>
          <w:tcPr>
            <w:tcW w:w="7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2025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724,000</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1,071,218</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1,338,319</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2,588,329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400,010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14,217</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6,136,093</w:t>
            </w: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President and Chief</w:t>
            </w:r>
          </w:p>
        </w:tc>
        <w:tc>
          <w:tcPr>
            <w:tcW w:w="7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2024</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724,000</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1,016,960</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2,401,683</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329,420</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4,482,208</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Executive Officer</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120" w:type="dxa"/>
            <w:vAlign w:val="bottom"/>
          </w:tcPr>
          <w:p>
            <w:pPr>
              <w:ind w:left="20"/>
              <w:spacing w:after="0"/>
              <w:rPr>
                <w:sz w:val="20"/>
                <w:szCs w:val="20"/>
                <w:color w:val="auto"/>
              </w:rPr>
            </w:pPr>
            <w:r>
              <w:rPr>
                <w:rFonts w:ascii="Arial" w:cs="Arial" w:eastAsia="Arial" w:hAnsi="Arial"/>
                <w:sz w:val="14"/>
                <w:szCs w:val="14"/>
                <w:color w:val="auto"/>
              </w:rPr>
              <w:t>Zachary J. Roberts, M.D., Ph.D.</w:t>
            </w:r>
          </w:p>
        </w:tc>
        <w:tc>
          <w:tcPr>
            <w:tcW w:w="740" w:type="dxa"/>
            <w:vAlign w:val="bottom"/>
            <w:gridSpan w:val="2"/>
          </w:tcPr>
          <w:p>
            <w:pPr>
              <w:jc w:val="center"/>
              <w:ind w:left="28"/>
              <w:spacing w:after="0"/>
              <w:rPr>
                <w:sz w:val="20"/>
                <w:szCs w:val="20"/>
                <w:color w:val="auto"/>
              </w:rPr>
            </w:pPr>
            <w:r>
              <w:rPr>
                <w:rFonts w:ascii="Arial" w:cs="Arial" w:eastAsia="Arial" w:hAnsi="Arial"/>
                <w:sz w:val="14"/>
                <w:szCs w:val="14"/>
                <w:color w:val="auto"/>
              </w:rPr>
              <w:t>2025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530,207</w:t>
            </w:r>
          </w:p>
        </w:tc>
        <w:tc>
          <w:tcPr>
            <w:tcW w:w="120" w:type="dxa"/>
            <w:vAlign w:val="bottom"/>
          </w:tcPr>
          <w:p>
            <w:pPr>
              <w:spacing w:after="0"/>
              <w:rPr>
                <w:sz w:val="18"/>
                <w:szCs w:val="18"/>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337,391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421,740</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815,222</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202,804</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17,750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2,325,114</w:t>
            </w:r>
          </w:p>
        </w:tc>
        <w:tc>
          <w:tcPr>
            <w:tcW w:w="0" w:type="dxa"/>
            <w:vAlign w:val="bottom"/>
          </w:tcPr>
          <w:p>
            <w:pPr>
              <w:spacing w:after="0"/>
              <w:rPr>
                <w:sz w:val="1"/>
                <w:szCs w:val="1"/>
                <w:color w:val="auto"/>
              </w:rPr>
            </w:pPr>
          </w:p>
        </w:tc>
      </w:tr>
      <w:tr>
        <w:trPr>
          <w:trHeight w:val="176"/>
        </w:trPr>
        <w:tc>
          <w:tcPr>
            <w:tcW w:w="2120" w:type="dxa"/>
            <w:vAlign w:val="bottom"/>
          </w:tcPr>
          <w:p>
            <w:pPr>
              <w:ind w:left="220"/>
              <w:spacing w:after="0"/>
              <w:rPr>
                <w:sz w:val="20"/>
                <w:szCs w:val="20"/>
                <w:color w:val="auto"/>
              </w:rPr>
            </w:pPr>
            <w:r>
              <w:rPr>
                <w:rFonts w:ascii="Arial" w:cs="Arial" w:eastAsia="Arial" w:hAnsi="Arial"/>
                <w:sz w:val="14"/>
                <w:szCs w:val="14"/>
                <w:i w:val="1"/>
                <w:iCs w:val="1"/>
                <w:color w:val="auto"/>
              </w:rPr>
              <w:t>Chief Medical Officer and</w:t>
            </w:r>
          </w:p>
        </w:tc>
        <w:tc>
          <w:tcPr>
            <w:tcW w:w="740" w:type="dxa"/>
            <w:vAlign w:val="bottom"/>
            <w:gridSpan w:val="2"/>
          </w:tcPr>
          <w:p>
            <w:pPr>
              <w:jc w:val="center"/>
              <w:ind w:left="28"/>
              <w:spacing w:after="0"/>
              <w:rPr>
                <w:sz w:val="20"/>
                <w:szCs w:val="20"/>
                <w:color w:val="auto"/>
              </w:rPr>
            </w:pPr>
            <w:r>
              <w:rPr>
                <w:rFonts w:ascii="Arial" w:cs="Arial" w:eastAsia="Arial" w:hAnsi="Arial"/>
                <w:sz w:val="14"/>
                <w:szCs w:val="14"/>
                <w:color w:val="auto"/>
              </w:rPr>
              <w:t>2024</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530,207</w:t>
            </w:r>
          </w:p>
        </w:tc>
        <w:tc>
          <w:tcPr>
            <w:tcW w:w="12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448,000</w:t>
            </w:r>
          </w:p>
        </w:tc>
        <w:tc>
          <w:tcPr>
            <w:tcW w:w="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1,058,010</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167,015</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17,525</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2,220,757</w:t>
            </w:r>
          </w:p>
        </w:tc>
        <w:tc>
          <w:tcPr>
            <w:tcW w:w="0" w:type="dxa"/>
            <w:vAlign w:val="bottom"/>
          </w:tcPr>
          <w:p>
            <w:pPr>
              <w:spacing w:after="0"/>
              <w:rPr>
                <w:sz w:val="1"/>
                <w:szCs w:val="1"/>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Executive Vice President of</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120" w:type="dxa"/>
            <w:vAlign w:val="bottom"/>
          </w:tcPr>
          <w:p>
            <w:pPr>
              <w:ind w:left="220"/>
              <w:spacing w:after="0"/>
              <w:rPr>
                <w:sz w:val="20"/>
                <w:szCs w:val="20"/>
                <w:color w:val="auto"/>
              </w:rPr>
            </w:pPr>
            <w:r>
              <w:rPr>
                <w:rFonts w:ascii="Arial" w:cs="Arial" w:eastAsia="Arial" w:hAnsi="Arial"/>
                <w:sz w:val="14"/>
                <w:szCs w:val="14"/>
                <w:i w:val="1"/>
                <w:iCs w:val="1"/>
                <w:color w:val="auto"/>
              </w:rPr>
              <w:t>Research and Development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120" w:type="dxa"/>
            <w:vAlign w:val="bottom"/>
            <w:shd w:val="clear" w:color="auto" w:fill="CCEEFF"/>
          </w:tcPr>
          <w:p>
            <w:pPr>
              <w:ind w:left="60"/>
              <w:spacing w:after="0"/>
              <w:rPr>
                <w:sz w:val="20"/>
                <w:szCs w:val="20"/>
                <w:color w:val="auto"/>
              </w:rPr>
            </w:pPr>
            <w:r>
              <w:rPr>
                <w:rFonts w:ascii="Arial" w:cs="Arial" w:eastAsia="Arial" w:hAnsi="Arial"/>
                <w:sz w:val="14"/>
                <w:szCs w:val="14"/>
                <w:color w:val="auto"/>
              </w:rPr>
              <w:t>Geoffrey Parker</w:t>
            </w:r>
          </w:p>
        </w:tc>
        <w:tc>
          <w:tcPr>
            <w:tcW w:w="7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2025</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337,391</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421,740</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815,222</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191,250</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15,750</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2,281,353</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Executive Vice President and</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2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Chief Financial Officer</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ind w:firstLine="8"/>
        <w:spacing w:after="0" w:line="286" w:lineRule="auto"/>
        <w:tabs>
          <w:tab w:leader="none" w:pos="41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dollar amounts in this column reflect the aggregate grant date fair value of RSUs granted during the indicated year and computed in accordance with FASB ASC 718. The grant date fair values of the 2025 and 2024 RSUs are based on the closing market price of the Company’s common stock on the date of grant.</w:t>
      </w:r>
    </w:p>
    <w:p>
      <w:pPr>
        <w:spacing w:after="0" w:line="2" w:lineRule="exact"/>
        <w:rPr>
          <w:rFonts w:ascii="Arial" w:cs="Arial" w:eastAsia="Arial" w:hAnsi="Arial"/>
          <w:sz w:val="18"/>
          <w:szCs w:val="18"/>
          <w:color w:val="auto"/>
        </w:rPr>
      </w:pPr>
    </w:p>
    <w:p>
      <w:pPr>
        <w:ind w:right="100" w:firstLine="8"/>
        <w:spacing w:after="0" w:line="292" w:lineRule="auto"/>
        <w:tabs>
          <w:tab w:leader="none" w:pos="41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dollar amount in this column reflects the aggregate grant date fair value of PSUs granted in 2025. The amount reflects a maximum possible payout of 150%. The grant date fair value is based on the closing market price of the Company’s common stock on the date of grant.</w:t>
      </w:r>
    </w:p>
    <w:p>
      <w:pPr>
        <w:ind w:right="80" w:firstLine="8"/>
        <w:spacing w:after="0" w:line="289" w:lineRule="auto"/>
        <w:tabs>
          <w:tab w:leader="none" w:pos="41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dollar amounts in this column represent the aggregate grant date fair value of stock option awards granted during the indicated year. These amounts have been computed in accordance with FASB ASC Topic 718, using the Black-Scholes option pricing model. For a discussion of valuation assumptions, see Note 9 “Stock-based Compensation” to our financial statements included in our Annual Report on Form 10-K for the year ended December 31, 2025.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3" w:lineRule="exact"/>
        <w:rPr>
          <w:rFonts w:ascii="Arial" w:cs="Arial" w:eastAsia="Arial" w:hAnsi="Arial"/>
          <w:sz w:val="18"/>
          <w:szCs w:val="18"/>
          <w:color w:val="auto"/>
        </w:rPr>
      </w:pPr>
    </w:p>
    <w:p>
      <w:pPr>
        <w:ind w:right="200" w:firstLine="8"/>
        <w:spacing w:after="0" w:line="334" w:lineRule="auto"/>
        <w:tabs>
          <w:tab w:leader="none" w:pos="41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dollar amounts in this column represent annual performance-based incentive earned for the indicated year. For more information, see below under “2025 Annual Performance-Based Cash Incentive.”</w:t>
      </w:r>
    </w:p>
    <w:p>
      <w:pPr>
        <w:sectPr>
          <w:pgSz w:w="11900" w:h="16838" w:orient="portrait"/>
          <w:cols w:equalWidth="0" w:num="1">
            <w:col w:w="11240"/>
          </w:cols>
          <w:pgMar w:left="320" w:top="1255" w:right="339" w:bottom="1440" w:gutter="0" w:footer="0" w:header="0"/>
        </w:sectPr>
      </w:pPr>
    </w:p>
    <w:bookmarkStart w:id="2" w:name="page3"/>
    <w:bookmarkEnd w:id="2"/>
    <w:p>
      <w:pPr>
        <w:ind w:right="460" w:firstLine="8"/>
        <w:spacing w:after="0" w:line="334" w:lineRule="auto"/>
        <w:tabs>
          <w:tab w:leader="none" w:pos="41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dollar amounts in this column represent Section 401(k) contributions. For Dr. Chang and Dr. Roberts, the dollar amount in this column includes health savings account benefits.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686F"/>
        </w:rPr>
        <w:t>Voting Matters</w:t>
      </w:r>
    </w:p>
    <w:p>
      <w:pPr>
        <w:spacing w:after="0" w:line="1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As set forth in the Proxy Statement, you are being asked to approve, on a non-binding, advisory basis, the compensation of the Company’s named executive officers. </w:t>
      </w:r>
      <w:r>
        <w:rPr>
          <w:rFonts w:ascii="Arial" w:cs="Arial" w:eastAsia="Arial" w:hAnsi="Arial"/>
          <w:sz w:val="18"/>
          <w:szCs w:val="18"/>
          <w:b w:val="1"/>
          <w:bCs w:val="1"/>
          <w:color w:val="auto"/>
        </w:rPr>
        <w:t>Except as set forth herein regarding the correction to the amounts reported in the “Total” column of the</w:t>
      </w:r>
    </w:p>
    <w:p>
      <w:pPr>
        <w:spacing w:after="0" w:line="1"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b w:val="1"/>
          <w:bCs w:val="1"/>
          <w:color w:val="auto"/>
        </w:rPr>
        <w:t>Summary Compensation Table, there is no change to Proposal 2—Advisory Vote on Executive Compensation, included in the Proxy Statement.</w:t>
      </w:r>
    </w:p>
    <w:p>
      <w:pPr>
        <w:spacing w:after="0" w:line="32"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 xml:space="preserve">Please note that any proxy card that you requested or that we elected to deliver has not changed and may still be used to vote your shares in connection with the Annual Meeting. </w:t>
      </w:r>
      <w:r>
        <w:rPr>
          <w:rFonts w:ascii="Arial" w:cs="Arial" w:eastAsia="Arial" w:hAnsi="Arial"/>
          <w:sz w:val="18"/>
          <w:szCs w:val="18"/>
          <w:b w:val="1"/>
          <w:bCs w:val="1"/>
          <w:color w:val="auto"/>
        </w:rPr>
        <w:t>If you have already submitted your vote, you do not need to take any further action.</w:t>
      </w:r>
      <w:r>
        <w:rPr>
          <w:rFonts w:ascii="Arial" w:cs="Arial" w:eastAsia="Arial" w:hAnsi="Arial"/>
          <w:sz w:val="18"/>
          <w:szCs w:val="18"/>
          <w:color w:val="auto"/>
        </w:rPr>
        <w:t xml:space="preserve"> Information on how to vote your shares and how to change your vote or revoke your proxy is contained in the Proxy Statement. The Company urges stockholders to vote their shares prior to the Annual Meeting by using one of the methods described in the Proxy Statement.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1234440" cy="31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Earl Douglas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and Corporate Secretary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May 20, 2026</w:t>
      </w:r>
    </w:p>
    <w:sectPr>
      <w:pgSz w:w="11900" w:h="16838" w:orient="portrait"/>
      <w:cols w:equalWidth="0" w:num="1">
        <w:col w:w="11220"/>
      </w:cols>
      <w:pgMar w:left="320" w:top="78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2026-05-21T05:05:14Z</dcterms:created>
  <dcterms:modified xsi:type="dcterms:W3CDTF">2026-05-21T05:05:14Z</dcterms:modified>
</cp:coreProperties>
</file>