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pPr>
      <w:r>
        <w:rPr>
          <w:rFonts w:ascii="Times New Roman;serif" w:hAnsi="Times New Roman;serif"/>
          <w:b/>
          <w:color w:val="000000"/>
          <w:sz w:val="20"/>
        </w:rPr>
        <w:t>For the transition period from </w:t>
      </w:r>
      <w:r>
        <w:rPr>
          <w:color w:val="000000"/>
          <w:u w:val="single"/>
        </w:rPr>
        <w:t>                    </w:t>
      </w:r>
      <w:r>
        <w:rPr>
          <w:color w:val="000000"/>
        </w:rPr>
        <w:t> </w:t>
      </w:r>
      <w:r>
        <w:rPr>
          <w:rFonts w:ascii="Times New Roman;serif" w:hAnsi="Times New Roman;serif"/>
          <w:b/>
          <w:color w:val="000000"/>
          <w:sz w:val="20"/>
        </w:rPr>
        <w:t>to </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001-38693 </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Allogene Therapeutics,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2"/>
        <w:gridCol w:w="432"/>
        <w:gridCol w:w="620"/>
      </w:tblGrid>
      <w:t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82-3562771</w:t>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 East Grand Avenue, South San Francisco, California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457-2700</w:t>
      </w:r>
    </w:p>
    <w:tbl>
      <w:tblPr>
        <w:tblW w:w="6449" w:type="dxa"/>
        <w:jc w:val="center"/>
        <w:tblInd w:w="0" w:type="dxa"/>
        <w:tblLayout w:type="fixed"/>
        <w:tblCellMar>
          <w:top w:w="28" w:type="dxa"/>
          <w:left w:w="28" w:type="dxa"/>
          <w:bottom w:w="28" w:type="dxa"/>
          <w:right w:w="28" w:type="dxa"/>
        </w:tblCellMar>
      </w:tblPr>
      <w:tblGrid>
        <w:gridCol w:w="705"/>
        <w:gridCol w:w="620"/>
        <w:gridCol w:w="620"/>
        <w:gridCol w:w="796"/>
        <w:gridCol w:w="796"/>
        <w:gridCol w:w="796"/>
        <w:gridCol w:w="620"/>
        <w:gridCol w:w="620"/>
        <w:gridCol w:w="876"/>
      </w:tblGrid>
      <w:t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887"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00" w:after="283"/>
        <w:ind w:left="0" w:right="0" w:firstLine="540"/>
        <w:jc w:val="left"/>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540"/>
        <w:jc w:val="left"/>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0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09"/>
        <w:gridCol w:w="109"/>
        <w:gridCol w:w="109"/>
        <w:gridCol w:w="669"/>
        <w:gridCol w:w="669"/>
        <w:gridCol w:w="673"/>
        <w:gridCol w:w="109"/>
        <w:gridCol w:w="109"/>
        <w:gridCol w:w="154"/>
      </w:tblGrid>
      <w:t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lineRule="auto" w:line="288" w:before="120" w:after="283"/>
        <w:ind w:left="0" w:right="0" w:firstLine="540"/>
        <w:jc w:val="left"/>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0" w:after="0"/>
        <w:jc w:val="left"/>
      </w:pPr>
      <w:r/>
    </w:p>
    <w:p>
      <w:pPr>
        <w:pStyle w:val="TextBody"/>
        <w:bidi w:val="0"/>
        <w:spacing w:lineRule="auto" w:line="288" w:before="8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As of November 3, 2026, the registrant had 346,467,307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19" w:type="dxa"/>
        <w:jc w:val="center"/>
        <w:tblInd w:w="0" w:type="dxa"/>
        <w:tblLayout w:type="fixed"/>
        <w:tblCellMar>
          <w:top w:w="28" w:type="dxa"/>
          <w:left w:w="28" w:type="dxa"/>
          <w:bottom w:w="28" w:type="dxa"/>
          <w:right w:w="28" w:type="dxa"/>
        </w:tblCellMar>
      </w:tblPr>
      <w:tblGrid>
        <w:gridCol w:w="607"/>
        <w:gridCol w:w="534"/>
        <w:gridCol w:w="534"/>
        <w:gridCol w:w="2447"/>
        <w:gridCol w:w="2447"/>
        <w:gridCol w:w="2471"/>
        <w:gridCol w:w="227"/>
        <w:gridCol w:w="227"/>
        <w:gridCol w:w="325"/>
      </w:tblGrid>
      <w:t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c>
          <w:tcPr>
            <w:tcW w:w="9040"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
              <w:r>
                <w:rPr>
                  <w:rStyle w:val="InternetLink"/>
                  <w:rFonts w:ascii="Times New Roman;serif" w:hAnsi="Times New Roman;serif"/>
                  <w:b/>
                  <w:strike w:val="false"/>
                  <w:dstrike w:val="false"/>
                  <w:color w:val="0000FF"/>
                  <w:sz w:val="20"/>
                  <w:u w:val="none"/>
                  <w:effect w:val="none"/>
                </w:rPr>
                <w:t>PART I:</w:t>
              </w:r>
            </w:hyperlink>
            <w:r>
              <w:rPr>
                <w:color w:val="000000"/>
              </w:rPr>
              <w:t xml:space="preserve"> </w:t>
            </w:r>
            <w:hyperlink w:anchor="ibea483b79a43496984969918082c4c5a_10">
              <w:r>
                <w:rPr>
                  <w:rStyle w:val="InternetLink"/>
                  <w:rFonts w:ascii="Times New Roman;serif" w:hAnsi="Times New Roman;serif"/>
                  <w:b w:val="false"/>
                  <w:color w:val="0000FF"/>
                  <w:sz w:val="20"/>
                  <w:u w:val="single"/>
                </w:rPr>
                <w:t>FINANCIAL INFORMATION</w:t>
              </w:r>
            </w:hyperlink>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3">
              <w:r>
                <w:rPr>
                  <w:rStyle w:val="InternetLink"/>
                  <w:rFonts w:ascii="Times New Roman;serif" w:hAnsi="Times New Roman;serif"/>
                  <w:b w:val="false"/>
                  <w:color w:val="0000FF"/>
                  <w:sz w:val="20"/>
                  <w:u w:val="single"/>
                </w:rPr>
                <w:t>Financial Statements - Unaudited</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3">
              <w:r>
                <w:rPr>
                  <w:rStyle w:val="InternetLink"/>
                  <w:rFonts w:ascii="Times New Roman;serif" w:hAnsi="Times New Roman;serif"/>
                  <w:b w:val="false"/>
                  <w:strike w:val="false"/>
                  <w:dstrike w:val="false"/>
                  <w:color w:val="000000"/>
                  <w:sz w:val="20"/>
                  <w:u w:val="none"/>
                  <w:effect w:val="none"/>
                </w:rPr>
                <w:t>1</w:t>
              </w:r>
            </w:hyperlink>
          </w:p>
        </w:tc>
      </w:tr>
      <w:t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6">
              <w:r>
                <w:rPr>
                  <w:rStyle w:val="InternetLink"/>
                  <w:rFonts w:ascii="Times New Roman;serif" w:hAnsi="Times New Roman;serif"/>
                  <w:b w:val="false"/>
                  <w:color w:val="0000FF"/>
                  <w:sz w:val="20"/>
                  <w:u w:val="single"/>
                </w:rPr>
                <w:t>Condensed Balance Sheets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6">
              <w:r>
                <w:rPr>
                  <w:rStyle w:val="InternetLink"/>
                  <w:rFonts w:ascii="Times New Roman;serif" w:hAnsi="Times New Roman;serif"/>
                  <w:b w:val="false"/>
                  <w:strike w:val="false"/>
                  <w:dstrike w:val="false"/>
                  <w:color w:val="000000"/>
                  <w:sz w:val="20"/>
                  <w:u w:val="none"/>
                  <w:effect w:val="none"/>
                </w:rPr>
                <w:t>1</w:t>
              </w:r>
            </w:hyperlink>
          </w:p>
        </w:tc>
      </w:tr>
      <w:t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9">
              <w:r>
                <w:rPr>
                  <w:rStyle w:val="InternetLink"/>
                  <w:rFonts w:ascii="Times New Roman;serif" w:hAnsi="Times New Roman;serif"/>
                  <w:b w:val="false"/>
                  <w:color w:val="0000FF"/>
                  <w:sz w:val="20"/>
                  <w:u w:val="single"/>
                </w:rPr>
                <w:t>Condensed Statements of Operations and Comprehensive Loss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9">
              <w:r>
                <w:rPr>
                  <w:rStyle w:val="InternetLink"/>
                  <w:rFonts w:ascii="Times New Roman;serif" w:hAnsi="Times New Roman;serif"/>
                  <w:b w:val="false"/>
                  <w:strike w:val="false"/>
                  <w:dstrike w:val="false"/>
                  <w:color w:val="000000"/>
                  <w:sz w:val="20"/>
                  <w:u w:val="none"/>
                  <w:effect w:val="none"/>
                </w:rPr>
                <w:t>2</w:t>
              </w:r>
            </w:hyperlink>
          </w:p>
        </w:tc>
      </w:tr>
      <w:t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22">
              <w:r>
                <w:rPr>
                  <w:rStyle w:val="InternetLink"/>
                  <w:rFonts w:ascii="Times New Roman;serif" w:hAnsi="Times New Roman;serif"/>
                  <w:b w:val="false"/>
                  <w:color w:val="0000FF"/>
                  <w:sz w:val="20"/>
                  <w:u w:val="single"/>
                </w:rPr>
                <w:t>Condensed Statements of Stockholders’ Equity</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22">
              <w:r>
                <w:rPr>
                  <w:rStyle w:val="InternetLink"/>
                  <w:rFonts w:ascii="Times New Roman;serif" w:hAnsi="Times New Roman;serif"/>
                  <w:b w:val="false"/>
                  <w:strike w:val="false"/>
                  <w:dstrike w:val="false"/>
                  <w:color w:val="000000"/>
                  <w:sz w:val="20"/>
                  <w:u w:val="none"/>
                  <w:effect w:val="none"/>
                </w:rPr>
                <w:t>3</w:t>
              </w:r>
            </w:hyperlink>
          </w:p>
        </w:tc>
      </w:tr>
      <w:t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25">
              <w:r>
                <w:rPr>
                  <w:rStyle w:val="InternetLink"/>
                  <w:rFonts w:ascii="Times New Roman;serif" w:hAnsi="Times New Roman;serif"/>
                  <w:b w:val="false"/>
                  <w:color w:val="0000FF"/>
                  <w:sz w:val="20"/>
                  <w:u w:val="single"/>
                </w:rPr>
                <w:t>Condensed Statements of Cash Flows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25">
              <w:r>
                <w:rPr>
                  <w:rStyle w:val="InternetLink"/>
                  <w:rFonts w:ascii="Times New Roman;serif" w:hAnsi="Times New Roman;serif"/>
                  <w:b w:val="false"/>
                  <w:strike w:val="false"/>
                  <w:dstrike w:val="false"/>
                  <w:color w:val="000000"/>
                  <w:sz w:val="20"/>
                  <w:u w:val="none"/>
                  <w:effect w:val="none"/>
                </w:rPr>
                <w:t>5</w:t>
              </w:r>
            </w:hyperlink>
          </w:p>
        </w:tc>
      </w:tr>
      <w:tr>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28">
              <w:r>
                <w:rPr>
                  <w:rStyle w:val="InternetLink"/>
                  <w:rFonts w:ascii="Times New Roman;serif" w:hAnsi="Times New Roman;serif"/>
                  <w:b w:val="false"/>
                  <w:color w:val="0000FF"/>
                  <w:sz w:val="20"/>
                  <w:u w:val="single"/>
                </w:rPr>
                <w:t>Notes to Condensed Financial Statements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28">
              <w:r>
                <w:rPr>
                  <w:rStyle w:val="InternetLink"/>
                  <w:rFonts w:ascii="Times New Roman;serif" w:hAnsi="Times New Roman;serif"/>
                  <w:b w:val="false"/>
                  <w:strike w:val="false"/>
                  <w:dstrike w:val="false"/>
                  <w:color w:val="000000"/>
                  <w:sz w:val="20"/>
                  <w:u w:val="none"/>
                  <w:effect w:val="none"/>
                </w:rPr>
                <w:t>6</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73">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73">
              <w:r>
                <w:rPr>
                  <w:rStyle w:val="InternetLink"/>
                  <w:rFonts w:ascii="Times New Roman;serif" w:hAnsi="Times New Roman;serif"/>
                  <w:b w:val="false"/>
                  <w:strike w:val="false"/>
                  <w:dstrike w:val="false"/>
                  <w:color w:val="000000"/>
                  <w:sz w:val="20"/>
                  <w:u w:val="none"/>
                  <w:effect w:val="none"/>
                </w:rPr>
                <w:t>22</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0">
              <w:r>
                <w:rPr>
                  <w:rStyle w:val="InternetLink"/>
                  <w:rFonts w:ascii="Times New Roman;serif" w:hAnsi="Times New Roman;serif"/>
                  <w:b w:val="false"/>
                  <w:color w:val="0000FF"/>
                  <w:sz w:val="20"/>
                  <w:u w:val="single"/>
                </w:rPr>
                <w:t>Quantitative and Qualitative Disclosures About Market Risk</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00">
              <w:r>
                <w:rPr>
                  <w:rStyle w:val="InternetLink"/>
                  <w:rFonts w:ascii="Times New Roman;serif" w:hAnsi="Times New Roman;serif"/>
                  <w:b w:val="false"/>
                  <w:strike w:val="false"/>
                  <w:dstrike w:val="false"/>
                  <w:color w:val="000000"/>
                  <w:sz w:val="20"/>
                  <w:u w:val="none"/>
                  <w:effect w:val="none"/>
                </w:rPr>
                <w:t>36</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3">
              <w:r>
                <w:rPr>
                  <w:rStyle w:val="InternetLink"/>
                  <w:rFonts w:ascii="Times New Roman;serif" w:hAnsi="Times New Roman;serif"/>
                  <w:b w:val="false"/>
                  <w:color w:val="0000FF"/>
                  <w:sz w:val="20"/>
                  <w:u w:val="single"/>
                </w:rPr>
                <w:t>Controls and Procedures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03">
              <w:r>
                <w:rPr>
                  <w:rStyle w:val="InternetLink"/>
                  <w:rFonts w:ascii="Times New Roman;serif" w:hAnsi="Times New Roman;serif"/>
                  <w:b w:val="false"/>
                  <w:strike w:val="false"/>
                  <w:dstrike w:val="false"/>
                  <w:color w:val="000000"/>
                  <w:sz w:val="20"/>
                  <w:u w:val="none"/>
                  <w:effect w:val="none"/>
                </w:rPr>
                <w:t>37</w:t>
              </w:r>
            </w:hyperlink>
          </w:p>
        </w:tc>
      </w:tr>
      <w:tr>
        <w:tc>
          <w:tcPr>
            <w:tcW w:w="9819"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6">
              <w:r>
                <w:rPr>
                  <w:rStyle w:val="InternetLink"/>
                  <w:rFonts w:ascii="Times New Roman;serif" w:hAnsi="Times New Roman;serif"/>
                  <w:b/>
                  <w:strike w:val="false"/>
                  <w:dstrike w:val="false"/>
                  <w:color w:val="0000FF"/>
                  <w:sz w:val="20"/>
                  <w:u w:val="none"/>
                  <w:effect w:val="none"/>
                </w:rPr>
                <w:t>PART II:</w:t>
              </w:r>
            </w:hyperlink>
            <w:r>
              <w:rPr>
                <w:color w:val="000000"/>
              </w:rPr>
              <w:t xml:space="preserve"> </w:t>
            </w:r>
            <w:hyperlink w:anchor="ibea483b79a43496984969918082c4c5a_106">
              <w:r>
                <w:rPr>
                  <w:rStyle w:val="InternetLink"/>
                  <w:rFonts w:ascii="Times New Roman;serif" w:hAnsi="Times New Roman;serif"/>
                  <w:b w:val="false"/>
                  <w:color w:val="0000FF"/>
                  <w:sz w:val="20"/>
                  <w:u w:val="single"/>
                </w:rPr>
                <w:t>OTHER INFORMATION</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09">
              <w:r>
                <w:rPr>
                  <w:rStyle w:val="InternetLink"/>
                  <w:rFonts w:ascii="Times New Roman;serif" w:hAnsi="Times New Roman;serif"/>
                  <w:b w:val="false"/>
                  <w:color w:val="0000FF"/>
                  <w:sz w:val="20"/>
                  <w:u w:val="single"/>
                </w:rPr>
                <w:t>Legal Proceedings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09">
              <w:r>
                <w:rPr>
                  <w:rStyle w:val="InternetLink"/>
                  <w:rFonts w:ascii="Times New Roman;serif" w:hAnsi="Times New Roman;serif"/>
                  <w:b w:val="false"/>
                  <w:strike w:val="false"/>
                  <w:dstrike w:val="false"/>
                  <w:color w:val="000000"/>
                  <w:sz w:val="20"/>
                  <w:u w:val="none"/>
                  <w:effect w:val="none"/>
                </w:rPr>
                <w:t>38</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12">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12">
              <w:r>
                <w:rPr>
                  <w:rStyle w:val="InternetLink"/>
                  <w:rFonts w:ascii="Times New Roman;serif" w:hAnsi="Times New Roman;serif"/>
                  <w:b w:val="false"/>
                  <w:color w:val="0000FF"/>
                  <w:sz w:val="20"/>
                  <w:u w:val="single"/>
                </w:rPr>
                <w:t>Risk Factors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12">
              <w:r>
                <w:rPr>
                  <w:rStyle w:val="InternetLink"/>
                  <w:rFonts w:ascii="Times New Roman;serif" w:hAnsi="Times New Roman;serif"/>
                  <w:b w:val="false"/>
                  <w:strike w:val="false"/>
                  <w:dstrike w:val="false"/>
                  <w:color w:val="000000"/>
                  <w:sz w:val="20"/>
                  <w:u w:val="none"/>
                  <w:effect w:val="none"/>
                </w:rPr>
                <w:t>38</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1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15">
              <w:r>
                <w:rPr>
                  <w:rStyle w:val="InternetLink"/>
                  <w:rFonts w:ascii="Times New Roman;serif" w:hAnsi="Times New Roman;serif"/>
                  <w:b w:val="false"/>
                  <w:color w:val="0000FF"/>
                  <w:sz w:val="20"/>
                  <w:u w:val="single"/>
                </w:rPr>
                <w:t>Unregistered Sales of Equity Securities and Use of Proceeds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15">
              <w:r>
                <w:rPr>
                  <w:rStyle w:val="InternetLink"/>
                  <w:rFonts w:ascii="Times New Roman;serif" w:hAnsi="Times New Roman;serif"/>
                  <w:b w:val="false"/>
                  <w:strike w:val="false"/>
                  <w:dstrike w:val="false"/>
                  <w:color w:val="000000"/>
                  <w:sz w:val="20"/>
                  <w:u w:val="none"/>
                  <w:effect w:val="none"/>
                </w:rPr>
                <w:t>90</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1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18">
              <w:r>
                <w:rPr>
                  <w:rStyle w:val="InternetLink"/>
                  <w:rFonts w:ascii="Times New Roman;serif" w:hAnsi="Times New Roman;serif"/>
                  <w:b w:val="false"/>
                  <w:color w:val="0000FF"/>
                  <w:sz w:val="20"/>
                  <w:u w:val="single"/>
                </w:rPr>
                <w:t>Defaults Upon Senior Securities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18">
              <w:r>
                <w:rPr>
                  <w:rStyle w:val="InternetLink"/>
                  <w:rFonts w:ascii="Times New Roman;serif" w:hAnsi="Times New Roman;serif"/>
                  <w:b w:val="false"/>
                  <w:strike w:val="false"/>
                  <w:dstrike w:val="false"/>
                  <w:color w:val="000000"/>
                  <w:sz w:val="20"/>
                  <w:u w:val="none"/>
                  <w:effect w:val="none"/>
                </w:rPr>
                <w:t>90</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2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21">
              <w:r>
                <w:rPr>
                  <w:rStyle w:val="InternetLink"/>
                  <w:rFonts w:ascii="Times New Roman;serif" w:hAnsi="Times New Roman;serif"/>
                  <w:b w:val="false"/>
                  <w:color w:val="0000FF"/>
                  <w:sz w:val="20"/>
                  <w:u w:val="single"/>
                </w:rPr>
                <w:t>Mine Safety Disclosures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21">
              <w:r>
                <w:rPr>
                  <w:rStyle w:val="InternetLink"/>
                  <w:rFonts w:ascii="Times New Roman;serif" w:hAnsi="Times New Roman;serif"/>
                  <w:b w:val="false"/>
                  <w:strike w:val="false"/>
                  <w:dstrike w:val="false"/>
                  <w:color w:val="000000"/>
                  <w:sz w:val="20"/>
                  <w:u w:val="none"/>
                  <w:effect w:val="none"/>
                </w:rPr>
                <w:t>90</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2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24">
              <w:r>
                <w:rPr>
                  <w:rStyle w:val="InternetLink"/>
                  <w:rFonts w:ascii="Times New Roman;serif" w:hAnsi="Times New Roman;serif"/>
                  <w:b w:val="false"/>
                  <w:color w:val="0000FF"/>
                  <w:sz w:val="20"/>
                  <w:u w:val="single"/>
                </w:rPr>
                <w:t>Other Information</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24">
              <w:r>
                <w:rPr>
                  <w:rStyle w:val="InternetLink"/>
                  <w:rFonts w:ascii="Times New Roman;serif" w:hAnsi="Times New Roman;serif"/>
                  <w:b w:val="false"/>
                  <w:strike w:val="false"/>
                  <w:dstrike w:val="false"/>
                  <w:color w:val="000000"/>
                  <w:sz w:val="20"/>
                  <w:u w:val="none"/>
                  <w:effect w:val="none"/>
                </w:rPr>
                <w:t>91</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3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30">
              <w:r>
                <w:rPr>
                  <w:rStyle w:val="InternetLink"/>
                  <w:rFonts w:ascii="Times New Roman;serif" w:hAnsi="Times New Roman;serif"/>
                  <w:b w:val="false"/>
                  <w:color w:val="0000FF"/>
                  <w:sz w:val="20"/>
                  <w:u w:val="single"/>
                </w:rPr>
                <w:t>Exhibits</w:t>
              </w:r>
            </w:hyperlink>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30">
              <w:r>
                <w:rPr>
                  <w:rStyle w:val="InternetLink"/>
                  <w:rFonts w:ascii="Times New Roman;serif" w:hAnsi="Times New Roman;serif"/>
                  <w:b w:val="false"/>
                  <w:strike w:val="false"/>
                  <w:dstrike w:val="false"/>
                  <w:color w:val="000000"/>
                  <w:sz w:val="20"/>
                  <w:u w:val="none"/>
                  <w:effect w:val="none"/>
                </w:rPr>
                <w:t>92</w:t>
              </w:r>
            </w:hyperlink>
          </w:p>
        </w:tc>
      </w:tr>
      <w:tr>
        <w:tc>
          <w:tcPr>
            <w:tcW w:w="1675"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bea483b79a43496984969918082c4c5a_133">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bea483b79a43496984969918082c4c5a_133">
              <w:r>
                <w:rPr>
                  <w:rStyle w:val="InternetLink"/>
                  <w:rFonts w:ascii="Times New Roman;serif" w:hAnsi="Times New Roman;serif"/>
                  <w:b w:val="false"/>
                  <w:strike w:val="false"/>
                  <w:dstrike w:val="false"/>
                  <w:color w:val="000000"/>
                  <w:sz w:val="20"/>
                  <w:u w:val="none"/>
                  <w:effect w:val="none"/>
                </w:rPr>
                <w:t>93</w:t>
              </w:r>
            </w:hyperlink>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98"/>
        <w:gridCol w:w="2342"/>
        <w:gridCol w:w="2280"/>
        <w:gridCol w:w="213"/>
        <w:gridCol w:w="837"/>
        <w:gridCol w:w="110"/>
        <w:gridCol w:w="109"/>
        <w:gridCol w:w="109"/>
        <w:gridCol w:w="109"/>
        <w:gridCol w:w="211"/>
        <w:gridCol w:w="829"/>
        <w:gridCol w:w="158"/>
      </w:tblGrid>
      <w:tr>
        <w:tc>
          <w:tcPr>
            <w:tcW w:w="289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299,826 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placed in escrow</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noncurrent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6 and 7)</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September 30, 2026 and December 31, 2025; no shares were issued and outstanding as of September 30, 2026 and December 31, 2025</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800,000,000 and 400,000,000 shares authorized as of September 30, 2026 and December 31, 2025, respectively; 346,279,825 and 229,413,523 shares issued and outstanding as of September 30, 2026 and December 31, 2025, respectively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(2,146,362)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392,552 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511,320 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pStyle w:val="TextBody"/>
        <w:bidi w:val="0"/>
        <w:spacing w:before="120" w:after="283"/>
        <w:ind w:left="0" w:right="0" w:hanging="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45"/>
        <w:gridCol w:w="1170"/>
        <w:gridCol w:w="1176"/>
        <w:gridCol w:w="257"/>
        <w:gridCol w:w="944"/>
        <w:gridCol w:w="117"/>
        <w:gridCol w:w="117"/>
        <w:gridCol w:w="117"/>
        <w:gridCol w:w="117"/>
        <w:gridCol w:w="257"/>
        <w:gridCol w:w="944"/>
        <w:gridCol w:w="117"/>
        <w:gridCol w:w="109"/>
        <w:gridCol w:w="109"/>
        <w:gridCol w:w="109"/>
        <w:gridCol w:w="228"/>
        <w:gridCol w:w="964"/>
        <w:gridCol w:w="112"/>
        <w:gridCol w:w="112"/>
        <w:gridCol w:w="112"/>
        <w:gridCol w:w="112"/>
        <w:gridCol w:w="228"/>
        <w:gridCol w:w="964"/>
        <w:gridCol w:w="168"/>
      </w:tblGrid>
      <w:tr>
        <w:tc>
          <w:tcPr>
            <w:tcW w:w="154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(166,911)</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(152,076)</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available-for-sale investments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(51,294)</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(41,120)</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(137,365)</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(151,752)</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6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20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346,092,814 </w:t>
            </w:r>
          </w:p>
        </w:tc>
        <w:tc>
          <w:tcPr>
            <w:tcW w:w="1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222,038,680 </w:t>
            </w:r>
          </w:p>
        </w:tc>
        <w:tc>
          <w:tcPr>
            <w:tcW w:w="1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305,492,175 </w:t>
            </w:r>
          </w:p>
        </w:tc>
        <w:tc>
          <w:tcPr>
            <w:tcW w:w="1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218,800,085 </w:t>
            </w:r>
          </w:p>
        </w:tc>
        <w:tc>
          <w:tcPr>
            <w:tcW w:w="16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before="0" w:after="0"/>
        <w:jc w:val="center"/>
      </w:pPr>
      <w:r/>
    </w:p>
    <w:p>
      <w:pPr>
        <w:pStyle w:val="TextBody"/>
        <w:bidi w:val="0"/>
        <w:spacing w:before="0" w:after="0"/>
        <w:jc w:val="center"/>
      </w:pPr>
      <w:r/>
    </w:p>
    <w:tbl>
      <w:tblPr>
        <w:tblW w:w="10703" w:type="dxa"/>
        <w:jc w:val="center"/>
        <w:tblInd w:w="0" w:type="dxa"/>
        <w:tblLayout w:type="fixed"/>
        <w:tblCellMar>
          <w:top w:w="28" w:type="dxa"/>
          <w:left w:w="28" w:type="dxa"/>
          <w:bottom w:w="28" w:type="dxa"/>
          <w:right w:w="28" w:type="dxa"/>
        </w:tblCellMar>
      </w:tblPr>
      <w:tblGrid>
        <w:gridCol w:w="841"/>
        <w:gridCol w:w="344"/>
        <w:gridCol w:w="346"/>
        <w:gridCol w:w="593"/>
        <w:gridCol w:w="593"/>
        <w:gridCol w:w="22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16"/>
        <w:gridCol w:w="946"/>
        <w:gridCol w:w="164"/>
        <w:gridCol w:w="109"/>
        <w:gridCol w:w="109"/>
        <w:gridCol w:w="109"/>
        <w:gridCol w:w="231"/>
        <w:gridCol w:w="905"/>
        <w:gridCol w:w="170"/>
      </w:tblGrid>
      <w:tr>
        <w:tc>
          <w:tcPr>
            <w:tcW w:w="8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2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42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06" w:type="dxa"/>
            <w:gridSpan w:val="3"/>
            <w:vMerge w:val="continue"/>
            <w:tcBorders/>
            <w:tcMar>
              <w:top w:w="0" w:type="dxa"/>
              <w:left w:w="0" w:type="dxa"/>
              <w:bottom w:w="0" w:type="dxa"/>
              <w:right w:w="0" w:type="dxa"/>
            </w:tcMar>
            <w:vAlign w:val="center"/>
          </w:tcPr>
          <w:p>
            <w:pPr>
              <w:pStyle w:val="Normal"/>
              <w:bidi w:val="0"/>
              <w:jc w:val="left"/>
            </w:p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229,413,523 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and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$0.3 million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12,476,533 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2026</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244,816,413 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public offering, net of commissions and offering costs of $12.5 million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2026</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345,345,427 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436,175 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2026</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346,279,825 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(2,146,362)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392,552 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tbl>
      <w:tblPr>
        <w:tblW w:w="10703" w:type="dxa"/>
        <w:jc w:val="center"/>
        <w:tblInd w:w="0" w:type="dxa"/>
        <w:tblLayout w:type="fixed"/>
        <w:tblCellMar>
          <w:top w:w="28" w:type="dxa"/>
          <w:left w:w="28" w:type="dxa"/>
          <w:bottom w:w="28" w:type="dxa"/>
          <w:right w:w="28" w:type="dxa"/>
        </w:tblCellMar>
      </w:tblPr>
      <w:tblGrid>
        <w:gridCol w:w="841"/>
        <w:gridCol w:w="344"/>
        <w:gridCol w:w="346"/>
        <w:gridCol w:w="593"/>
        <w:gridCol w:w="593"/>
        <w:gridCol w:w="226"/>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82"/>
        <w:gridCol w:w="845"/>
        <w:gridCol w:w="199"/>
        <w:gridCol w:w="109"/>
        <w:gridCol w:w="109"/>
        <w:gridCol w:w="109"/>
        <w:gridCol w:w="231"/>
        <w:gridCol w:w="905"/>
        <w:gridCol w:w="170"/>
      </w:tblGrid>
      <w:tr>
        <w:tc>
          <w:tcPr>
            <w:tcW w:w="8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2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42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306" w:type="dxa"/>
            <w:gridSpan w:val="3"/>
            <w:vMerge w:val="continue"/>
            <w:tcBorders/>
            <w:tcMar>
              <w:top w:w="0" w:type="dxa"/>
              <w:left w:w="0" w:type="dxa"/>
              <w:bottom w:w="0" w:type="dxa"/>
              <w:right w:w="0" w:type="dxa"/>
            </w:tcMar>
            <w:vAlign w:val="center"/>
          </w:tcPr>
          <w:p>
            <w:pPr>
              <w:pStyle w:val="Normal"/>
              <w:bidi w:val="0"/>
              <w:jc w:val="left"/>
            </w:p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212,210,597 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422,179 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2,158,522 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$0.2 million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218,598,262 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385,393 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 net of commissions and offering costs of $0.02 million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220,133,876 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344,561 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and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ATM offering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2,497,894 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available-for-sale investments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2025</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223,163,672 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2,286,770 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(1,971,899)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315,329 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66"/>
        <w:gridCol w:w="2337"/>
        <w:gridCol w:w="2356"/>
        <w:gridCol w:w="213"/>
        <w:gridCol w:w="886"/>
        <w:gridCol w:w="118"/>
        <w:gridCol w:w="118"/>
        <w:gridCol w:w="118"/>
        <w:gridCol w:w="118"/>
        <w:gridCol w:w="213"/>
        <w:gridCol w:w="886"/>
        <w:gridCol w:w="176"/>
      </w:tblGrid>
      <w:tr>
        <w:tc>
          <w:tcPr>
            <w:tcW w:w="266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amortization/accretion on investment securities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rent expense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collaboration revenue - related party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placed in escrow</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(81,027)</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(121,647)</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investments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(151,031)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61,946 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ATM offering, net of commissions and issuance costs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public offering, net of commissions and issuance costs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CIRM award (Note 5)</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exercise of stock options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the employee stock purchase plan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209,640 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(37,403)</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 beginning of period</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 end of period</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operating activities:</w:t>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purchases in accounts payable and accrued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c>
          <w:tcPr>
            <w:tcW w:w="7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63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Allogene Therapeutics, Inc. (the Company or Allogene) was incorporated on November 30, 2017 in the State of Delaware and is headquartered in South San Francisco, California. Allogene is a clinical stage biotechnology company pioneering the development of genetically engineered allogeneic T cell product candidates for the treatment of cancer and autoimmune diseases. The Company is developing a pipeline of off-the-shelf T cell product candidates that are designed to target and kill cancer cells in patients or eliminate pathogenic autoreactive cells in patients with autoimmune disorders. The Company’s engineered T cells are allogeneic, meaning they are derived from healthy donors for intended use in any patient, rather than from an individual patient for that patient’s use, as in the case of autologous T cells. The Company believes this key difference will enable it to deliver readily available treatments faster, more reliably, at greater scale, and to more patients.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Public Offerings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2019, the Company entered into a sales agreement with TD Securities (USA) LLC (f/k/a Cowen and Company, LLC) (TD Cowen), as amended on November 2, 2022 and November 2, 2023, under which the Company may from time to time issue and sell shares of its common stock through TD Cowen in at-the-market (ATM) offerings. The aggregate compensation payable to TD Cowen as the Company’s sales agent equals up to 3.0% of the gross sales price of the shares sold through TD Cowen pursuant to the sales agreement. Although the sales agreement does not specify an aggregate dollar limit on sales, sales under the agreement may be made only pursuant to an effective registration statement and an applicable prospectus supplement.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22, 2026, the Company filed a prospectus supplement under its effective shelf registration statement relating to the offer and sale of shares of its common stock having an aggregate offering price of up to $135.0 million pursuant to the sales agreement. During the nine months ended September 30, 2026, the Company sold an aggregate of 12,476,533 shares of common stock in ATM offerings resulting in net proceeds of $20.7 million. No shares were sold pursuant to the June 2026 prospectus supplement through September 30, 2026. As of September 30, 2026, shares of common stock having an aggregate offering price of up to $135.0 million remained available for sale under the June 2026 prospectus supplement, subject to market conditions, the terms and conditions of the sales agreement and applicable law.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14, 2026, the Company entered into an underwriting agreement with Goldman Sachs &amp; Co. LLC, Jefferies LLC and TD Securities (USA) LLC, as representatives of the several underwriters named therein (Underwriters), relating to the issuance and sale in a public offering of shares of the Company’s common stock (April 2026 Public Offering). On April 16, 2026, the Company closed the April 2026 Public Offering in which it sold 100,200,000 shares of its common stock at a public offering price of $2.00 per share, including 12,700,000 additional shares sold pursuant to the Underwriters’ partial exercise of their option to purchase additional shares. The aggregate gross proceeds were $200.4 million and the aggregate net proceeds were approximately $187.9 million, after deducting underwriting discounts and commissions and offering expenses payable by the Company.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Need for Additional Capital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sustained operating losses and expects to continue to generate operating losses for the foreseeable future. The Company’s ultimate success depends on the outcome of its research and development activities as well as the ability to commercialize the Company’s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cash, cash equivalents and investments of $388.9 million as of September 30, 2026. Since inception through September 30, 2026, the Company has incurred cumulative net losses of $2,146.4 million. Management expects to incur additional losses in the future to fund its operations and conduct product research and development and recognizes the need to raise additional capital to fully implement its business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raise additional capital through the issuance of equity securities, debt financings, collaborations or other sources to further implement its business plan. If additional financing is not available at adequate levels, the Company may need to reevaluate its operating plan and may be required to delay the development of its product candidates. The Company expects that its cash, cash equivalents and investments as of September 30, 2026 will be sufficient to fund its operations for at least the next 12 months from the date the accompanying unaudited condensed financial statements are filed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63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financial statements have been prepared in accordance with accounting principles generally accepted in the United States of America (GAAP) for interim financial information and pursuant to Form 10-Q and Article 10 of Regulation S-X of the SEC. Accordingly, they do not include all of the information and footnotes required by GAAP for complete financial statements. In the Company’s opinion, all adjustments (consisting only of normal recurring adjustments) considered necessary for a fair presentation of the results of operations and cash flows for the periods presented have been included.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balance sheet as of September 30, 2026, the condensed statements of operations and comprehensive loss for the three and nine months ended September 30, 2026 and 2025, the condensed statements of stockholders’ equity as of September 30, 2026 and 2025, the condensed statements of cash flows for the nine months ended September 30, 2026 and 2025, and the financial data and other financial information disclosed in the notes to the condensed financial statements are unaudited. The results of operations for the three and nine months ended September 30, 2026 are not necessarily indicative of the results to be expected for the year ending December 31, 2026, or for any other future annual or interim period. These condensed financial statements should be read in conjunction with the Company’s audited financial statements and related notes for the year ended December 31, 2025, included in the Company’s Annual Report on Form 10-K, filed with the SEC on March 12, 2026 (Annual Report).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expenses during the reporting period. Significant estimates and assumptions made in the accompanying condensed financial statements include but are not limited to the fair value of common stock, the fair value of stock options, the fair value of investments, income tax uncertainties, the CIRM (as defined below) award liability, and certain accruals. The Company evaluates its estimates and assumptions on an ongoing basis using historical experience and other factors and adjusts those estimates and assumptions when facts and circumstances change. Actual results could differ from those estimates.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accounting policies during the three and nine months ended September 30, 2026, as compared to the significant accounting policies described in Note 1 of the “Notes to Financial Statements” in the Company’s audited financial statements included in its Annual Report.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effective that are expected to have a material impact on the Company’s condensed financial statements.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which requires new disclosures to disaggregate prescribed natural expenses 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financial statements and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costs. ASU 2025-06 removes all references to prescriptive and sequential software development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ASU 2025-06 is effective for annual periods beginning after December 15, 2027, with early adoption permitted as of the beginning of an annual period. The Company is currently in the process of evaluating the impact of this pronouncement on the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measures and reports its cash equivalents, restricted cash, and investments at fair value.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Money market funds are measured at fair value on a recurring basis using quoted prices and are classified as Level 1. Investments are measured at fair value based on inputs other than quoted prices that are derived from observable market data and are classified as Level 2 inputs, except for investments in U.S. treasury securities which are classified as Level 1.</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Level 3 assets or liabilities as of September 30, 2026 and as of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subject to fair value measurements on a recurring basis and the level of inputs used in such measurements by major security type as of September 30, 2026 and as of December 31, 2025 are presented in the following tables: </w:t>
      </w:r>
    </w:p>
    <w:p>
      <w:pPr>
        <w:pStyle w:val="TextBody"/>
        <w:bidi w:val="0"/>
        <w:spacing w:before="0" w:after="0"/>
        <w:jc w:val="left"/>
      </w:pPr>
      <w:r/>
    </w:p>
    <w:tbl>
      <w:tblPr>
        <w:tblW w:w="7267" w:type="dxa"/>
        <w:jc w:val="left"/>
        <w:tblInd w:w="0" w:type="dxa"/>
        <w:tblLayout w:type="fixed"/>
        <w:tblCellMar>
          <w:top w:w="28" w:type="dxa"/>
          <w:left w:w="28" w:type="dxa"/>
          <w:bottom w:w="28" w:type="dxa"/>
          <w:right w:w="28" w:type="dxa"/>
        </w:tblCellMar>
      </w:tblPr>
      <w:tblGrid>
        <w:gridCol w:w="749"/>
        <w:gridCol w:w="658"/>
        <w:gridCol w:w="662"/>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7267" w:type="dxa"/>
        <w:jc w:val="center"/>
        <w:tblInd w:w="0" w:type="dxa"/>
        <w:tblLayout w:type="fixed"/>
        <w:tblCellMar>
          <w:top w:w="28" w:type="dxa"/>
          <w:left w:w="28" w:type="dxa"/>
          <w:bottom w:w="28" w:type="dxa"/>
          <w:right w:w="28" w:type="dxa"/>
        </w:tblCellMar>
      </w:tblPr>
      <w:tblGrid>
        <w:gridCol w:w="749"/>
        <w:gridCol w:w="658"/>
        <w:gridCol w:w="662"/>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(1)Included within cash and cash equivalents on the Company’s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Financial Instruments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and amortized cost of cash equivalents and available-for-sale securities by major security type as of September 30, 2026 and as of December 31, 2025 are presented in the following tables:</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tbl>
      <w:tblPr>
        <w:tblW w:w="10122" w:type="dxa"/>
        <w:jc w:val="left"/>
        <w:tblInd w:w="0" w:type="dxa"/>
        <w:tblLayout w:type="fixed"/>
        <w:tblCellMar>
          <w:top w:w="28" w:type="dxa"/>
          <w:left w:w="28" w:type="dxa"/>
          <w:bottom w:w="28" w:type="dxa"/>
          <w:right w:w="28" w:type="dxa"/>
        </w:tblCellMar>
      </w:tblPr>
      <w:tblGrid>
        <w:gridCol w:w="1197"/>
        <w:gridCol w:w="1056"/>
        <w:gridCol w:w="1061"/>
        <w:gridCol w:w="262"/>
        <w:gridCol w:w="1027"/>
        <w:gridCol w:w="135"/>
        <w:gridCol w:w="109"/>
        <w:gridCol w:w="109"/>
        <w:gridCol w:w="109"/>
        <w:gridCol w:w="458"/>
        <w:gridCol w:w="881"/>
        <w:gridCol w:w="237"/>
        <w:gridCol w:w="109"/>
        <w:gridCol w:w="109"/>
        <w:gridCol w:w="109"/>
        <w:gridCol w:w="362"/>
        <w:gridCol w:w="1085"/>
        <w:gridCol w:w="189"/>
        <w:gridCol w:w="109"/>
        <w:gridCol w:w="109"/>
        <w:gridCol w:w="109"/>
        <w:gridCol w:w="211"/>
        <w:gridCol w:w="826"/>
        <w:gridCol w:w="154"/>
      </w:tblGrid>
      <w:t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22" w:type="dxa"/>
        <w:jc w:val="center"/>
        <w:tblInd w:w="0" w:type="dxa"/>
        <w:tblLayout w:type="fixed"/>
        <w:tblCellMar>
          <w:top w:w="28" w:type="dxa"/>
          <w:left w:w="28" w:type="dxa"/>
          <w:bottom w:w="28" w:type="dxa"/>
          <w:right w:w="28" w:type="dxa"/>
        </w:tblCellMar>
      </w:tblPr>
      <w:tblGrid>
        <w:gridCol w:w="1197"/>
        <w:gridCol w:w="1056"/>
        <w:gridCol w:w="1061"/>
        <w:gridCol w:w="262"/>
        <w:gridCol w:w="1027"/>
        <w:gridCol w:w="135"/>
        <w:gridCol w:w="109"/>
        <w:gridCol w:w="109"/>
        <w:gridCol w:w="109"/>
        <w:gridCol w:w="423"/>
        <w:gridCol w:w="934"/>
        <w:gridCol w:w="219"/>
        <w:gridCol w:w="109"/>
        <w:gridCol w:w="109"/>
        <w:gridCol w:w="109"/>
        <w:gridCol w:w="475"/>
        <w:gridCol w:w="914"/>
        <w:gridCol w:w="247"/>
        <w:gridCol w:w="109"/>
        <w:gridCol w:w="109"/>
        <w:gridCol w:w="109"/>
        <w:gridCol w:w="211"/>
        <w:gridCol w:w="826"/>
        <w:gridCol w:w="154"/>
      </w:tblGrid>
      <w:t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254,872 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investments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amortized cost and fair value of cash equivalents and available-for-sale securities with remaining contractual maturities of less than 1 year were $289.9 million and $289.2 million, respectively, and the amortized cost and fair value of cash equivalents and for available-for-sale securities with remaining contractual maturities with maturities of 1 to 2 years were $96.7 million and $95.9 million, respectively.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significant realized losses on available-for-sale securities for the three and nine months ended September 30, 2026 and 2025. As of September 30, 2026, unrealized losses on available-for-sale securities are not attributed to credit risk. The Company believes that it is more likely than not that investments in an unrealized loss position will be held until maturity and all interest and principal will be received. The Company believes that an allowance for credit losses is unnecessary because the unrealized losses on certain of the Company’s available-for-sale securities are due to market factors. As of September 30, 2026 and December 31, 2025, there were no securities in a continuous net unrealized loss position for more than 12 months. To date, the Company has not recorded any impairment charges on available-for-sale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made an accounting policy election not to recognize an allowance for credit losses for accrued interest receivable on available-for-sale securities. As of September 30, 2026 and December 31, 2025, the Company recognized $2.2 million and $1.5 million, respectively, of accrued interest receivable from available-for-sale securities within prepaid expenses and other current assets on the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6716" w:type="dxa"/>
        <w:jc w:val="left"/>
        <w:tblInd w:w="0" w:type="dxa"/>
        <w:tblLayout w:type="fixed"/>
        <w:tblCellMar>
          <w:top w:w="28" w:type="dxa"/>
          <w:left w:w="28" w:type="dxa"/>
          <w:bottom w:w="28" w:type="dxa"/>
          <w:right w:w="28" w:type="dxa"/>
        </w:tblCellMar>
      </w:tblPr>
      <w:tblGrid>
        <w:gridCol w:w="1369"/>
        <w:gridCol w:w="1203"/>
        <w:gridCol w:w="1208"/>
        <w:gridCol w:w="240"/>
        <w:gridCol w:w="941"/>
        <w:gridCol w:w="124"/>
        <w:gridCol w:w="109"/>
        <w:gridCol w:w="109"/>
        <w:gridCol w:w="109"/>
        <w:gridCol w:w="231"/>
        <w:gridCol w:w="905"/>
        <w:gridCol w:w="168"/>
      </w:tblGrid>
      <w:t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72,839 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made a decision to sublease one of its leased buildings in South San Francisco. The Company vacated and ceased occupancy of this building and began actively marketing the leased building for sublease in 2024. The Company determined that the change in how this building is being used was an indicator of impairment. The Company identified this to-be-sublet property as a separate asset group. The Company concluded that the carrying value of this to-be-sublet property asset group was not recoverable and the estimated fair value of this asset group was below its carrying value. The decrease in the fair value of this asset group was mainly due to the lower estimated sublease income based on current commercial rental market conditions compared to the lease payments in accordance with the initial operating lease agreement. The Company performed discounted cash flow analysis to estimate the fair value of its right-of-use asset and leasehold improvements. The key inputs to this valuation were expected sublease rental income of $1.9 million through March 2032 and the risk-adjusted annual discount rate of 9.50%. Based on this analysis, the Company concluded the fair value of the right-of-use asset and leasehold improvements of $1.2 million was lower than its net book value of $7.5 million. The Company recognized an aggregate long-lived asset impairment charge of $6.2 million on the right-of-use asset and leasehold improvements for the year ended December 31,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the Company identified an additional indicator that the carrying value of this to-be-sublet property asset group was not recoverable. The expected sublease rental income of $1.9 million as of December 31, 2024 had decreased to $0.7 million as of June 30, 2025 based on the sublease agreement executed in July 2025. The risk-adjusted annual discount rate was 9.25% as of June 30, 2025. The Company updated its discounted cash flow analysis to estimate fair value of its right-of-use asset and leasehold improvements. Based on this analysis, the resulting fair value was immaterial resulting in the write off of the $0.9 million right-of-use asset and $0.1 million leasehold improvements as long-lived asset impairment charges for the nine months ended September 30, 2025. There were no such costs for the three and nine months ended September 30,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during the nine months ended September 30, 2025, the Company recognized a non-cash equipment impairment charge of $1.3 million as a result of the Workforce Reduction, see the next section for further information.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2025, the Company’s Board of Directors approved an approximately 28% reduction in the Company’s employee workforce (Workforce Reduction) in connection with a reduction in manufacturing operations and a reprioritization of resources to focus on the Company’s clinical programs. The Workforce Reduction included one-time severance payments and other employee benefits and resulted in impairment of equipment. During the nine months ended September 30, 2025, the Company recorded $3.1 million, $0.3 million, and $1.3 million in research and development expense, general and administrative expense, and equipment impairment, respectively, in the statement of operations and comprehensive loss. There were no such costs for the three and nine months ended September 30, 2026. As of September 30, 2026, there were no remaining severance and other employee benefits accruals associated with the Workforce Reduction.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California Institute for Regenerative Medicine (CIRM) Award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26, 2024, the Company was awarded up to $15.0 million from CIRM to support the clinical development of ALLO-316, an AlloCAR T investigational product targeting CD70 in development for the treatment of advanced or metastatic renal cell carcinoma (RCC). Upon treatment of 20 patients, the Company met the primary study objectives of the ALLO-316 Phase 1b study plan supported by CIRM and was able to successfully complete the study plan on time and under budget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without further enrollment. As a result, the Company updated the study plan and requested a reduction in its co-funding responsibility and adjustments to the remaining milestone payments to align with the updated research plan. On April 28, 2025, the terms of the award were amended, and the total award amount was adjusted to up to $9.2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terms of the award, the disbursements are tied to the achievement of specified operational milestones. In addition, the terms of the award and amended award include a co-funding requirement pursuant to which the Company is required to spend up to approximately $15.7 million of its own capital to fund the CIRM funded research project. The award was made in accordance with the CIRM Grants Administration Policy for Clinical Stage Projects which may require the award to be repaid by the Company. Under the terms of the CIRM award, the Company is obligated to pay royalties based on a low single digit royalty percentage on net sales of CIRM-funded product candidate. The maximum royalty that the Company may be required to pay to CIRM is equal to nine times the total amount awarded and paid to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completing the CIRM funded research project and at any time after the award period end date (but no later than the ten-year anniversary of the date of the award), the Company has the right, upon its election, to convert the award into a loan. The terms of conversion into a loan will be determined based on various factors and could result in 80% to 100% plus interest at 10% per annum plus the Secured Overnight Financing Rate of the total award dependent upon the phase of clinical development of the product candidate at the time of the Company’s election to be repaid to CIRM.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income associated with the CIRM award will be recognized until it is confirmed with CIRM that the award does not require repayment. Upon cash receipt, the CIRM award and accrued interest will be recognized as other long-term liabilities on the condensed balance sheets. The Company will not recognize a receivable of future awards until it is approved by CIRM.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$9.2 million from CIRM through September 30, 2026 and accounted for the proceeds as a liability within other long-term liabilities on the condensed balance sheets. The Company recorded interest expense of $0.4 million and $1.0 million for the three and nine months ended September 30, 2026, respectively, and $0.3 million and $0.8 million for the three and nine months ended September 30, 2025, respectively. As of September 30, 2026, $2.3 million of accrued interest was included in other long-term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6.         License and Collaboration Agreements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Contribution Agreement with Pfizer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2018, the Company entered into an Asset Contribution Agreement (the Pfizer Agreement) with Pfizer pursuant to which the Company acquired certain assets and assumed certain liabilities from Pfizer, including agreements with Cellectis S.A. (Cellectis) and Servier as described below, and other intellectual property for the development and administration of chimeric antigen receptor (CAR) T cells for the treatment of cancer. The Company is required to make payments upon the achievement of certain sales and regulatory milestones and pay royalties on certain net sales pursuant to the Pfizer Agreement as further described in Note 6 to the Annual Report.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and 2025, no milestones were achieved and no royalty payments were made.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Cellectis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Pfizer Agreement, Pfizer assigned to the Company a Research Collaboration and License Agreement (the Original Cellectis Agreement) with Cellectis S.A. (Cellectis). On March 8, 2019, the Company entered into a License Agreement (the Cellectis Agreement) with Cellectis and terminated the Original Cellectis Agreement.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Cellectis Agreement, Cellectis granted to the Company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B-cell maturation antigen (BCMA), CD70, Claudin 18.2, DLL3 and FLT3 (the Allogene Targets), for human oncologic therapeutic, diagnostic, prophylactic and prognostic purposes. The Company is required to make payments upon the achievement of certain development and sales milestones and pay royalties on certain net sales pursuant to the Cellectis Agreement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received correspondence from Life Technologies Corporation (LTC), a subsidiary of Thermo Fisher Scientific, asserting that Cellectis had sublicensed to the Company or otherwise made available rights under certain patents licensed by LTC to Cellectis relating to TALEN technology, and that LTC had terminated its license agreements with Cellectis. Cellectis separately informed the Company that LTC had purported to terminate certain license agreements with Cellectis and commenced an arbitration against Cellectis and Cellectis Bioresearch before the American Arbitration Association. Cellectis also informed the Company that it disputes the purported termination and the claims asserted by LTC.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the arbitration and is evaluating the potential impact, if any, on its rights under the Cellectis Agreement and its other rights relating to product candidates that use TALEN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2026 and 2025, no milestones were achieved and no royalty payments were made.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Exclusive License Agreement with Servier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Pfizer Agreement, Pfizer assigned to the Company an Exclusive License Agreement (the Original Servier Agreement), with Les Laboratoires Servier SAS and Institut de Recherches Internationales Servier SAS (collectively, Servier) to develop, manufacture and commercialize certain allogeneic anti-CD19 CAR T cell product candidates, including UCART19, in the United States with the option to obtain the rights over additional anti-CD19 product candidates and for allogeneic CAR T cell product candidates directed against one additional target. In October 2019, the Company agreed to waive its rights to the one additional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10, 2024, the Company and Servier entered into an Amendment and Settlement Agreement (the Servier Amendment) which restructured the parties’ relationship under the Original Servier Agreement (as amended, the Servier Agreement). The Company’s licensed territory was expanded to include the European Union and the United Kingdom. The Company was also granted an option to further extend its licensed territory to include China and Japan upon the objective showing of sufficient resources to develop licensed products in those countries, which could be met through the Company entering into a strategic partnership covering those countries. Additionally, the Company agreed to waive certain of its rights under the Original Servier Agreement to elect a conversion of its license to the products directed against CD19, including UCART19, ALLO-501 and cemacabtagene ansegedleucel (cema-cel, previously ALLO-501A) (collectively, CD19 Products) to a worldwide license. Under the Servier Agreement, the Company is required to use commercially reasonable efforts to develop, manufacture and commercialize a CD19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Servier Agreement, Servier sublicenses to the Company certain rights which Servier licenses from Cellectis pursuant to a License, Development and Commercialization Agreement by and between Cellectis and Servier, dated February 7, 2014, as amended by Amendment No. 1 to the License, Development and Commercialization Agreement, dated March 4, 2020 (as amended, the Servier-Cellectis Agreement). As amended by the Servier Amendment, all of the Company’s future milestone payments (regulatory and sales) under the Original Servier Agreement were modified to be the same as, and to coincide with, Servier’s milestone payments to Cellectis that are required under the Servier-Cellectis Agreement. The Servier Agreement provides for aggregate potential milestone payments by the Company to Servier of up to €75.0 million upon successful completion of various regulatory milestones and first commercial sale milestones in the United States, European Union and the United Kingdom for the initial indication of each licensed product, of which €60.0 million remains for the initial indication for cema-cel, with additional payments of €55.0 million, due for each subsequent indication, of which €50.0 million remains for the first subsequent indication for cema-cel, and aggregate potential payments by the Company to Servier of up to €80.0 million upon achievement of certain net sales milestones for each licensed product. Should Servier’s rights and obligations under the Servier-Cellectis Agreement be assigned to the Company, these milestone payments would terminate, and the Company would assume Servier’s milestone payment obligations to Cellectis. In the absence of any such assignment, Servier will remain responsible for making milestone payments that may be due to Cellectis under the Servier-Cellectis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transferred €20.0 million into an escrow account in connection with a potential future milestone payment, which is included in the remaining €60.0 million in milestone payments referenced above for the initial indication for cema-cel. The milestone would have been payable upon the occurrence of certain development, regulatory or adjudicative events. On December 15, 2025, Cellectis publicly reported that an arbitral tribunal issued a decision providing for a partial termination of the Servier-Cellectis Agreement with respect to UCART19V1 (ALLO-501), which the Company previously abandoned in favor of cema-cel (formerly known as ALLO-501A), and affirmed continued licensing rights relating to cema-cel. As a result, the Company's Servier license covering UCART19V1/ALLO-501 was terminated and Cellectis was required, at the Company's request, to engage in good-faith discussions regarding a direct license. In September 2026, Servier informed the Company that Cellectis had communicated its decision to waive its right to regain the rights to UCART19V1/ALLO-501 arising from the partial termination of the Servier-Cellectis Agreement. On February 13, 2026, the €20.0 million balance in escrow was remitted to the Company, resulting in net cash proceeds of $23.7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pay to Servier royalties on annual net sales of any licensed products that are commercialized by the Company that are directed at CD19. Such royalties include tiered royalties on annual net sales in the United States and a flat royalty on annual net sales in territories outside the United States. The United States royalty rates are in a range from the low tens to the mid teen percentages and the ex-U.S. royalty rate is 10%. Such royalties may be reduced for interchangeable drug entry, expiration of patent rights and amounts paid pursuant to licenses of third-party patents. This royalty obligation begins upon the first commercial sale of such product in a given country and ends after the later of a defined number of years or the expiration of the last to expire licensed patent covering the product in such country. The net effect of the Servier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Amendment is that the Company’s royalty rate in the United States for the first half of the first tier of net sales was increased by a low single digit percentage as compared to the Original Servier Agreement. Should Servier’s rights and obligations under the Servier-Cellectis Agreement be assigned to the Company, each tier of royalty rates in the United States to Servier would be reduced by 10%, the ex-U.S. royalties to Servier would terminate, and the Company would assume Servier’s royalty obligations to Cellectis. In the absence of any such assignment, Servier will remain responsible for making royalty payments that may be due to Cellectis under the Servier-Cellectis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rights under the Servier Agreement with respect to CD19 Products, including cema-cel, depend in part on rights sublicensed by Servier from Cellectis. Accordingly, the purported termination of certain license agreements between LTC and Cellectis described above under “Research Collaboration and License Agreement with Cellectis” could also affect the Company’s rights with respect to CD19 Products if LTC were successful in challenging Cellectis’ rights and if the affected rights are necessary for the development, manufacture or commercialization of such products. The Company is not a party to the arbitration between LTC and Cellectis and is evaluating the potential impact, if any, on its rights under the Servier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and 2025, no milestones were achieved and no royalty payments were made.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Roche (formerly Notch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 2019, the Company entered into a Collaboration and License Agreement (the Notch Agreement) with Notch Therapeutics Inc. (Notch), pursuant to which Notch granted to Allogene an exclusive, worldwide, royalty-bearing, sublicensable license under certain of Notch’s intellectual property to develop, make, use, sell, import, and otherwise commercialize therapeutic gene-edited T cell and/or natural killer (NK) cell products from induced pluripotent stem cells directed at certain CAR targets for initial application in non-Hodgkin lymphoma, acute lymphoblastic leukemia and multiple myeloma. Pursuant to the Notch Agreement, the Company made certain investments in Notch’s capital stock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25, 2024, the Company entered into an Amended and Restated Collaboration and License Agreement under which the Company has relinquished its exclusive rights to all original CAR targets except one, limited its option right to one additional CAR target and became entitled to a percentage of certain third party upfront and/or milestone payments (up to a stated cap) and a low, single-digit royalty on net sales if Notch out-licenses any released targets. If the option is exercised, the Company will have a minimum funding commitment for the overall development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F. Hoffmann-La Roche AG’s (Roche) acquisition of Notch, in March 2025, Notch was dissolved, and Roche became Notch’s successor in interest under the Company’s agreement. In connection with such acquisition, on March 31, 2025 the Company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 Notch was dissolved on September 2, 2025 and final proceeds were distributed to the Company.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equity investment in Notch as of September 30, 2026 and December 31, 2025 was zero. For the three and nine months ended September 30, 2026 and 2025, no milestones were achieved.</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Strategic Alliance with The University of Texas MD Anderson Cancer Center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6, 2020, the Company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 or until the studies under the agreement are completed, whichever is later. Studies remain ongoing and the agreement remains in effect. The Company and MD Anderson are collaborating on the design and conduct of preclinical and clinical studies with oversight from a joint steering committee.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agreement, the Company has committed up to $15.0 million of funding for the duration of the agreement, of which $6.0 million remains. Payment of this funding is contingent on mutual agreement to study orders in order for any study to be included under the alliance. The Company is committed to making further payments to MD Anderson each year upon the anniversary of the agreement effective date through the duration of the agreement term, however, if MD Anderson has sufficient funds to continue the agreed-upon research projects, the Company may defer the additional payment to a later date. These costs are expensed to research and development as MD Anderson renders the services under the strategic alliance.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costs recorded as research and development expenses were $0.2 million and $0.3 million for the three and nine months ended September 30, 2026, respectively, and less than $0.1 million and $0.6 million for the three and nine months ended September 30,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Investment in and License Agreement with Overland Therapeutics,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Allogene Overland Biopharm (CY) Limited (Allogene Overland), later renamed Overland Therapeutics Inc. (Overland Therapeutics), was initially established as a joint venture by the Company and Overland Pharmaceuticals (CY) Inc. (Overland) pursuant to a Share Purchase Agreement (Share Purchase Agreement), dated December 14, 2020. Concurrently, on December 14, 2020, the Company entered into a License Agreement (License Agreement) with Allogene Overland for the purpose of developing, manufacturing and commercializing certain allogeneic CAR T cell therapies for patients in greater China, Taiwan, South Korea and Singapore (the JV Territory). Pursuant to the Share Purchase Agreement, the Company and Overland acquired Seed Preferred Shares of Allogene Overland representing 49% and 51%, respectively, of Allogene Overland’s outstanding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24, 2024, the Company, Overland, and Allogene Overland entered into a Share Exchange Agreement (Share Exchange Agreement) pursuant to which Overland’s cell therapy business merged into Allogene Overland (the Organizational Restructuring).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Share Exchange Agreement, Allogene Overland acquired from Overland a 100% equity interest in Overland Pharmaceuticals (U.S.) Inc. (Overland U.S.). Overland U.S. includes certain research and development, clinical, and general and administrative staff, as well as select cell therapy assets, including its lead program, OL-101, an autologous GPRC5D-BCMA bispecific dual targeting CAR T for refractory multiple myeloma. Upon completion of the closing of the share exchange, Overland U.S. became a wholly owned subsidiary of Allogene Overland, Overland’s ownership increased to 82% and the Company’s ownership decreased to 18%.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Organizational Restructuring, on May 24, 2024, the Company and Allogene Overland PRC, entered into a First Amendment to the License Agreement (the License Amendment) to amend and supplement certain provisions of the License Agreement. Under the License Amendment, the Company continued to grant Allogene Overland PRC an exclusive license to develop, manufacture, and commercialize the Licensed Products in the JV Territory, with the Company retaining exclusive rights to the Licensed Products outside the JV Territory, and the royalty obligations to the Company were amended to a flat mid single-digit royalty on net sales in the JV Territory that are no longer subject to reductions. The License Amendment also provided the Company with additional rights to terminate the License Agreement in its entirety or with respect to the relevant Overland Licensed Products if Allogene Overland PRC failed to initiate manufacturing technology transfer with respect to an Overland Licensed Product as agreed in the License Amendment, or if HBP committed a funding default or a material breach of its representations, warranties, or covenants under the Share Exchange Agreement. The License Amendment also provided that the License Agreement would terminate automatically if the Company’s ownership in Allogene Overland falls below 7.5% (other than due to the Company’s sale of the shares of Allogene Overland), unless at that time Allogene Overland PRC and the Company had mutually agreed on the manufacturing technology transfer plan for the Overland Licensed Products and Allogene Overland PRC elected to continue the license for such Overland Licensed Products with increased milestones and royalties. Under the terms of the License Amendment, such increased milestones and royalties consisted of up to $115.0 million in milestone payments for each Overland Licensed Product and tiered mid-single-digit to low-double-digit royalties on net sales in the JV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Organizational Restructuring, Allogene Overland was renamed Overland Therapeutics Inc. (Overland Therapeutics) and the Company determined that Overland Therapeutics was a variable interest entity. The Company does not have the power to direct the activities which most significantly affect Overland Therapeutics’ economic performance. Accordingly, the Company did not consolidate Overland Therapeutics because the Company determined that it was not the primary beneficiary. After the Organizational Restructuring, the Company had 20% voting rights of Overland Therapeutics’ board of directors. The Company concluded that it has significant influence over Overland Therapeutics and continued to account for its investment in Overland Therapeutics as an equity method investment. The Company’s total equity investment in Overland Therapeutics as of December 31, 2025 was zero.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12, 2026, the Company entered into a termination agreement with Overland Therapeutics (SH) Co. Ltd. and Overland Therapeutics, Inc., pursuant to which the License Agreement was terminated in its entirety (the License Agreement Termination). In connection with the License Agreement Termination, the Company surrendered 40,353,951 shares of Overland Therapeutics for no consideration and the Company entered into the Second Amended and Restated Shareholders' Agreement among the Company, Overland Therapeutics and HBP. Mutual releases were exchanged between the parties and no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termination payments were made. Following the License Agreement Termination, the Company’s ownership in Overland Therapeutics was reduced to approximately 3% on an as-converted and fully diluted basis.</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Upon termination of the License Agreement, the two remaining performance obligations were extinguished as of May 12, 2026: i) $1.9 million for the manufacturing license, related know-how and support and (ii) $2.7 million to the know-how to be developed in future periods. The Company concluded that the associated consideration of $4.6 million that was recorded in other long-term liabilities was nonrefundable and was therefore recognized as collaboration revenue — related party in the condensed statements of operations for the nine months ended September 30, 2026. </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Following the License Agreement Termination, the Company’s ownership in Overland Therapeutics was reduced to approximately 3% and the Company’s 20% voting rights on Overland Therapeutics’ board of directors were eliminated. The Company re-performed its variable interest entity analysis and concluded that Overland Therapeutics continues to be a VIE for which the Company is not the primary beneficiary. The Company determined that it no longer has significant influence over Overland Therapeutics and, accordingly, prospectively reclassified its equity method investment to an equity security measured under the measurement alternative in accordance with ASC 321, Investments—Equity Securities, effective May 12, 2026. The initial cost basis at reclassification was zero. The Company retains approximately 3% of Overland Therapeutics’ equity on an as-converted and fully diluted basis, carried at cost less any impairment, adjusted for observable price changes in orderly transactions.</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Under the Second Amended and Restated Shareholders’ Agreement, the Company retains certain protective shareholder rights including a tag-along right (co-sale right if HBP proposes to transfer more than 25% of its shares to a non-affiliate), preemptive rights (pro rata participation in future equity issuances) and registration rights. These rights are protective in nature and do not constitute derivative instruments under ASC 815.</w:t>
      </w:r>
    </w:p>
    <w:p>
      <w:pPr>
        <w:pStyle w:val="TextBody"/>
        <w:bidi w:val="0"/>
        <w:spacing w:lineRule="auto" w:line="288" w:before="12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Company recognized zero and $4.6 million of collaboration revenue — related party, respectively. Collaboration revenue was zero for the three and nine months ended September 30, 2025. As of September 30, 2026, no deferred revenue related to the License Agreement remained. The Company’s total equity investment in Overland Therapeutics as of September 30, 2026 was zero. The Company’s total equity method investment in Overland Therapeutics as of December 31, 2025 was zero.</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and License Agreement with Antion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Company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2023, the Company and Antion entered into an amendment to the Antion Collaboration and License Agreement. Under the terms of this amendment, Antion’s exclusivity obligation relating to the collaboration was terminated; however, Antion agreed to certain restrictions on its ability to pursue products directed against specific targets. Also, in lieu of the Company’s prior obligation to make a $3.0 million investment in Antion following the completion of certain milestones, the Company agreed to make a $2.0 million investment in Antion’s preferred stock and acquired warrants to purchase an additional $3.0 million of Antion’s preferred stock. The Company is required to make payments upon the achievement of certain development and regulatory milestones and pay royalties on certain sales pursuant to the Antion Collaboration and License Agreement as further described in Note 6 to the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Company’s total equity investment in Antion was zero.</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Strategic Collaboration Agreement with Natera (formerly Foresight Diagnostics)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 2024, the Company entered into a Strategic Collaboration Agreement with Foresight Diagnostics, Inc. (Foresight Diagnostics) (the Natera Agreement). Foresight Diagnostics was acquired by Natera, Inc. (Natera) in December 2025 and continues to operate as a standalone subsidiary. Pursuant to the Natera Agreement, the parties have agreed to collaborate on a non-exclusive basis in the development of Natera’s CLARITY™ minimal residual disease (MRD) assay powered by phased variant technology as an in vitro diagnostic to identify the MRD+ patient population to be enrolled in the Company’s ALPHA3 trial of cema-cel, for treatment of large B-cell lymphoma (LBCL). Under the Natera Agreement, the Company has agreed to use its commercially reasonable efforts to obtain regulatory approval of cema-cel, and Natera has agreed to use its commercially reasonable efforts to obtain regulatory approval of its MRD assay for use as an in vitro diagnostic with cema-cel.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19, 2025, the Company entered into an Amended and Restated Strategic Collaboration Agreement with Natera (then operating as Foresight Diagnostics) which expands its collaboration to include the development of Natera’s MRD assay for use with cema-cel as part of a possible EU and/or UK clinical development program, and as part of an expansion of ALPHA3 to Canadian and Australian clinical trial sites in support of the U.S. clinical development program. In November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2025, the Company amended the agreement, effective as of August 5, 2025, to add a workplan supporting clinical trial readiness activities for the expansion of ALPHA3 into South Korea. In total, the Company agreed to fund approximately $37.3 million in MRD assay development costs, milestone payments for U.S., and certain international regulatory submissions and assay utilization costs to process clinical samples, all in addition to the financial commitments under the Natera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 milestones recorded as research and development expenses were $1.6 million and $5.0 million for the three and nine months ended September 30, 2026, respectively, and $1.2 million and $4.3 million for the three and nine months ended September 30, 2025, respectively. As of September 30, 2026 and December 31, 2025, $1.6 million and $1.4 million in research and development expenses, respectively, were recorded in accrued and other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2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2018, the Company entered into an operating lease agreement (HQ Lease) for office and laboratory space which consists of approximately 68,000 square feet located in South San Francisco, California. In December 2021, the Company amended its lease agreement to lease an additional 47,566 square feet of office and laboratory space in South San Francisco, California, as part of the same building as the Company’s current headquarters. The lease term commenced in April 2022. The rent payments for the expansion premises began in August 2022. The lease term for both the existing and expansion premises will expire on March 31, 2032 with an option to extend the term for eight years which is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2018, the Company entered into an operating lease agreement for office and laboratory space which consists of 14,943 square feet located in South San Francisco, California. The lease term will expire March 31, 2032 with an option to extend the term for eight years which is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2019, the Company entered into a lease agreement for approximately 118,000 square feet of space to develop a cell therapy manufacturing facility in Newark, California. The lease term will expire on July 31, 2036 with two ten-year options to extend the lease, both of which are not reasonably assured of exercise.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 entered into a sublease with Bellco Capital Advisors Inc. (Bellco) for 2,218 square feet of office space in Los Angeles, California, which was subsequently reduced to 1,944 square feet in February 2026. The sublease term is 115 months, subject to certain early termination rights. The sublease commenced on January 1, 2024.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letters of credit for the benefit of landlords which are disclosed as restricted cash in the condensed balance sheets. Restricted cash related to letters of credit due to landlords was $6.0 million as of September 30,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the Company’s lease liabilities was as follows (in thousands):</w:t>
      </w:r>
    </w:p>
    <w:tbl>
      <w:tblPr>
        <w:tblW w:w="8903" w:type="dxa"/>
        <w:jc w:val="left"/>
        <w:tblInd w:w="0" w:type="dxa"/>
        <w:tblLayout w:type="fixed"/>
        <w:tblCellMar>
          <w:top w:w="28" w:type="dxa"/>
          <w:left w:w="28" w:type="dxa"/>
          <w:bottom w:w="28" w:type="dxa"/>
          <w:right w:w="28" w:type="dxa"/>
        </w:tblCellMar>
      </w:tblPr>
      <w:tblGrid>
        <w:gridCol w:w="2041"/>
        <w:gridCol w:w="1793"/>
        <w:gridCol w:w="1806"/>
        <w:gridCol w:w="109"/>
        <w:gridCol w:w="109"/>
        <w:gridCol w:w="109"/>
        <w:gridCol w:w="264"/>
        <w:gridCol w:w="904"/>
        <w:gridCol w:w="136"/>
        <w:gridCol w:w="109"/>
        <w:gridCol w:w="109"/>
        <w:gridCol w:w="109"/>
        <w:gridCol w:w="253"/>
        <w:gridCol w:w="867"/>
        <w:gridCol w:w="185"/>
      </w:tblGrid>
      <w:tr>
        <w:tc>
          <w:tcPr>
            <w:tcW w:w="2041"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portion included in accrued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76,936 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83,253 </w:t>
            </w:r>
          </w:p>
        </w:tc>
        <w:tc>
          <w:tcPr>
            <w:tcW w:w="1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for operating leases, which were recognized in operating expenses, were as follows (in thousands):</w:t>
      </w:r>
    </w:p>
    <w:tbl>
      <w:tblPr>
        <w:tblW w:w="7092"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under the Company’s operating leases as of September 30, 2026 were as follows:</w:t>
      </w:r>
    </w:p>
    <w:tbl>
      <w:tblPr>
        <w:tblW w:w="4706" w:type="dxa"/>
        <w:jc w:val="left"/>
        <w:tblInd w:w="0" w:type="dxa"/>
        <w:tblLayout w:type="fixed"/>
        <w:tblCellMar>
          <w:top w:w="28" w:type="dxa"/>
          <w:left w:w="28" w:type="dxa"/>
          <w:bottom w:w="28" w:type="dxa"/>
          <w:right w:w="28" w:type="dxa"/>
        </w:tblCellMar>
      </w:tblPr>
      <w:tblGrid>
        <w:gridCol w:w="1080"/>
        <w:gridCol w:w="951"/>
        <w:gridCol w:w="954"/>
        <w:gridCol w:w="109"/>
        <w:gridCol w:w="109"/>
        <w:gridCol w:w="109"/>
        <w:gridCol w:w="271"/>
        <w:gridCol w:w="926"/>
        <w:gridCol w:w="197"/>
      </w:tblGrid>
      <w:t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 </w:t>
            </w:r>
            <w:r>
              <w:rPr>
                <w:rFonts w:ascii="Times New Roman;serif" w:hAnsi="Times New Roman;serif"/>
                <w:b/>
                <w:color w:val="000000"/>
                <w:sz w:val="20"/>
              </w:rPr>
              <w:t>(In thousands)</w:t>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2031 and 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96,102 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76,936 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are based on the net present value of the remaining lease payments over the remaining lease term. In determining the present value of lease payments, the Company uses its estimated incremental borrowing rate. The weighted average discount rate used to determine the operating lease liability was 6.52%. As of September 30, 2026, the weighted average remaining lease term for the Company’s operating leases is 6.47 years.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and January 2025, the Company entered into non-cancelable agreements under which it subleased approximately 46,011 square feet of its HQ Lease to two unaffiliated companies. In July 2025, the Company entered into a non-cancelable agreement under which it subleased one of its leased buildings in South San Francisco to one unaffiliated company. The Company recognized $0.8 million and $2.3 million during the three and nine months ended September 30, 2026, respectively, and $0.7 million and $1.9 million during the three and nine months ended September 30, 2025, respectively, in sublease income under the interest and other income, net caption within the condensed statements of operations.</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2020, the Company entered into a Solar Power Purchase and Energy Services Agreement for the installation and operation of a solar photovoltaic generating system and battery energy storage system at the Company’s cell therapy manufacturing facility in Newark, California. The agreement has a term of 20 years and commenced in September 2022. The Company is obligated to pay for electricity generated from the system at an agreed rate for the duration of the agreement term. Termination of the agreement by the Company will result in a termination payment due of approximately $4.3 million. In connection with the agreement, the Company maintains a letter of credit for the benefit of the service provider in the amount of $4.3 million which is recorded as restricted cash in the condensed balance sheets as of September 30, 2026 and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certain license agreements for intellectual property which is used as part of its development and manufacturing processes. Each of these respective agreements is generally cancellable by the Company. These agreements require payment of annual license fees and may include conditional milestone payments for achievement of specific research, clinical and commercial events, and royalty payments. The timing and likelihood of any significant conditional milestone payments or royalty payments becoming due was not probable as of September 30, 2026. </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or its business partners are from time to time subject to legal claims and regulatory actions that could have a material adverse effect on its business or financial position. The Company assesses its potential liability in such situations by analyzing the possible outcomes of various litigation, regulatory, and settlement strategies. If the Company determines that a material loss is probable and its amount can be reasonably estimated, it will accrue an amount equal to the estimated loss. As of September 30, 2026, the Company did not accrue any estimated losses related to its ongoing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18, 2026, the Company’s stockholders approved an increase to the number of authorized shares of its common stock from 400,000,000 shares to 800,000,000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were 7,609,820 shares reserved by the Company under the 2018 Equity Incentive Plan (the 2018 Plan) for the future issuance of equity awards.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option activity under the 2018 Plan:</w:t>
      </w:r>
    </w:p>
    <w:tbl>
      <w:tblPr>
        <w:tblW w:w="10205" w:type="dxa"/>
        <w:jc w:val="left"/>
        <w:tblInd w:w="0" w:type="dxa"/>
        <w:tblLayout w:type="fixed"/>
        <w:tblCellMar>
          <w:top w:w="28" w:type="dxa"/>
          <w:left w:w="28" w:type="dxa"/>
          <w:bottom w:w="28" w:type="dxa"/>
          <w:right w:w="28" w:type="dxa"/>
        </w:tblCellMar>
      </w:tblPr>
      <w:tblGrid>
        <w:gridCol w:w="1392"/>
        <w:gridCol w:w="1196"/>
        <w:gridCol w:w="1206"/>
        <w:gridCol w:w="540"/>
        <w:gridCol w:w="541"/>
        <w:gridCol w:w="266"/>
        <w:gridCol w:w="109"/>
        <w:gridCol w:w="109"/>
        <w:gridCol w:w="109"/>
        <w:gridCol w:w="244"/>
        <w:gridCol w:w="591"/>
        <w:gridCol w:w="126"/>
        <w:gridCol w:w="109"/>
        <w:gridCol w:w="109"/>
        <w:gridCol w:w="109"/>
        <w:gridCol w:w="345"/>
        <w:gridCol w:w="345"/>
        <w:gridCol w:w="346"/>
        <w:gridCol w:w="109"/>
        <w:gridCol w:w="109"/>
        <w:gridCol w:w="109"/>
        <w:gridCol w:w="528"/>
        <w:gridCol w:w="1165"/>
        <w:gridCol w:w="393"/>
      </w:tblGrid>
      <w:tr>
        <w:tc>
          <w:tcPr>
            <w:tcW w:w="13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Options</w:t>
            </w:r>
          </w:p>
        </w:tc>
      </w:tr>
      <w:t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w:t>
              <w:br/>
              <w: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31,138,077 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7,967,711 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(1,231,051)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37,872,299 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2026</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23,839,247 </w:t>
            </w:r>
          </w:p>
        </w:tc>
        <w:tc>
          <w:tcPr>
            <w:tcW w:w="2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September 30, 2026</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37,872,299 </w:t>
            </w:r>
          </w:p>
        </w:tc>
        <w:tc>
          <w:tcPr>
            <w:tcW w:w="2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Restricted Stock Unit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restricted stock unit activity under the 2018 Plan:</w:t>
      </w:r>
    </w:p>
    <w:tbl>
      <w:tblPr>
        <w:tblW w:w="10205" w:type="dxa"/>
        <w:jc w:val="left"/>
        <w:tblInd w:w="0" w:type="dxa"/>
        <w:tblLayout w:type="fixed"/>
        <w:tblCellMar>
          <w:top w:w="28" w:type="dxa"/>
          <w:left w:w="28" w:type="dxa"/>
          <w:bottom w:w="28" w:type="dxa"/>
          <w:right w:w="28" w:type="dxa"/>
        </w:tblCellMar>
      </w:tblPr>
      <w:tblGrid>
        <w:gridCol w:w="876"/>
        <w:gridCol w:w="739"/>
        <w:gridCol w:w="745"/>
        <w:gridCol w:w="540"/>
        <w:gridCol w:w="541"/>
        <w:gridCol w:w="334"/>
        <w:gridCol w:w="109"/>
        <w:gridCol w:w="109"/>
        <w:gridCol w:w="109"/>
        <w:gridCol w:w="390"/>
        <w:gridCol w:w="950"/>
        <w:gridCol w:w="204"/>
        <w:gridCol w:w="109"/>
        <w:gridCol w:w="109"/>
        <w:gridCol w:w="109"/>
        <w:gridCol w:w="749"/>
        <w:gridCol w:w="749"/>
        <w:gridCol w:w="751"/>
        <w:gridCol w:w="109"/>
        <w:gridCol w:w="109"/>
        <w:gridCol w:w="109"/>
        <w:gridCol w:w="320"/>
        <w:gridCol w:w="1097"/>
        <w:gridCol w:w="239"/>
      </w:tblGrid>
      <w:tr>
        <w:tc>
          <w:tcPr>
            <w:tcW w:w="87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Restricted Stock Units</w:t>
            </w:r>
          </w:p>
        </w:tc>
      </w:tr>
      <w:t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Restricted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 Date Fair</w:t>
              <w:br/>
              <w:t>Value per</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Vesting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16,528,226 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5,454,872 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(3,132,782)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(2,142,857)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16,707,459 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as of September 30, 2026</w:t>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16,707,459 </w:t>
            </w:r>
          </w:p>
        </w:tc>
        <w:tc>
          <w:tcPr>
            <w:tcW w:w="3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unreleased as of September 30, 2026</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477,000 </w:t>
            </w:r>
          </w:p>
        </w:tc>
        <w:tc>
          <w:tcPr>
            <w:tcW w:w="33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4,689,631 outstanding performance-based restricted stock units. No performance-based restricted stock units were granted during the nine months ended September 30, 2026. These awards are subject to the holders’ continuous service to the Company through each applicable vesting event. Through September 30, 2026, the Company believes that the achievement of the requisite performance conditions for these awards is not probable. As a result, no compensation expense has been recognized related to the performance-based restricted stock units in the three and nine months ended September 30, 2026 and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2026 and 2025, the following table presents stock-based compensation expense related to stock options, restricted stock units and employee stock purchase plans that was recorded as research and development and general and administrative expense in its condensed statements of operations and comprehensive loss: </w:t>
      </w:r>
    </w:p>
    <w:tbl>
      <w:tblPr>
        <w:tblW w:w="8051" w:type="dxa"/>
        <w:jc w:val="left"/>
        <w:tblInd w:w="0" w:type="dxa"/>
        <w:tblLayout w:type="fixed"/>
        <w:tblCellMar>
          <w:top w:w="28" w:type="dxa"/>
          <w:left w:w="28" w:type="dxa"/>
          <w:bottom w:w="28" w:type="dxa"/>
          <w:right w:w="28" w:type="dxa"/>
        </w:tblCellMar>
      </w:tblPr>
      <w:tblGrid>
        <w:gridCol w:w="995"/>
        <w:gridCol w:w="872"/>
        <w:gridCol w:w="877"/>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Collaboration Revenue and Equity Method Investment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2020, the Company entered into the License Agreement with Overland Therapeutics, a corporate joint venture entity and related party (see Note 6). The License Agreement was subsequently assigned to a wholly-owned subsidiary of Allogene Overland, Allogene Overland HK. On April 1, 2022, Allogene Overland HK assigned the License Agreement to Allogene Overland Biopharm (PRC) Co., Limited. On May 24, 2024, the License Agreement was amended. On May 12, 2026, the License Agreement was terminated.</w:t>
      </w:r>
    </w:p>
    <w:p>
      <w:pPr>
        <w:pStyle w:val="TextBody"/>
        <w:bidi w:val="0"/>
        <w:spacing w:lineRule="auto" w:line="288" w:before="36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Sublease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entered into a sublease with Bellco Capital LLC for 1,293 square feet of office space in Los Angeles, California for a three year term. On April 1, 2020, Bellco Capital Advisors Inc. (Bellco) assumed all rights, title, interests and obligations under the sublease from Bellco Capital LLC. In November 2021, the sublease was extended to June 30, 2025. The sublease was amended, effective in July 2022, to move to a nearby location, with office space of 737 square feet. In 2023, the Company exercised its early termination right under the sublease agreement and the sublease was terminated effective December 31, 2023.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2023, the Company entered into a new sublease agreement with Bellco for 2,218 square feet of office space in Los Angeles, California, which was subsequently reduced to 1,944 square feet in February 2026. The Company’s executive chair, Arie Belldegrun, M.D., is a trustee of the Belldegrun Family Trust, which controls Bellco. The sublease term is 115 months, subject to certain early termination rights. The sublease commenced on January 1, 2024. The total right of use asset and associated lease liability recorded related to this related party lease were $1.9 million and $1.9 million, respectively, as of September 30, 2026. The Company paid approximately $0.2 million towards its share of the security deposit. Rent expense related to this sublease were $0.1 million and $0.3 million for the three and nine months ended September 30, 2026, respectively, and $0.1 million and $0.3 million for the three and nine months ended September 30,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Consulting Agreements</w:t>
      </w:r>
    </w:p>
    <w:p>
      <w:pPr>
        <w:pStyle w:val="TextBody"/>
        <w:bidi w:val="0"/>
        <w:spacing w:lineRule="auto" w:line="288" w:before="120" w:after="283"/>
        <w:ind w:left="0" w:right="0" w:firstLine="720"/>
        <w:jc w:val="left"/>
      </w:pPr>
      <w:r>
        <w:rPr>
          <w:rFonts w:ascii="Times New Roman;serif" w:hAnsi="Times New Roman;serif"/>
          <w:b w:val="false"/>
          <w:color w:val="000000"/>
          <w:sz w:val="20"/>
        </w:rPr>
        <w:t xml:space="preserve">In August 2018, the Company entered into a consulting agreement with Bellco. Pursuant to the consulting agreement, Bellco provides certain services for the Company, which are performed by Dr. Belldegrun, </w:t>
      </w:r>
      <w:r>
        <w:rPr>
          <w:rFonts w:ascii="Times New Roman;serif" w:hAnsi="Times New Roman;serif"/>
          <w:b w:val="false"/>
          <w:color w:val="000000"/>
          <w:sz w:val="20"/>
          <w:shd w:fill="FFFFFF" w:val="clear"/>
        </w:rPr>
        <w:t>the Company’s executive chair, and inc</w:t>
      </w:r>
      <w:r>
        <w:rPr>
          <w:rFonts w:ascii="Times New Roman;serif" w:hAnsi="Times New Roman;serif"/>
          <w:b w:val="false"/>
          <w:color w:val="000000"/>
          <w:sz w:val="20"/>
        </w:rPr>
        <w:t>lude without limitation, providing advice and analysis with respect to the Company’s business, business strategy and potential opportunities in the field of allogeneic CAR T cell therapy and any other aspect of the CAR T cell therapy business as the Company may agree. In consideration for these services, the Company paid Bellco $40,217 per month in arrears commencing January 2022. Effective January 2026, the monthly consulting service fee was increased by 2% to $41,021 per month. The Company may also, at its discretion, pay Bellco an annual performance award in an amount up to 60% of the aggregate compensation payable to Bellco in a calendar year. The Company also reimburses Bellco for out-of-pocket expenses incurred in performing the services. The costs incurred for services provided, bonus, and out-of-pocket expenses incurred under this consulting agreement were $0.2 million and $0.5 million for the three and nine months ended September 30, 2026, respectively, and $0.2 million and $0.6 million for the three and nine months ended September 30, 2025,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Co-Manager Agreement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2026, the Company entered into an underwriting agreement (Underwriting Agreement) with Goldman Sachs &amp; Co. LLC, Jefferies LLC and TD Securities (USA) LLC, as representatives of the several underwriters named therein (Underwriters), relating to the April 2026 Public Offering. On April 16, 2026, the Company sold 100,200,000 shares to the Underwriters. The price to the public in the offering was $2.00 per share. The underwriting discount was $0.12 per share. TPG Capital BD, LLC served as an Underwriter for the offering and purchased an aggregate of 3,807,600 shares from the Company at a price of $1.88 per share, resulting in an aggregate underwriting discount to TPG Capital BD, LLC of approximately $0.5 million. Todd Sisitsky, who was a member of the Company’s Board of Directors at the time of the offering, has served as President and on the Board of Directors of TPG Inc., an affiliate of TPG Capital BD, LLC, since TPG Inc.’s inception.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history of losses and expects to record a loss in 2026. The Company continues to maintain a full valuation allowance against its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shares have been excluded from the calculation of diluted net loss per share for the period presented due to their anti-dilutive effect:</w:t>
      </w:r>
    </w:p>
    <w:tbl>
      <w:tblPr>
        <w:tblW w:w="10205" w:type="dxa"/>
        <w:jc w:val="left"/>
        <w:tblInd w:w="0" w:type="dxa"/>
        <w:tblLayout w:type="fixed"/>
        <w:tblCellMar>
          <w:top w:w="28" w:type="dxa"/>
          <w:left w:w="28" w:type="dxa"/>
          <w:bottom w:w="28" w:type="dxa"/>
          <w:right w:w="28" w:type="dxa"/>
        </w:tblCellMar>
      </w:tblPr>
      <w:tblGrid>
        <w:gridCol w:w="2849"/>
        <w:gridCol w:w="2231"/>
        <w:gridCol w:w="2239"/>
        <w:gridCol w:w="540"/>
        <w:gridCol w:w="541"/>
        <w:gridCol w:w="156"/>
        <w:gridCol w:w="117"/>
        <w:gridCol w:w="117"/>
        <w:gridCol w:w="117"/>
        <w:gridCol w:w="540"/>
        <w:gridCol w:w="541"/>
        <w:gridCol w:w="217"/>
      </w:tblGrid>
      <w:tr>
        <w:tc>
          <w:tcPr>
            <w:tcW w:w="284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37,872,299 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30,687,080 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 (excluding vested but unreleased shares, which are included in weighted-average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16,707,459 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16,632,670 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shares to be purchased under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1,573,210 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56,040,432 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48,892,960 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related to developing and commercializing genetically engineered allogeneic T cell product candidates for the treatment of cancer and autoimmune diseases. The segment derives its current revenues from research and development collaborations.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CEO, as the chief operating decision maker, manages and allocates resources for the Company’s operations at a consolidated company basis by assessing how to best deploy available resources across functions and research and development projects. The CEO uses consolidated, single-segment financial information for purposes of evaluating performance, planning and forecasting future period financial results, and allocating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the summary of the segment profit or loss information, including the significant segment expenses (in thousands):</w:t>
      </w:r>
    </w:p>
    <w:p>
      <w:pPr>
        <w:pStyle w:val="TextBody"/>
        <w:bidi w:val="0"/>
        <w:spacing w:before="0" w:after="0"/>
        <w:ind w:left="0" w:right="0" w:firstLine="720"/>
        <w:jc w:val="left"/>
      </w:pPr>
      <w:r/>
    </w:p>
    <w:tbl>
      <w:tblPr>
        <w:tblW w:w="8141" w:type="dxa"/>
        <w:jc w:val="left"/>
        <w:tblInd w:w="0" w:type="dxa"/>
        <w:tblLayout w:type="fixed"/>
        <w:tblCellMar>
          <w:top w:w="28" w:type="dxa"/>
          <w:left w:w="28" w:type="dxa"/>
          <w:bottom w:w="28" w:type="dxa"/>
          <w:right w:w="28" w:type="dxa"/>
        </w:tblCellMar>
      </w:tblPr>
      <w:tblGrid>
        <w:gridCol w:w="1131"/>
        <w:gridCol w:w="992"/>
        <w:gridCol w:w="997"/>
        <w:gridCol w:w="211"/>
        <w:gridCol w:w="721"/>
        <w:gridCol w:w="109"/>
        <w:gridCol w:w="109"/>
        <w:gridCol w:w="109"/>
        <w:gridCol w:w="109"/>
        <w:gridCol w:w="211"/>
        <w:gridCol w:w="616"/>
        <w:gridCol w:w="109"/>
        <w:gridCol w:w="109"/>
        <w:gridCol w:w="109"/>
        <w:gridCol w:w="109"/>
        <w:gridCol w:w="229"/>
        <w:gridCol w:w="671"/>
        <w:gridCol w:w="109"/>
        <w:gridCol w:w="109"/>
        <w:gridCol w:w="109"/>
        <w:gridCol w:w="109"/>
        <w:gridCol w:w="306"/>
        <w:gridCol w:w="594"/>
        <w:gridCol w:w="154"/>
      </w:tblGrid>
      <w:t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Cema-cel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IT-related spend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Supporting external spend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Cema-cel includes external development and clinical trial costs related to ALPHA3, ALPHA2, CLL, and ALLO-501 programs. All other development costs include external development and clinical trial costs related to ALLO-329, ALLO-316, ALLO-647, BCMA, and other programs. Supporting external spend includes professional services, research and development lab supplies and other supporting activities related to the research and development and other business operations. Other operating expenses are primarily related to non-cash expenses such as stock-based compensation, impairment, and depreciation and amortization. The measure of segment assets is reported on the balance sheets as total assets. Primarily, all revenue generated and all long-lived assets are maintained in the United States.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of our financial condition and results of operations in conjunction with our unaudited condensed financial statements and the related notes and other financial information included elsewhere in this Quarterly Report on Form 10-Q (Quarterly Report) and the audited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(Annual Report), which was filed with the Securities and Exchange Commission (SEC) on March 12, 2026. Unless the context requires otherwise, references in this Quarterly Report to the “Company”, “Allogene,” “we,” “us” and “our” refer to Allogene Therapeutics, Inc., and references to “Servier” collectively refer to Les Laboratoires Servier SAS and Institut de Recherches Internationales Servier SAS.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720"/>
        <w:jc w:val="left"/>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serif" w:hAnsi="Times New Roman;serif"/>
          <w:b w:val="false"/>
          <w:i/>
          <w:color w:val="32406B"/>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deep pipeline of allogeneic chimeric antigen receptor (CAR) T cell product candidates targeting multiple promising antigens in a host of hematological malignancies, solid tumors and autoimmune diseases. We are focusing our resources on three core programs: ALPHA3, RESOLUTION and TRAVERSE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we initiated a pivotal Phase 2 clinical trial (ALPHA3) evaluating cemacabtagene ansegedleucel (cema-cel, previously ALLO-501A) as part of a first-line (1L) consolidation treatment for patients newly diagnosed with large B-cell lymphoma (LBCL) who, despite initial treatment success, remain at high risk for relapse. The trial’s primary endpoint is event-free survival (EFS). The study is currently enrolling at over 80 sites across the United States, Canada, South Korea and Australia. We are continuing activities to support the potential expansion of ALPHA3 into the European Union, subject to applicable regulatory approvals and operational requirements. Our expansion of ALPHA3 internationally is expected to bring the trial to approximately 100 sites worldwide.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ALPHA3 trial design expands on findings from our Phase 1 ALPHA2 study and incorporates an investigational diagnostic developed by Foresight Diagnostics, Inc., which was acquired by Natera, Inc. (Natera) in December 2025 and continues to operate as a standalone subsidiary. This diagnostic test identifies patients who, despite achieving remission according to standard evaluations, remain at risk of relapse due to minimal residual disease (MRD) following 1L chemoimmunotherapy. Patients eligible for enrollment include those who achieve either a complete response or a partial remission for which the current standard of care would be observation.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Initially, the trial was designed to randomize approximately 240 MRD-positive patients into one of three arms: (1) cema-cel therapy following lymphodepletion with standard fludarabine and cyclophosphamide (FC arm), (2) cema-cel therapy following lymphodepletion with fludarabine, cyclophosphamide, and ALLO-647 (an anti-CD52 monoclonal antibody) (FCA arm), or (3) standard-of-care observation (control arm). On August 1, 2025, we announced that we selected standard fludarabine and cyclophosphamide (FC) as the lymphodepletion regimen. This lymphodepletion regimen selection was made in conjunction with the ALPHA3 Data and Safety Monitoring Board (DSMB) and Steering Committee and following consultation with the FDA.</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we discontinued the FCA arm following a Grade 5 serious adverse event associated with the use of ALLO-647. Patients previously treated in the FCA arm continue to be followed. The event occurred on Day 54 post-infusion from hepatic failure, believed to have resulted from disseminated adenovirus infection in the setting of immune suppression. This event was deemed unrelated to cema-cel. Severe viral infections have been rare across our clinical trials. However, when present, they have been attributed to immunosuppression due in part to ALLO-647. There have been no cases of adenoviral infection or hepatic failure in any participant treated with only FC lymphodepletion across our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adoption of standard FC in the ALPHA3 trial, none of our trials open to enrollment or pipeline programs include ALLO-647. Instead, we will advance our next-generation AlloCAR T product candidates using the proprietary Dagger® Platform Technology, which is designed to minimize or potentially eliminate the need for standard lymphodepletion.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ALPHA3 trial is proceeding as a randomized study with two arms, comparing cema-cel after standard FC lymphodepletion to observation, the current standard of care, and is expected to enroll approximately 220 MRD-positive randomized patients. We recently amended the protocol to add a non-randomized observational cohort of approximately 140 MRD-negative patients, who will be followed to further characterize MRD test performance. We do not expect this observational cohort to impact the enrollment timeline for the existing randomized MRD-positive portion of the trial. The protocol amendment also expanded the disease subtypes that may qualify patients for enrollment to include transformed follicular lymphoma, transformed marginal zone lymphoma and follicular lymphoma grade 3B. The statistical design and prespecified conduct of the randomized MRD-positive portion of the trial remain unchanged. On April 13, 2026, we announced results from the planned interim futility analysis of the first 24 randomized patients to the two ongoing arms in ALPHA3. At the protocol-defined data cutoff, which was triggered when the 24th patient completed Day 45 MRD assessment, MRD negativity was observed in 58.3% (7/12) of patients in the cema-cel arm compared with 16.7% (2/12) of patients in the observation arm, and at the Day 45 post-randomization MRD assessment, ctDNA levels decreased from baseline by a median of 97.7% in the cema-cel arm compared with a median increase of 26.6% in the observation arm. The primary endpoint of EFS and key secondary endpoints, including progression-free survival and overall survival, remain blinded. In the cema-cel arm, no treatment-related serious adverse events, cytokine release syndrome, immune effector cell-associated neurotoxicity syndrome, graft-versus-host disease or treatment-related hospitalizations were reported, and ten of the twelve treated patients were managed in the outpatient setting post-infusion. At the time of the interim analysis, approximately one-third of screening activity and cema-cel infusions occurred at community cancer centers, including sites with limited prior CAR T experience. We believe this early experience supports the potential for cema-cel to be administered in a broader range of treatment settings than autologous CAR T therapies, although these data remain limited and may not be predictive of future outpatient or community-based administration. We anticipate providing the next ALPHA3 clinical update in mid-2027, completing enrollment of the randomized MRD-positive portion of ALPHA3 by the end of 2027, and conducting the primary EFS analysis in mid-2028. The timing and scope of the mid-2027 clinical update will depend on available data, FDA feedback, recommendations from the DSMB and considerations relating to preservation of the integrity of the ongoing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an MRD companion diagnostic to be required for the use of cema-cel in the population being studied in ALPHA3. We are also continuing to engage with the FDA regarding certain aspects of the ALPHA3 trial, including certain eligibility criteria for patients in partial remission who are considered by investigators to be suitable for observation, the potential use of additional MRD assay(s) for patient selection, and the general impact of protocol amendments.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2026, the FDA granted Regenerative Medicine Advanced Therapy (RMAT) and Fast Track designations to cema-cel for the ALPHA3 development program as a potential first-line consolidation treatment for patients with large B-cell lymphoma (LBCL). These designations are intended to facilitate more frequent engagement with the FDA and may support an expedited development and review process if applicable criteria are satisfied.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advancing ALLO-316, and we have completed enrollment of 20 treated patients in an expansion cohort in a Phase 1b clinical trial (TRAVERSE) of ALLO-316, an allogeneic CAR T cell product candidate targeting CD70, in adult patients with advanced or metastatic clear cell renal cell carcinoma (RCC). The Phase 1b expansion cohort evaluated ALLO-316 administered as a single dose of 80 million CAR T cells following a standard lymphodepletion regimen (fludarabine 30 mg/m²/day and cyclophosphamide 500 mg/m²/day for three days). On October 29, 2024, we announced that we had received RMAT designation for ALLO-316 for adult patients with advanced or metastatic RCC.</w:t>
      </w:r>
    </w:p>
    <w:p>
      <w:pPr>
        <w:pStyle w:val="TextBody"/>
        <w:bidi w:val="0"/>
        <w:spacing w:lineRule="auto" w:line="288" w:before="120" w:after="283"/>
        <w:ind w:left="0" w:right="0" w:firstLine="720"/>
        <w:jc w:val="left"/>
      </w:pPr>
      <w:r>
        <w:rPr>
          <w:rFonts w:ascii="Times New Roman;serif" w:hAnsi="Times New Roman;serif"/>
          <w:b w:val="false"/>
          <w:color w:val="000000"/>
          <w:sz w:val="20"/>
        </w:rPr>
        <w:t>In results from the Phase 1 TRAVERSE trial published in the Journal of Clinical Oncology on July 14, 2026, based on a November 3, 2025 data cutoff, ALLO-316 demonstrated a confirmed overall response rate (ORR) of</w:t>
      </w:r>
      <w:r>
        <w:rPr>
          <w:color w:val="000000"/>
        </w:rPr>
        <w:t xml:space="preserve"> </w:t>
      </w:r>
      <w:r>
        <w:rPr>
          <w:rFonts w:ascii="Times New Roman;serif" w:hAnsi="Times New Roman;serif"/>
          <w:b w:val="false"/>
          <w:color w:val="000000"/>
          <w:sz w:val="20"/>
        </w:rPr>
        <w:t>25.0% (five of 20 patients; 95% confidence interval, 8.7% to 49.1%) in the Phase 1b cohort and 31.3% (five of 16 patients; 95% confidence interval, 11.0% to 58.7%) in patients with high CD70 expression (TPS ≥50%).</w:t>
      </w:r>
      <w:r>
        <w:rPr>
          <w:color w:val="000000"/>
        </w:rPr>
        <w:t xml:space="preserve"> </w:t>
      </w:r>
      <w:r>
        <w:rPr>
          <w:rFonts w:ascii="Times New Roman;serif" w:hAnsi="Times New Roman;serif"/>
          <w:b w:val="false"/>
          <w:color w:val="000000"/>
          <w:sz w:val="20"/>
        </w:rPr>
        <w:t>Seven of the 20 Phase 1b patients, or 35.0%, achieved a greater than 30% reduction in target-lesion size from baseline. No responses were observed among the four Phase 1b patients with CD70 TPS below 50%. The median duration of response was not estimable (95% confidence interval, 6.9 months to not estimable), and no progression events had occurred among responders after a minimum follow-up of eight months. The median overall survival was 15.2 months in the overall Phase 1b population and was not estimable in the CD70-high subgroup.</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implemented a diagnostic and treatment algorithm designed to mitigate treatment-associated immune effector cell-associated hemophagocytic lymphohistiocytosis-like syndrome (IEC-HS) while preserving CAR T efficacy. In the Phase 1b safety population, IEC-HS was reported in eight of 22 patients, or 36.4%, including two patients, or 9.1%, with Grade 3 or higher events. No Grade 5 IEC-HS events occurred. Cytokine release syndrome was reported in 68.2% of patients, with no Grade 3 or higher events; immune effector cell-associated neurotoxicity syndrome was reported in 18.2%, with no Grade 3 or higher events; and no graft-versus-host disease occurred. The publication reported that IEC-HS was largely controlled in the final 20 patients enrolled following implementation of diagnostic criteria and the tailored treatment algorithm. No Grade 5 treatment-related adverse events occurred in the Phase 1b cohort.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we held an RMAT meeting with the FDA regarding next steps for the ALLO-316 development program, and we believe we have reached alignment with the FDA on the design of a registration trial for adult patients with advanced or metastatic RCC. We continue to actively explore strategic opportunities, including potential partnerships, to advance this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developing ALLO-329, a next-generation allogeneic CAR T cell product candidate targeting both CD19 and CD70 for the treatment of certain autoimmune diseases (AID). Inclusion of an anti-CD70 CAR in ALLO-329 incorporates the Dagger® technology, which is designed to reduce or eliminate the need for standard chemotherapy by preventing premature rejection while targeting CD19+ B cells and CD70+ activated T cells, both of which play a role in AID. ALLO-329 is manufactured using CRISPR gene-editing technology. In 2025, we initiated a Phase 1 rheumatology basket study of ALLO-329 (RESOLUTION trial). The ongoing RESOLUTION trial is a 3+3 dose-escalation study evaluating ALLO-329 across multiple autoimmune diseases, including systemic lupus erythematosus (SLE), including lupus nephritis, idiopathic inflammatory myopathies (IIM), and systemic sclerosis (SSc). On April 7, 2025, we announced that ALLO-329 had received three Fast Track Designations from the FDA for the treatment of adult patients with SLE, IIM, and SSc. The RESOLUTION trial is evaluating ALLO-329 under multiple treatment approaches, including administration following cyclophosphamide-based lymphodepletion, with the option of adding fludarabine permitted under the protocol, and administration in a separate arm without lymphodepletion. We recently activated the optional fludarabine and cyclophosphamide lymphodepletion dose-escalation arm to further assess the role of fludarabine in the autoimmune indications being studied and to accommodate ongoing patient demand for participation in the trial. Enrollment in the trial continues to progress, and dose escalation and lymphodepletion optimization are ongoing. We will present updated clinical and translational data from RESOLUTION at the 2026 American College of Rheumatology (ACR) Convergence on November 9,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Nature Communications published preclinical data supporting the design of ALLO-329 and our CD70 Dagger® technology. The publication described an optimized CD70 CAR designed to prevent rejection of allogeneic CAR T cells by targeting activated alloreactive lymphocytes. In the reported preclinical studies, co-expression of the CD70 CAR with a CD19 CAR resulted in sustained CAR T-cell persistence in the presence of alloreactive lymphocytes and prolonged antitumor activity in a CD19 antigen escape model. In humanized mouse models, CD19/CD70 dual CAR T cells eliminated B cells and CD70+ T cells derived from patients with systemic lupus erythematosus and reduced immunoglobulin production. These preclinical data support the rationale for evaluating ALLO-329 as an allogeneic CD19/CD70 dual CAR T product candidate designed to target CD19+ B cells and CD70+ activated T cells while potentially reducing or eliminating the need for standard lymphodepletion.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have additional programs in our pipeline, our clinical development priorities are focused on cema-cel (1L Consolidation), ALLO-316 and ALLO-329. The development of our other product candidates is currently focused on preclinical studies, including studies of BCMA and DLL3 CARs with and without our CD70 Dagger® protein technology, and various manufacturing improvements that may be applicable to such product candidates. In April 2026, preclinical data presented at the American Association for Cancer Research Annual Meeting described an allogeneic BCMA/CD70 dual CAR T construct designed to target BCMA and CD70 in a relevant experimental model while incorporating CD70-directed rejection avoidance. In the reported preclinical studies, BCMA/CD70 dual CAR T cells demonstrated specific cytotoxic activity, resistance to allorejection, expansion in mixed lymphocyte reaction assays, activity in a xenograft model and activity against BCMA target cells that had downregulated BCMA. At the upcoming annual meeting of the Society for Immunotherapy of Cancer (SITC) on November 6, 2026, we will present preclinical data evaluating a novel off-the-shelf DLL3/CD70 dual CAR T product candidate for small cell lung cancer and other neuroendocrine tumors. The findings revealed that careful selection of the CAR’s insertion location in the genome using site-specific-integration improved cell performance in controlling tumors. The data suggests that pairing DLL3 with a CAR targeting CD70 has the potential to protect the cells from rejection, illustrating the potential to couple the Dagger® technology with other CARs.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we entered into an Amendment and Settlement Agreement (the Servier Amendment) under which we expanded the geographic territory for our CD19 license to include the EU and the UK. The Servier Amendment also grants us an option to further expand the licensed territory to include China and Japan upon the objective showing of sufficient resources to develop licensed products in those countries, which could be met through the Company entering into a strategic partnership covering those countries. Additionally, in February 2025, we entered into an Amended and Restated Strategic Collaboration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Agreement with Natera, which expands our collaboration to enable the development of Natera’s MRD assay in the EU, UK, Canada and Australia in support of our clinical development of cema-cel, and subsequently further expanded the collaboration to include South Korea.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2026, Cellectis S.A. (Cellectis), from which we license certain technologies used in our AlloCAR T oncology programs, announced a strategic shift to focus its internal development activities on in vivo gene editing and to seek partners for its internally developed ex vivo CAR T product candidates. Cellectis has stated that this strategic shift does not change its existing collaboration with us. Following the announcement, we engaged with Cellectis regarding the implications of its strategic shift for our relationship and ongoing collaboration. Based on those discussions, we do not currently expect Cellectis’ strategic shift to materially impact the development of our existing product candidates or our rights under our existing agreements with Cellectis. We currently source a raw material from Cellectis and co-source a manufacturing component with Cellectis from a third party, and we are working with Cellectis and evaluating alternative sourcing arrangements to mitigate potential supply or cost impacts associated with these materials.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initiated a workforce reduction of approximately 28% of our employees (Workforce Reduction) in connection with a reduction in manufacturing operations and a reprioritization of resources to focus on our ongoing clinical programs. The Workforce Reduction was substantially completed in the second quarter of 2025, and we incurred $3.2 million in cash-based expenses related to employee severance payments, benefits and related costs in connection with the Workforce Reduction. Following our April 2026 announcement of ALPHA3 interim results and the April 2026 Public Offering, we have increased hiring activities to support our manufacturing, clinical development and BLA-readiness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30, 2026, David Chang, M.D., Ph.D. transitioned from his role as President and Chief Executive Officer and Zachary Roberts, M.D., Ph.D., previously our Executive Vice President, Research &amp; Development and Chief Medical Officer, was appointed President and Chief Executive Officer. Dr. Chang continues to serve on our Board of Directors as a non-employee director and Dr. Roberts was appointed to our Board of Directors, effective July 1, 2026. Dr. Roberts continues to serve as Chief Medical Officer on an interim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 2026, we announced that Geoffrey Parker, our Executive Vice President and Chief Financial Officer, will retire from the Company, effective November 6, 2026. We have initiated an external search for his successor. On November 3, 2026, our Board of Directors appointed Annie Yoshiyama, our SVP of Finance, Corporate Controller and Principal Accounting Officer, to serve as our interim Principal Financial Officer, effective as of Mr. Parker’s departure.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had significant operating losses. Our net loss was $50.4 million and $135.7 million for the three and nine months ended September 30, 2026, respectively. As of September 30, 2026, we had an accumulated deficit of $2.1 billion. As of September 30, 2026, we had $388.9 million in cash and cash equivalents and investments. We expect our cash runway to fund operations into the first quarter of 2029. We expect to continue to incur net losses for the foreseeable future, and we expect our research and development expenses and general and administrative expenses will continue to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License and Collaboration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summary of the key terms for certain of our licenses and collaboration agreements. For a more detailed description of these agreements, refer to Note 6 to our consolidated financial statements included in our Annual Report.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Asset Contribution Agreement with Pfizer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2018, we entered into an Asset Contribution Agreement (the Pfizer Agreement) with Pfizer pursuant to which we acquired certain assets and assumed certain liabilities from Pfizer, including agreements with Cellectis S.A. (Cellectis) and Servier as described below, and other intellectual property for the development and administration of CAR T cells for the treatment of cancer.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Collaboration and License Agreement with Cellectis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2014, Pfizer entered into a Research Collaboration and License Agreement with Cellectis. In April 2018, Pfizer assigned the agreement to us pursuant to the Pfizer Agreement. In March 2019, we terminated the agreement with Cellectis and entered into a new license agreement with Cellectis (the Cellectis Agreement). Under the Cellectis Agreement, Cellectis granted us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CD70, Claudin 18.2, DLL3 and FLT3 (the Allogene Targets), for human oncologic therapeutic, diagnostic, prophylactic and prognostic purposes.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Exclusive License Agreement with Servier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2015, Pfizer entered into an Exclusive License Agreement with Servier (the Original Servier Agreement) to develop, manufacture and commercialize certain allogeneic anti-CD19 CAR products, including UCART19, in the United States with the option to obtain the rights over certain additional allogeneic anti-CD19 CAR product candidates and for allogeneic CAR T cell product candidates directed against one additional target. In April 2018, Pfizer assigned the agreement to us pursuant to the Pfizer Agreement. In October 2019, we agreed to waive our rights to the one additional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we entered into an Amendment and Settlement Agreement (the Servier Amendment) with Servier under which we: (1) expanded our territory under the Original Servier Agreement to include the European Union and the United Kingdom, and provided for an option to further expand our territory to include China and Japan, (2) waived certain of our rights to elect to convert certain of our license rights to a worldwide license, (3) revised our future milestone payments to coincide with Servier’s milestone payments to Cellectis under the Servier-Cellectis Agreement, (4) agreed to pre-pay a future €20 million milestone payment into an escrow account, and (5) increased the United States tiered royalty rates to a range from the low tens to the mid teen percentages, and agreed to an ex-U.S. royalty rate of 10%. On December 15, 2025, Cellectis publicly reported that an arbitral tribunal issued a decision providing for a partial termination of the Servier-Cellectis Agreement with respect to UCART19V1, which is the same as ALLO-501, a product candidate which we previously abandoned in favor of cema-cel (formerly known as ALLO-501A), and affirmed continued licensing rights relating to cema-cel. As a result of that decision, our Servier license covering UCART19V1/ALLO-501 was terminated. The arbitration decision requires Cellectis, at our request, to engage in good-faith discussions regarding the granting of a direct license to UCART19V1/ALLO-501. In September 2026, Servier informed us that Cellectis had communicated its decision to waive its right to regain the rights to UCART19V1/ALLO-501 arising from the partial termination of the Servier-Cellectis Agreement.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and License Agreement with Roche (formerly Notch)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 2019, we entered into a Collaboration and License Agreement (the Notch Agreement) with Notch Therapeutics Inc. (Notch), pursuant to which Notch granted us an exclusive, worldwide, royalty-bearing, sublicensable license under certain of Notch’s intellectual property to develop, make, use, sell, import, and otherwise commercialize therapeutic gene-edited T cell and/or natural killer cell products from induced pluripotent stem cells directed at certain CAR targets for initial application in NHL, B-cell precursor acute lymphoblastic leukemia (ALL) and multiple myeloma. In addition, Notch had granted us an option to add certain specified targets to our exclusive license in exchange for an agreed upon per-target option fee.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25, 2024, we entered into an Amended and Restated Collaboration and License Agreement (the Amended Notch Agreement) with Notch. The Amended Notch Agreement amends and restates the Notch Agreement. Under the Amended Notch Agreement, we have relinquished our exclusive rights to all original CAR targets (the Released Targets) except for one CAR target, and have agreed to limit our option right to only one additional CAR target. If the option is exercised, we will have a minimum funding commitment for the overall development program. If Notch subsequently out-licenses any of the Released Targets (whether through an out-license, partnership, sale, or other transaction), we will be entitled to receive a percentage of upfront and/or milestone payments associated therewith up to a set cap of $30.0 million, and will be entitled to a low, single-digit royalty on net sales of products containing a Released Target.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F. Hoffmann-La Roche AG’s (Roche) acquisition of Notch, in March 2025, Notch was dissolved, and Roche became Notch’s successor in interest under our agreement. In connection with such acquisition, on March 31, 2025 we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Strategic Alliance with The University of Texas MD Anderson Cancer Center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6, 2020, we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 or until the studies under the agreement are completed, whichever is later. Studies remain ongoing and the agreement remains in effect.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License Agreement with Overland Therapeutics,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14, 2020, we entered into a License Agreement with Allogene Overland Biopharm (CY) Limited (Allogene Overland) (the License Agreement), a joint venture established by us and Overland Pharmaceuticals (CY) Inc. (Overland), pursuant to a Share Purchase Agreement (Share Purchase Agreement), dated December 14, 2020, for the purpose of developing, manufacturing and commercializing certain allogeneic CAR T cell therapies directed at four targets, BCMA, CD70,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FLT3 and DLL3 (Overland Licensed Products) for patients in greater China, Taiwan, South Korea and Singapore (the JV Territory). Allogene Overland subsequently assigned the License Agreement to a wholly owned subsidiary, Allogene Overland BioPharm (HK) Limited (Allogene Overland HK). On April 1, 2022, Allogene Overland HK assigned the License Agreement to Allogene Overland Biopharm (PRC) Co., Limited (Allogene Overland PRC).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24, 2024, we, Overland and Allogene Overland entered into a Share Exchange Agreement (Share Exchange Agreement) pursuant to which Overland’s cell therapy business merged into Allogene Overland (the Organizational Restructuring).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Organizational Restructuring, on May 24, 2024, we and Allogene Overland PRC entered into a First Amendment to the License Agreement (the License Amendment) to amend and supplement certain provisions of the License Agreement. Under the License Amendment, we continued to grant Allogene Overland PRC an exclusive license to develop, manufacture, and commercialize the Overland Licensed Products in the JV Territory, with us retaining exclusive rights to the Overland Licensed Products outside the JV Territory, and the royalty obligations to us were amended to a flat mid single-digit royalty on net sales in the JV Territory that are no longer subject to reductions as previously provided. The License Amendment also provided us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provided that the License Agreement will terminate automatically if our ownership in Allogene Overland falls below 7.5% (other than due to our sale of the shares of Allogene Overland), unless at that time we and Allogene Overland PRC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consisted of up to $115 million in milestone payments for each Overland Licensed Product and tiered mid single-digit to low double-digit royalties on net sales in the JV Territory.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Organizational Restructuring, Allogene Overland was renamed Overland Therapeutics Inc. (Overland Therapeutics).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we entered into a termination agreement with Overland Therapeutics (SH) Co. Ltd. and Overland Therapeutics Inc., pursuant to which the License Agreement was terminated in its entirety. The parties also provided mutual releases of claims, and no termination payments were made in connection with the termination.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termination and related transactions, we surrendered a portion of our equity interests in Overland Therapeutics, resulting in a reduction of our ownership interest to approximately 3% on an as-converted and fully diluted basis.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Collaboration and License Agreement with Antion</w:t>
      </w:r>
    </w:p>
    <w:p>
      <w:pPr>
        <w:pStyle w:val="TextBody"/>
        <w:bidi w:val="0"/>
        <w:spacing w:lineRule="auto" w:line="288" w:before="120" w:after="283"/>
        <w:ind w:left="0" w:right="0" w:firstLine="720"/>
        <w:jc w:val="left"/>
      </w:pPr>
      <w:r>
        <w:rPr>
          <w:rFonts w:ascii="Times New Roman;serif" w:hAnsi="Times New Roman;serif"/>
          <w:b w:val="false"/>
          <w:color w:val="000000"/>
          <w:sz w:val="20"/>
        </w:rPr>
        <w:t xml:space="preserve">On January 5, 2022, we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w:t>
      </w:r>
      <w:r>
        <w:rPr>
          <w:rFonts w:ascii="Times New Roman;serif" w:hAnsi="Times New Roman;serif"/>
          <w:b w:val="false"/>
          <w:color w:val="000000"/>
          <w:sz w:val="20"/>
          <w:shd w:fill="FFFFFF" w:val="clear"/>
        </w:rPr>
        <w:t xml:space="preserve">On July 11, 2023, we entered into an amendment to the Antion Collaboration and License Agreement, </w:t>
      </w:r>
      <w:r>
        <w:rPr>
          <w:rFonts w:ascii="Times New Roman;serif" w:hAnsi="Times New Roman;serif"/>
          <w:b w:val="false"/>
          <w:color w:val="000000"/>
          <w:sz w:val="20"/>
        </w:rPr>
        <w:t xml:space="preserve">which included a $2.0 million investment in Antion’s preferred shares and the acquisition of warrants to purchase an additional $3.0 million of Antion’s preferred shares.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Strategic Collaboration Agreement with Natera (formerly Foresight Diagnostics)</w:t>
      </w:r>
    </w:p>
    <w:p>
      <w:pPr>
        <w:pStyle w:val="TextBody"/>
        <w:bidi w:val="0"/>
        <w:spacing w:lineRule="auto" w:line="288" w:before="120" w:after="283"/>
        <w:ind w:left="0" w:right="0" w:firstLine="720"/>
        <w:jc w:val="left"/>
      </w:pPr>
      <w:r>
        <w:rPr>
          <w:rFonts w:ascii="Times New Roman;serif" w:hAnsi="Times New Roman;serif"/>
          <w:b w:val="false"/>
          <w:color w:val="000000"/>
          <w:sz w:val="20"/>
          <w:shd w:fill="FFFFFF" w:val="clear"/>
        </w:rPr>
        <w:t>On January 3, 2024, we entered into a Strategic Collaboration Agreement (the Natera Agreement) with Foresight Diagnostics, Inc. (Foresight Diagnostics). In December 2025, Foresight Diagnostics was acquired by Natera and continues to operate as a standalone subsidiary. Pursuant to the Natera Agreement, the parties have agreed to collaborate on a non-exclusive basis in the development of Natera’s CLARITY</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 xml:space="preserve">MRD assay powered by phased variant technology as an in vitro diagnostic to identify the MRD+ patient population to be enrolled in our ALPHA3 trial of cema-cel for treatment of LBCL. Under the Natera Agreement, we have agreed to use commercially reasonable efforts to obtain regulatory approval of cema-cel, and Natera has agreed to use commercially reasonable efforts to obtain regulatory approval of an MRD assay for use as an in vitro diagnostic with cema-cel.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19, 2025, we entered into an Amended and Restated Strategic Collaboration Agreement with Natera (then operating as Foresight Diagnostics) which expands our collaboration to include the development of Natera’s MRD assay for use with cema-cel as part of a possible EU and/or UK clinical development program, and as part of an expansion of ALPHA3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Canadian and Australian clinical trial sites in support of our U.S. clinical development program. We subsequently amended the agreement to add a workplan supporting clinical trial readiness activities for the expansion of ALPHA3 into South Korea. In total, we have agreed to fund approximately $37.3 million in MRD assay development costs, milestone payments for U.S., and certain international regulatory submissions and assay utilization costs to process clinical samples.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inception to September 30, 2026, our revenue has been exclusively generated from the License Agreement with Overland Therapeutics. Refer to Note 6 to our consolidated financial statements appearing in our Annual Report for more information related to the License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marketing and distribution arrangements and other collaborations, strategic alliances and licensing arrangements or a combination of these approaches. We expect that any revenue we generate will fluctuate from quarter to quarter as a result of the timing and amount of license fees, milestones and other payments, and the amount and timing of payments that we receive upon the sale of our products, to the extent any are successfully commercialized. If we fail to complete the development of our product candidates in a timely manner or obtain regulatory approval of them, our ability to generate future revenue, and our results of operations and financial position, will be materially adversely affected.</w:t>
      </w:r>
    </w:p>
    <w:p>
      <w:pPr>
        <w:pStyle w:val="TextBody"/>
        <w:bidi w:val="0"/>
        <w:spacing w:before="12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our research and development expenses have related primarily to discovery efforts, preclinical and clinical development, and manufacturing of our product candidates. Research and development expenses for the three and nine months ended September 30, 2026 included costs associated with our clinical and preclinical stage pipeline candidates and research into newer technologies. The most significant research and development expenses for the year to date relate to costs incurred for the development of our most advanced product candidates and include:</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expenses incurred under agreements with our collaboration partners and third-party contract organizations, investigative clinical trial sites that conduct research and development activities on our behalf, and consultants;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costs related to production of clinical materials, including fees paid for raw materials and to contract manufacturers;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laboratory and vendor expenses related to the execution of preclinical and clinical trials;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 xml:space="preserve">employee-related expenses, which include salaries, benefits and stock-based compensation; </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 xml:space="preserve">facilities and other expenses, which include expenses for rent and maintenance of facilities, depreciation and amortization expense and supplies; and </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 xml:space="preserve">other significant research and development costs including overhead costs.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expense all research and development costs in the periods in which they are incurred. We accrue for costs incurred as the services are being provided by monitoring the status of the project and the invoices received from our external service providers. We adjust our accrual as actual costs become known. Where contingent milestone payments are due to third parties under research and development arrangements or license agreements, the milestone payment obligations are expensed when the milestone results are achieved.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in the future as our clinical programs progress and as we seek to initiate clinical trials of additional product candidates. The cost of advancing our manufacturing process as well as the cost of manufacturing product candidates for clinical trials are included in our research and development expense. We also expect to incur increased research and development expenses as we selectively identify and develop additional product candidates. However, it is difficult to determine with certainty the duration and completion costs of our current or future preclinical programs and clinical trials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duration, costs and timing of clinical trials and development of our product candidates will depend on a variety of factors that include, but are not limited to, the following:</w:t>
      </w:r>
    </w:p>
    <w:p>
      <w:pPr>
        <w:pStyle w:val="TextBody"/>
        <w:bidi w:val="0"/>
        <w:spacing w:lineRule="auto" w:line="268" w:before="120" w:after="283"/>
        <w:ind w:left="0" w:right="0" w:hanging="540"/>
        <w:jc w:val="left"/>
      </w:pPr>
      <w:r>
        <w:rPr>
          <w:color w:val="000000"/>
        </w:rPr>
        <w:t>•</w:t>
      </w:r>
      <w:r>
        <w:rPr>
          <w:rFonts w:ascii="Times New Roman;serif" w:hAnsi="Times New Roman;serif"/>
          <w:b w:val="false"/>
          <w:color w:val="000000"/>
          <w:sz w:val="20"/>
        </w:rPr>
        <w:t>per patient trial costs;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biomarker analysis costs;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cost and timing of manufacturing for the trials;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number of patients that participate in the trials;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number of sites included in the trials;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number of patients we are required to screen with eligibility tests (e.g. MRD assays) in order to reach our enrollment targets;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countries in which the trials are conducted;</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total number of cells that patients receive;</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potential additional safety monitoring or other studies requested by regulatory agencies, including to resolve any future clinical hold;</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duration of patient follow-up; and</w:t>
      </w:r>
    </w:p>
    <w:p>
      <w:pPr>
        <w:pStyle w:val="TextBody"/>
        <w:bidi w:val="0"/>
        <w:spacing w:lineRule="auto" w:line="288" w:before="120" w:after="283"/>
        <w:ind w:left="0" w:right="0" w:hanging="540"/>
        <w:jc w:val="left"/>
      </w:pPr>
      <w:r>
        <w:rPr>
          <w:color w:val="000000"/>
        </w:rPr>
        <w:t>•</w:t>
      </w:r>
      <w:r>
        <w:rPr>
          <w:rFonts w:ascii="Times New Roman;serif" w:hAnsi="Times New Roman;serif"/>
          <w:b w:val="false"/>
          <w:color w:val="000000"/>
          <w:sz w:val="20"/>
        </w:rPr>
        <w:t>the efficacy and safety profile of the product candidates.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probability of success for each product candidate will depend on numerous factors, including safety, efficacy,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product candidates are still in clinical and preclinical development and the outcome of these efforts is uncertain, we cannot estimate the actual amounts necessary to successfully complete the development and commercialization of product candidates or whether, or when, we may achieve profitability.</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staff-related costs, including stock-based compensation for options and restricted stock units granted. Other significant costs include costs relating to facilities and overhead costs, legal fees relating to corporate and patent matters, insurance, investor relations costs, fees for accounting and consulting services, information technology, costs and support for our board of directors and board committees, and other general and administrative costs. General and administrative costs are expensed as incurred, and we accrue for services provided by third parties related to the above expenses by monitoring the status of services provided and receiving estimates from our service providers, and adjusting our accruals as actual costs become known.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and cash equivalents and investments, investment gains and losses recognized and sublease income earned from our subtenants during the period.</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California Institute of Regenerative Medicine (CIRM) award is accrued upon cash receipt.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(expenses), net, consist of non-operating income and expenses, including primarily our share of net losses for the period from, and impairment of, our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sets forth our results of operations for the three months ended September 30, 2026 and 2025 (in thousands, except percentage amounts):</w:t>
      </w:r>
    </w:p>
    <w:tbl>
      <w:tblPr>
        <w:tblW w:w="7841" w:type="dxa"/>
        <w:jc w:val="left"/>
        <w:tblInd w:w="0" w:type="dxa"/>
        <w:tblLayout w:type="fixed"/>
        <w:tblCellMar>
          <w:top w:w="28" w:type="dxa"/>
          <w:left w:w="28" w:type="dxa"/>
          <w:bottom w:w="28" w:type="dxa"/>
          <w:right w:w="28" w:type="dxa"/>
        </w:tblCellMar>
      </w:tblPr>
      <w:tblGrid>
        <w:gridCol w:w="1053"/>
        <w:gridCol w:w="927"/>
        <w:gridCol w:w="930"/>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180"/>
        <w:gridCol w:w="181"/>
        <w:gridCol w:w="316"/>
      </w:tblGrid>
      <w:t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29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periods presented:</w:t>
      </w:r>
    </w:p>
    <w:tbl>
      <w:tblPr>
        <w:tblW w:w="8027" w:type="dxa"/>
        <w:jc w:val="left"/>
        <w:tblInd w:w="0" w:type="dxa"/>
        <w:tblLayout w:type="fixed"/>
        <w:tblCellMar>
          <w:top w:w="28" w:type="dxa"/>
          <w:left w:w="28" w:type="dxa"/>
          <w:bottom w:w="28" w:type="dxa"/>
          <w:right w:w="28" w:type="dxa"/>
        </w:tblCellMar>
      </w:tblPr>
      <w:tblGrid>
        <w:gridCol w:w="1265"/>
        <w:gridCol w:w="1108"/>
        <w:gridCol w:w="1122"/>
        <w:gridCol w:w="273"/>
        <w:gridCol w:w="934"/>
        <w:gridCol w:w="141"/>
        <w:gridCol w:w="141"/>
        <w:gridCol w:w="141"/>
        <w:gridCol w:w="141"/>
        <w:gridCol w:w="273"/>
        <w:gridCol w:w="934"/>
        <w:gridCol w:w="141"/>
        <w:gridCol w:w="109"/>
        <w:gridCol w:w="109"/>
        <w:gridCol w:w="109"/>
        <w:gridCol w:w="211"/>
        <w:gridCol w:w="721"/>
        <w:gridCol w:w="154"/>
      </w:tblGrid>
      <w:t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depreciation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included $17.7 million of internal expenses and $24.3 million of external expenses for the three months ended September 30, 2026. Of the $24.3 million of external expenses for the three months ended September 30, 2026, $14.0 million was related to our cema-cel program. Our research and development expenses included $15.6 million of internal expenses and $15.6 million of external expenses for the three months ended September 30, 2025. Of the $15.6 million of external expenses for the three months ended September 30, 2025, $6.1 million was related to our cema-cel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$41.9 million and $31.2 million for the three months ended September 30, 2026 and 2025, respectively. The increase of $10.8 million was driven primarily by an increase in development costs of $7.9 million related to the advancement of our product candidates due to the timing of development activities and manufacturing reactivation, an increase in personnel related costs of $2.5 million due to increased hiring and an increase in other expenses of $0.9 million related to consulting services, partially offset by a decrease in facilities and depreciation costs of $0.6 million attributable to the completion of useful life for certain machinery and equipment.</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$12.9 million and $13.7 million for the three months ended September 30, 2026 and 2025, respectively. The decrease of $0.9 million was primarily due to a decrease in stock compensation expense of $1.7 million driven by decreases in fair values, partially offset by an increase in other expenses of $0.8 million primarily related to outside services which included recruiting, corporate communications and consulting.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was $4.9 million and $3.9 million for the three months ended September 30, 2026 and 2025, respectively. The increase of $1.0 million was due to higher interest income earned on our cash, cash equivalents and investments and sublease income.</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related to the CIRM award proceeds received for the three months ended September 30, 2026 and 2025.</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and 2025, we recorded other expenses of $0.1 million and $0.1 million, respectively.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2026 and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sets forth our results of operations for the nine months ended September 30, 2026 and 2025 (in thousands, except percentage amounts):</w:t>
      </w:r>
    </w:p>
    <w:tbl>
      <w:tblPr>
        <w:tblW w:w="8440" w:type="dxa"/>
        <w:jc w:val="left"/>
        <w:tblInd w:w="0" w:type="dxa"/>
        <w:tblLayout w:type="fixed"/>
        <w:tblCellMar>
          <w:top w:w="28" w:type="dxa"/>
          <w:left w:w="28" w:type="dxa"/>
          <w:bottom w:w="28" w:type="dxa"/>
          <w:right w:w="28" w:type="dxa"/>
        </w:tblCellMar>
      </w:tblPr>
      <w:tblGrid>
        <w:gridCol w:w="1131"/>
        <w:gridCol w:w="992"/>
        <w:gridCol w:w="997"/>
        <w:gridCol w:w="211"/>
        <w:gridCol w:w="901"/>
        <w:gridCol w:w="109"/>
        <w:gridCol w:w="109"/>
        <w:gridCol w:w="109"/>
        <w:gridCol w:w="109"/>
        <w:gridCol w:w="211"/>
        <w:gridCol w:w="901"/>
        <w:gridCol w:w="109"/>
        <w:gridCol w:w="109"/>
        <w:gridCol w:w="109"/>
        <w:gridCol w:w="109"/>
        <w:gridCol w:w="211"/>
        <w:gridCol w:w="721"/>
        <w:gridCol w:w="109"/>
        <w:gridCol w:w="109"/>
        <w:gridCol w:w="109"/>
        <w:gridCol w:w="109"/>
        <w:gridCol w:w="269"/>
        <w:gridCol w:w="271"/>
        <w:gridCol w:w="316"/>
      </w:tblGrid>
      <w:t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 (expenses),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periods presented:</w:t>
      </w:r>
    </w:p>
    <w:tbl>
      <w:tblPr>
        <w:tblW w:w="7977" w:type="dxa"/>
        <w:jc w:val="left"/>
        <w:tblInd w:w="0" w:type="dxa"/>
        <w:tblLayout w:type="fixed"/>
        <w:tblCellMar>
          <w:top w:w="28" w:type="dxa"/>
          <w:left w:w="28" w:type="dxa"/>
          <w:bottom w:w="28" w:type="dxa"/>
          <w:right w:w="28" w:type="dxa"/>
        </w:tblCellMar>
      </w:tblPr>
      <w:tblGrid>
        <w:gridCol w:w="1265"/>
        <w:gridCol w:w="1108"/>
        <w:gridCol w:w="1122"/>
        <w:gridCol w:w="241"/>
        <w:gridCol w:w="946"/>
        <w:gridCol w:w="124"/>
        <w:gridCol w:w="124"/>
        <w:gridCol w:w="124"/>
        <w:gridCol w:w="124"/>
        <w:gridCol w:w="241"/>
        <w:gridCol w:w="946"/>
        <w:gridCol w:w="124"/>
        <w:gridCol w:w="109"/>
        <w:gridCol w:w="109"/>
        <w:gridCol w:w="109"/>
        <w:gridCol w:w="211"/>
        <w:gridCol w:w="796"/>
        <w:gridCol w:w="154"/>
      </w:tblGrid>
      <w:t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included $48.9 million of internal expenses and $55.7 million of external expenses for the nine months ended September 30, 2026. Of the $55.7 million of external expenses for the nine months ended September 30, 2026, $28.6 million was related to our cema-cel program. Our research and development expenses included $60.1 million of internal expenses and $61.4 million of external expenses for the nine months ended September 30, 2025.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$61.4 million of external expenses for the nine months ended September 30, 2025, $19.2 million was related to our cema-cel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$104.7 million and $121.5 million for the nine months ended September 30, 2026 and 2025, respectively. The decrease of $16.9 million was driven primarily by a decrease in personnel related costs of $10.3 million, including decreases of $4.5 million in salaries and benefits, $3.1 million in severance expense related to the Workforce Reduction and $2.7 million in stock-based compensation expense, a decrease in development costs of $2.4 million related to the advancement of our product candidates due to the timing of development activities and manufacturing runs, a decrease in facilities and depreciation costs of $3.7 million and a decrease in other expenses of $0.5 million related to outside services.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$47.8 million and $43.0 million for the nine months ended September 30, 2026 and 2025, respectively. The increase of $4.8 million was primarily due to an increase in personnel related costs of $2.6 million, attributable to an increase in stock compensation expense of $6.1 million and severance costs $1.6 million related to leadership transition, partially offset by a decrease of stock compensation expense of $5.1 million driven by decreases in fair values, an increase in market research, outside services and corporate communications of $1.7 million, and an increase in facilities and depreciation expense of $0.5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Impairment of Long-Lived Asset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recorded a long-lived asset impairment charge of $1.0 million related to subleasing one of our leased buildings in South San Francisco. In addition, during nine months ended September 30, 2025, we recorded equipment impairment of $1.3 million in conjunction with the Workforce Reduction.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was $13.1 million and $15.6 million for the nine months ended September 30, 2026 and 2025, respectively. The decrease of $2.5 million was due to lower net gain on foreign exchange translation.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related to the CIRM award proceeds received for the nine months ended September 30, 2026 and 2025.</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we recorded other income of $0.1 million and other expense less than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incurred significant net losses and negative cash flows from operations. As of September 30, 2026, we had $388.9 million in cash, cash equivalents and investments. We believe that the aggregate of our current cash, cash equivalents and investments available for operations will be sufficient to fund our operations for at least the next 12 months from the date this Quarterly Report is filed with the SEC.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have been financed primarily through equity financings and license arrangements. During the nine months ended September 30, 2026, we sold an aggregate of 12,476,533 shares of common stock in ATM offerings resulting in net proceeds of $20.7 million. Although the sales agreement does not specify an aggregate dollar limit on sales, sales under the agreement may be made only pursuant to an effective registration statement and an applicable prospectus supplement. On June 22, 2026, we filed a prospectus supplement under our effective shelf registration statement relating to the offer and sale of shares of our common stock having an aggregate offering price of up to $135.0 million pursuant to the sales agreement. We did not sell any shares under the June 2026 prospectus supplement through September 30, 2026. As of September 30, 2026, shares of our common stock having an aggregate offering price of up to $135.0 million remained available for sale under the June 2026 prospectus supplement, subject to market conditions, the terms and conditions of the sales agreement and applicable law.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we closed the April 2026 Public Offering in which we sold 100,200,000 shares of our common stock at a public offering price of $2.00 per share, including 12,700,000 additional shares sold pursuant to the underwriters’ partial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 of their option to purchase additional shares. We received aggregate net proceeds of approximately $187.9 million, after deducting underwriting discounts and commissions and estimated offering expenses payable by us. We expect to use the net proceeds from the April 2026 Public Offering for general corporate purposes, which may include clinical trial expenses, research and development expenses, general and administrative expenses, and capital expenditures. </w:t>
      </w:r>
    </w:p>
    <w:p>
      <w:pPr>
        <w:pStyle w:val="TextBody"/>
        <w:bidi w:val="0"/>
        <w:spacing w:lineRule="auto" w:line="276"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908" w:type="dxa"/>
        <w:jc w:val="left"/>
        <w:tblInd w:w="0" w:type="dxa"/>
        <w:tblLayout w:type="fixed"/>
        <w:tblCellMar>
          <w:top w:w="28" w:type="dxa"/>
          <w:left w:w="28" w:type="dxa"/>
          <w:bottom w:w="28" w:type="dxa"/>
          <w:right w:w="28" w:type="dxa"/>
        </w:tblCellMar>
      </w:tblPr>
      <w:tblGrid>
        <w:gridCol w:w="2121"/>
        <w:gridCol w:w="1866"/>
        <w:gridCol w:w="1878"/>
        <w:gridCol w:w="237"/>
        <w:gridCol w:w="895"/>
        <w:gridCol w:w="122"/>
        <w:gridCol w:w="122"/>
        <w:gridCol w:w="122"/>
        <w:gridCol w:w="122"/>
        <w:gridCol w:w="237"/>
        <w:gridCol w:w="1013"/>
        <w:gridCol w:w="173"/>
      </w:tblGrid>
      <w:tr>
        <w:tc>
          <w:tcPr>
            <w:tcW w:w="212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(121,647)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(151,031)</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61,946 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2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w:t>
            </w:r>
          </w:p>
        </w:tc>
        <w:tc>
          <w:tcPr>
            <w:tcW w:w="12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(37,403)</w:t>
            </w:r>
          </w:p>
        </w:tc>
        <w:tc>
          <w:tcPr>
            <w:tcW w:w="17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cash used in operating activities of $81.0 million was attributable to a net loss of $135.7 million, partially offset by non-cash charges of $30.5 million and an increase of $24.1 million in our net operating assets and liabilities. The non-cash charges consisted primarily of stock-based compensation expense of $27.7 million, depreciation of $8.1 million and non-cash rent expense of $3.2 million, partially offset by non-cash collaboration revenue - related party of $4.6 million and net amortization and accretion on investment securities of $3.9 million. The change in operating assets and liabilities was primarily due to a decrease in deposit in escrow of $23.5 million, an increase in accounts payable of $4.5 million, an increase in other long-term liabilities of $1.1 million, an increase in accrued and other current liabilities of $0.9 million, and a decrease in prepaid expense and other current assets of $0.7 million, partially offset by a decrease in operating lease liabilities of $6.3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cash used in operating activities of $121.6 million was attributable to a net loss of $152.1 million and a decrease of $10.7 million in our net operating assets and liabilities, partially offset by non-cash charges of $41.1 million. The non-cash charges consisted primarily of stock-based compensation expense of $29.5 million, depreciation of $9.3 million, non-cash rent expense of $3.3 million, and impairment of long-lived assets of $2.4 million, partially offset by net amortization and accretion on investment securities of $3.4 million. The change in operating assets and liabilities was primarily due to a decrease in operating lease liabilities of $5.6 million, an increase in deposit in escrow of $2.7 million, a decrease in accrued and other current liabilities of $2.4 million, a decrease in accounts payable of $1.8 million, an increase in other long-term assets of $1.2 million, partially offset by a decrease in prepaid expense and other current assets of $2.3 million and an increase in other long term liabilities of $0.8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net cash used in investing activities of $151.0 million was related to cash used in the purchase of investments of $331.5 million, partially offset by cash provided by investment maturities of $180.6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provided by investing activities of $61.9 million was related to cash provided by investment maturities of $172.2 million, partially offset by cash used in the purchase of investments of $109.9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cash provided by financing activities of $209.6 million was related to cash net proceeds of $187.9 million from the issuance of common stock through the April 2026 Public Offering, net proceeds from the issuance of common stock through ATM transactions of $20.7 million and the sale of common stock through our employee stock purchase plan of $1.1 million.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cash provided by financing activities of $22.3 million was related to cash provided by net proceeds from the issuance of common stock through ATM transactions of $14.5 million, proceeds from the CIRM award of $6.9 million and the sale of common stock through our employee stock purchase plan of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Material Cash Commitments and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for operating expenses, which consist primarily of clinical manufacturing and research and development expenditures related to our lead product candidates, other research efforts, and to a lesser extent, general and administrative expenditures. Cash used to fund operating expenses is impacted by the timing of when we pay these expenses, as reflected in the change in our outstanding accounts payable and accrued expenses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are still in the early stages of clinical and preclinical development and the outcome of these efforts is uncertain. Accordingly,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and license arrangements. If, and when,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when needed, we will need to delay, reduce or terminate planned activities to reduce costs. Doing so will likely harm our ability to execute our business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commitments primarily consist of obligations under our agreements with Pfizer, Cellectis, Servier and Natera. Under these agreements we are required to make milestone payments upon successful completion of certain development, regulatory and/or sales milestones on a target-by-target and country-by-country basis. The payment obligations under the license agreements are contingent upon future events such as our achievement of specified development, regulatory and/or commercial milestones and we will be required to make development milestone payments and royalty payments in connection with the sale of products developed under these agreements. As of September 30, 2026, we were unable to estimate the timing or likelihood of achieving the milestones or making future product sales. For additional information regarding our agreements, see Note 6 to our consolidated financial statements included in our Annual Report.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lease obligations primarily consist of lease payments on our research, lab and office facilities in South San Francisco, California, as well as lease payments on our cell manufacturing facility in Newark, California (CF1). For additional information regarding our lease obligations, see Note 7 to our condensed financial statements included elsewhere in this Quarterly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6, 2020, we announced we entered into a strategic five-year collaboration agreement with MD Anderson for the preclinical and clinical investigation of allogeneic CAR T cell product candidates. In August 2025 we extended the term of the agreement for an additional year or until the studies under the agreement are completed, whichever is later. Studies remain ongoing and the agreement remains in effect. Under the terms of the agreement, we have committed up to $15.0 million of funding for the duration of the agreement, of which $6.0 million remains. Payment of this funding is contingent on mutual agreement to study orders in order for any study to be included under the alliance. We are committed to make further payments to MD Anderson each year upon the anniversary of the agreement effective date through the duration of the agreement term, however, if MD Anderson has sufficient funds to continue the agreed-upon research projects, we may defer the additional payment to a later date. 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2020, we entered into a Solar Power Purchase and Energy Services Agreement for the installation and operation of a solar photovoltaic generating system and battery energy storage system at CF1, our manufacturing facility in Newark, California. The agreement has a term of 20 years and commenced in September 2022. We are obligated to pay for electricity generated from the system at an agreed rate for the duration of the agreement term. Termination of the agreement by us will result in a termination payment due of approximately $4.3 million. In connection with the agreement, we maintain a letter of credit for the benefit of the service provider in the amount of $4.3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have a Change in Control and Severance Plan that requires the funding of specific payments, if certain events occur, such as a change of control and the termination of employment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financial statements, which have been prepared in accordance with United States generally accepted accounting principles.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accrued research and development expenditures, stock-based compensation and leases have the most significant impact on our condensed financial statements. Therefore, we consider these to be our 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effective that are expected to have a material impact on our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interest rate fluctuations.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investments of $388.9 million as of September 30, 2026 consist of bank deposits, money market funds and available-for-sale securities. Such interest-earning instruments carry a degree of interest rate risk; however, historical fluctuations in interest income have not been significant for us. A 10% change in the interest rates in effect on September 30, 2026 would not have had a material effect on the fair market value of our cash equivalents and available-for-sale securities.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agreement with Servier requires milestone payments upon successful completion of certain regulatory and sales milestones on a target-by-target basis to be paid in Euros,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an effect on payments due and made to our collaboration partner as well as other foreign suppliers and for license agreements. A 10% change in the applicable foreign exchange rates during the periods presented would not have had a material effect on our condensed financial statements. As of September 30, 2026, we had less than $0.1 million current liabilities denominated in foreign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change in our internal control over financial reporting (as defined in Rules 13a-15(f) and 15d-15(f) under the Exchange Act) occurred during the three months ended September 30,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center"/>
      </w:p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and our other filings with the SEC before making investment decisions regarding our common stock.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Capital Needs</w:t>
      </w:r>
    </w:p>
    <w:p>
      <w:pPr>
        <w:pStyle w:val="TextBody"/>
        <w:bidi w:val="0"/>
        <w:spacing w:lineRule="auto" w:line="268" w:before="80" w:after="283"/>
        <w:ind w:left="0" w:right="0" w:hanging="540"/>
        <w:jc w:val="left"/>
      </w:pPr>
      <w:r>
        <w:rPr>
          <w:color w:val="000000"/>
        </w:rPr>
        <w:t>•</w:t>
      </w:r>
      <w:r>
        <w:rPr>
          <w:rFonts w:ascii="Times New Roman;serif" w:hAnsi="Times New Roman;serif"/>
          <w:b w:val="false"/>
          <w:color w:val="000000"/>
          <w:sz w:val="20"/>
        </w:rPr>
        <w:t xml:space="preserve">We have incurred net losses in every period since our inception and anticipate that we will incur substantial net losses in the future. </w:t>
      </w:r>
    </w:p>
    <w:p>
      <w:pPr>
        <w:pStyle w:val="TextBody"/>
        <w:bidi w:val="0"/>
        <w:spacing w:lineRule="auto" w:line="268" w:before="80" w:after="283"/>
        <w:ind w:left="0" w:right="0" w:hanging="540"/>
        <w:jc w:val="left"/>
      </w:pPr>
      <w:r>
        <w:rPr>
          <w:color w:val="000000"/>
        </w:rPr>
        <w:t>•</w:t>
      </w:r>
      <w:r>
        <w:rPr>
          <w:rFonts w:ascii="Times New Roman;serif" w:hAnsi="Times New Roman;serif"/>
          <w:b w:val="false"/>
          <w:color w:val="000000"/>
          <w:sz w:val="20"/>
        </w:rPr>
        <w:t>We will need substantial additional financing to develop our products and implement our operating plans. If we fail to obtain additional financing, we may be unable to complete the development and commercialization of our product candidates.</w:t>
      </w:r>
    </w:p>
    <w:p>
      <w:pPr>
        <w:pStyle w:val="TextBody"/>
        <w:bidi w:val="0"/>
        <w:spacing w:lineRule="auto" w:line="268" w:before="80" w:after="283"/>
        <w:ind w:left="0" w:right="0" w:hanging="540"/>
        <w:jc w:val="left"/>
      </w:pPr>
      <w:r>
        <w:rPr>
          <w:color w:val="000000"/>
        </w:rPr>
        <w:t>•</w:t>
      </w:r>
      <w:r>
        <w:rPr>
          <w:rFonts w:ascii="Times New Roman;serif" w:hAnsi="Times New Roman;serif"/>
          <w:b w:val="false"/>
          <w:color w:val="000000"/>
          <w:sz w:val="20"/>
        </w:rPr>
        <w:t>We may fail to meet our publicly announced guidance or other expectations about our business, which would cause our stock price to decline.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Our product candidates are based on novel technologies, which makes it difficult to predict the time and cost of product candidate development and the likelihood of obtaining regulatory approval.</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Our clinical trials may fail to demonstrate the safety and efficacy of any of our product candidates, which would prevent or delay regulatory approval and commercialization.</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Risks related to serious adverse events (SAEs) in the discontinued fludarabine, cyclophosphamide, and ALLO-647 (FCA) arm of our ALPHA3 trial, including the Grade 5 SAE, could lead to regulatory actions, negative perceptions, and potential product liability claims.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No CAR T therapy has been approved as part of a first-line consolidation strategy for the treatment of large B-cell lymphoma (LBCL) patients, which presents significant regulatory, commercial, and operational risks, and there is no assurance of success in this unproven setting.</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may encounter substantial delays in our clinical trials, or may not be able to conduct our trials on the timelines we expect.</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Our efforts to reactivate manufacturing operations and complete CMC activities required for a potential BLA may be delayed, unsuccessful or more costly than anticipated.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 xml:space="preserve">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Development of Our Product Candidates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Our engineered allogeneic T cell product candidates represent a novel approach to cancer treatment and treatment of autoimmune diseases, which creates significant challenges for us.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Gene-editing is a relatively new technology, and if we are unable to use this technology in our intended product candidates, our revenue opportunities will be materially limited.</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There is uncertainty regarding whether the use of fludarabine and cyclophosphamide (FC) without ALLO-647 will achieve sufficient lymphodepletion to support the efficacy of our allogeneic CAR T product candidate in the ALPHA3 trial.</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are heavily reliant on our partners, Cellectis and Servier, for access to TALEN gene editing technology for the manufacturing and development of our oncology product candidates.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are heavily reliant on our partner, Foresight Diagnostics, a subsidiary of Natera, for access to the investigational CLARITY™ MRD test for identifying eligible patients for our ALPHA3 trial and for the development and regulatory approval of an MRD companion diagnostic for cema-cel.</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The FDA and other comparable foreign regulatory approval processes are lengthy and time-consuming, and we may experience significant delays in the clinical development and regulatory approval of our product candidates.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The FDA or comparable foreign regulatory authorities may disagree with our regulatory plan and we may fail to obtain regulatory approval of our CAR T cell product candidates.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If we, or our collaborators, are required by the FDA, or comparable foreign regulatory authorities, to obtain approval, clearance, or certification of a companion diagnostic device in connection with approval of one of our product candidates, and we, or our collaborators, do not obtain, or face delays in obtaining, approval, clearance, or certification of a companion diagnostic device, we will not be able to commercialize the product candidate, and our ability to generate revenue will be materially impaired.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If our efforts to protect the proprietary nature of the intellectual property related to our technologies are not adequate, we may not be able to compete effectively in our market.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80" w:after="283"/>
        <w:ind w:left="0" w:right="0" w:hanging="540"/>
        <w:jc w:val="left"/>
      </w:pPr>
      <w:r>
        <w:rPr>
          <w:color w:val="000000"/>
        </w:rPr>
        <w:t>•</w:t>
      </w:r>
      <w:r>
        <w:rPr>
          <w:rFonts w:ascii="Times New Roman;serif" w:hAnsi="Times New Roman;serif"/>
          <w:b w:val="false"/>
          <w:color w:val="000000"/>
          <w:sz w:val="20"/>
        </w:rPr>
        <w:t>The price of our stock has been and may continue to be volatile, and you could lose all or part of your investment.</w:t>
      </w:r>
    </w:p>
    <w:p>
      <w:pPr>
        <w:pStyle w:val="TextBody"/>
        <w:bidi w:val="0"/>
        <w:spacing w:before="80" w:after="283"/>
        <w:jc w:val="left"/>
      </w:pPr>
      <w:r/>
    </w:p>
    <w:p>
      <w:pPr>
        <w:pStyle w:val="TextBody"/>
        <w:bidi w:val="0"/>
        <w:spacing w:before="0" w:after="0"/>
        <w:ind w:left="0" w:right="0" w:firstLine="490"/>
        <w:jc w:val="left"/>
      </w:pPr>
      <w:r/>
    </w:p>
    <w:p>
      <w:pPr>
        <w:pStyle w:val="TextBody"/>
        <w:bidi w:val="0"/>
        <w:spacing w:lineRule="auto" w:line="28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RISK FACTORS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490"/>
        <w:jc w:val="center"/>
      </w:p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 investment in shares of our common stock involves a high degree of risk. You should carefully consider the following risk factors, as well as the other information in this report, before deciding whether to purchase, hold or sell shares of our common stock.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below when evaluating our business. The risk factors set forth below that are marked with an asterisk (*) contain changes to the similarly titled risk factors included in, or did not appear as separate risk factors in, Item 1A of our Annual Report, which was filed with the SEC on March 12,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Capital Needs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net losses in every period since our inception and anticipate that we will incur substantial net losses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and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are advancing an allogeneic CAR T platform of primarily early-stage product candidates and have no products approved for commercial sale and have not generated any revenue from product sales to date, and we will continue to incur significant research and development and other expenses related to our ongoing operations. To date, we have devoted substantially all of our resources to organizing and staffing our company, business planning, raising capital, securing related intellectual property rights, building our product manufacturing infrastructure, including a dedicated good manufacturing practices (GMP) manufacturing facility, manufacturing our clinical product candidates and conducting discovery, research and development activities for our programs. As a result, we are not profitable and have incurred net losses in each period since our inception. For the year ended December 31, 2025, we reported a net loss of $190.9 million. For the nine months ended September 30, 2026, we reported a net loss of $135.7 million. As of September 30, 2026, we had an accumulated deficit of $2.1 billion.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incur significant expenditures for the foreseeable future, and we expect these expenditures to increase as we continue our research and development of, and seek regulatory approvals for, product candidates based on our engineered allogeneic CAR T cell platform. Because our allogeneic CAR T cell product candidates are based on new technologies and will require the creation of inventory of mass-produced, off-the-shelf product, they will require extensive research and development and have substantial manufacturing and processing costs. In addition, costs to treat patients with relapsed or refractory cancer and to treat potential side effects that may result from our product candidates can be significant.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encounter unforeseen expenses, difficulties, complications, delays and other unknown factors that may adversely affect our business. For instance, the U.S. Food and Drug Administration (FDA) placed our clinical trials on hold in October 2021, which suspended our clinical programs prior to resolution of the hold in January 2022. Even if we succeed in advancing our clinical trials and commercializing one or more of our product candidates, we will continue to incur substantial research and development and other expenditures to develop and market additional product candidates.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substantial additional financing to develop our products and implement our operating plans. If we fail to obtain additional financing, we may be unable to complete the development and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spend a substantial amount of capital in the development and manufacture of our product candidates. We will need substantial additional financing to develop our products and implement our operating plans. In particular, we will require substantial additional financing to enable commercial production of our products and initiate and complete registrational trials for multiple products in multiple regions. Further, if approved, we will require significant additional capital in order to launch and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$388.9 million in cash and cash equivalents and investments. Changing circumstances may cause us to consume capital significantly faster than we currently anticipate, and we may need to spend more money than currently expected because of circumstances beyond our control. We may also need to raise additional capital sooner than we currently anticipate if we choose to expand more rapidly than we presently plan. In any event, we will require additional capital for the further development and commercialization of our product candidates, including funding our internal manufacturing capabilities.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pPr>
      <w:r>
        <w:rPr>
          <w:rFonts w:ascii="Times New Roman;serif" w:hAnsi="Times New Roman;serif"/>
          <w:b w:val="false"/>
          <w:color w:val="000000"/>
          <w:sz w:val="20"/>
        </w:rPr>
        <w:t>We cannot be certain that additional funding will be available on acceptable terms, or at all. We have no committed source of additional capital and our stock price has faced extreme volatility and has declined. W</w:t>
      </w:r>
      <w:r>
        <w:rPr>
          <w:rFonts w:ascii="Times New Roman;serif" w:hAnsi="Times New Roman;serif"/>
          <w:b w:val="false"/>
          <w:color w:val="000000"/>
          <w:sz w:val="20"/>
          <w:shd w:fill="FFFFFF" w:val="clear"/>
        </w:rPr>
        <w:t>e may be unable to access the capital markets, consummate corporate collaborations or partnerships, or pursue other business opportunities that are integral to our growth and success, at a time when it would be advantageous to do so, or at all. Any of the foregoing could materially and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or issue equity securities in connection with a strategic transaction, the ownership interest of our stockholders will be diluted. If we are unable to raise additional capital in sufficient amounts or on terms acceptable to us, or if our authorized share limitations restrict our ability to issue securities when needed, we may have to significantly delay, scale back or discontinue the development or commercialization of our product candidates or other research and development initiatives. Our license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above events could significantly harm our business, prospects, financial condition and results of operations and cause the price of our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fail to meet our publicly announced guidance or other expectations about our business, which would cause our stock price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provide guidance regarding our expected financial and business performance, such as projections regarding our cash runway and projected clinical development and/or regulatory milestones. Correctly identifying key factors affecting business conditions and predicting future events is an inherently uncertain process and our guidance may not ultimately be accurate. Our guidance is based on certain assumptions relating to our expenses which may fluctuate based on how quickly we are able to execute on our operational initiatives, such as the timing of initiation of clinical trials and the rate of enrollment in such trials, and the timing of certain milestone payments, manufacturing expenses, employee expenses, facility expenses, and potential modifications of existing or the establishment of new partnership agreements. If our assumptions are not met or are impacted as a result of various risks and uncertainties, we may have to raise additional capital sooner than we currently expect and the market value of our common stock could decline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disruptions could seriously harm our future revenue and financial condition and increase our costs and expenses.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and those of our CDMOs, contract research organizations (CROs), clinical trial sites and other contractors and consultants, could be subject to business disruptions, including those caused by earthquakes, power shortages, telecommunications failures, cybersecurity attacks, water shortages, floods, hurricanes, tsunamis, typhoons, fires, extreme weather conditions, medical epidemics or pandemics, wars and other geopolitical conflicts (including military conflicts, threatened hostilities, and conflicts or heighted tension among alliance countries), bank failures, adverse legislative actions and other natural or man-made disasters or business interruptions, for which we are predominantly self-insured. The occurrence of any of these business disruptions could seriously harm our operations and financial condition and increase our costs and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manufacture or distribute our product candidates could be disrupted if our operations or those of our suppliers are affected by a man-made or natural disaster or other business interruption. Our corporate headquarters and manufacturing facility are located in California near major earthquake faults and fire and flood zones. The ultimate impact on us, our significant suppliers and our general infrastructure of being located near major earthquake faults and fire and flood zones and being consolidated in certain geographical areas is unknown, but our operations and financial condition could suffer in the event of a major earthquake, fire, flood or other natural disaster.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institutions, or that they would do so in a timely fashion. 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utilize our net operating loss carryforwards and certain other tax attributes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net operating losses incurred in tax years beginning after December 31, 2017, may be carried forward indefinitely, but the deductibility of such federal net operating loss carryforwards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change (by value) in the equity ownership of certain stockholders over a rolling three-year period), the corporation’s ability to use its pre-change net operating loss carryforwards and other pre-change tax attributes to offset its post-change income or taxes may be limited. As a result of our registered offerings in May 2024 and April 2026, activity related to our at-the-market (ATM) equity facility, our initial public offering (IPO) in October 2018 and private placements and other transactions that have occurred since our incorporation, we may have experienced an “ownership change”. We may also experience ownership changes in the future as a result of subsequent shifts in our stock ownership. We anticipate incurring significant additional net losses for the foreseeable future, and our ability to utilize net operating loss carryforwards associated with any such losses to offset future taxable income may be limited to the extent we incur future ownership changes.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2023 and before 2027. As a result, we may be unable to use all or a material portion of our net operating loss carryforwards and other tax attributes, which could adversely affect our future cash flows.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are based on novel technologies, which makes it difficult to predict the time and cost of product candidate development and the likelihood of obtaining regulatory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concentrated our research, development and manufacturing efforts on our engineered allogeneic CAR T cell therapy and our future success depends on the successful development of this therapeutic approach. We are in the early stages of developing our platform and we have experienced significant development challenges, such as with the prior clinical hold by the FDA, and there can be no assurance that any development problems we have now or experience in the future will not cause significant delays or unanticipated costs, or that such development problems can be overcome. We may also experience regulatory, operational, or technical challenges or delays when we seek to transition to commercial manufacturing, which may prevent us from commercializing our products, if approved, on a timely or profitable basis, if at 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since we are in the early stages of clinical development, we do not know all the doses to be evaluated in pivotal trials or, if approved, commercially. Finding a suitable dose for our cell therapy product candidates may delay our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anticipated clinical development timelines. These unknowns and other emerging findings from our clinical trials may result in protocol amendments, which may result in additional costs and may also delay our anticipated clinical development timelines. For example, such protocol amendments could lead to ongoing feedback on our trials from the FDA, EMA, or comparable foreign regulatory authorities, some of which may lead to changes in the trials, which could cause future delays to our trials, or impact the timing or nature of planned data analyses or the timing, scope or nature of any public disclosure regarding such analyses. In addition, our expectations with regard to our scalability and costs of manufacturing may vary significantly as we develop our product candidates and understand these critical factors.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advancing product candidates against unexplored targets and with new technology. For example, ALLO-316 targets CD70, and ALLO-329 targets CD19 and CD70. As a dual-targeting CAR T product candidate, ALLO-329 may demonstrate limited ability to target and eliminate cells, including both B and T lymphocytes, that express one or both targets. Additionally, there may be unexpected toxicity, such as severe or prolonged immunosuppression or hyperinflammation, arising from targeting both CD19 and CD70 simultaneously. Since CD70 is found on activated T and other immune cells, ALLO-316 and ALLO-329 may also cause fratricide resulting in the loss of ALLO-316 or ALLO-329 cells, either during the manufacturing process or after the cells are administered to patients, or may deplete host T or other immune cells.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developing next-generation allogeneic CAR T technologies such as our proprietary Dagger® platform technology, which is incorporated into ALLO-316 and ALLO-329. Dagger® is designed to eliminate activated host T cells that may otherwise mediate rejection of infused allogeneic CAR T cells and thereby reduce or potentially eliminate the need for standard lymphodepletion. This approach is novel and remains unproven. Dagger® technology may not function as intended, may fail to meaningfully reduce or eliminate the need for lymphodepleting chemotherapy, or may not improve expansion, persistence or clinical outcomes of our product candidates. In addition, the mechanism of eliminating activated host immune cells may introduce additional safety risks, including unintended immune effects or toxicities, which could limit dosing, delay development or prevent successful clinical advancement of product candidates incorporating this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CAR T administration and/or the lymphodepletion that is required before administration of CAR T cells, may increase the risk of prolonged blood cell count suppression (cytopenia) or other adverse events including infections or inflammatory conditions such as cytokine release syndrome (CRS), immune effector cell-associated neurotoxicity syndrome (ICANS), and/or immune effector cell-associated hemophagocytic lymphohistiocytosis-like syndrome (IEC-HS), which can be life-threatening and results in death. These events have been observed in our clinical trials and have resulted in pausing enrollment or requiring protocol amendments. For example, in our ongoing ALLO-316 TRAVERSE trial, we implemented risk mitigation measures for IEC-HS, which delayed and increased the cost of conducting the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ALPHA3 trial, we are advancing cema-cel for the treatment of patients with LBCL who have completed standard first line therapy and have attained a remission, but who still test positive for minimal residual disease (MRD). On April 13, 2026, we announced results from the planned interim futility analysis of the first 24 randomized patients to the two ongoing arms in ALPHA3. Although we believe these interim MRD and safety results are encouraging, they are based on a limited number of patients and may not be predictive of future results or demonstrate that ALPHA3 will meet its primary endpoint. Likewise, although we believe this early experience supports the potential for cema-cel to be administered in a broader range of treatment settings than autologous CAR T therapies, these data remain limited and may not be predictive of future outpatient or community-based administration.</w:t>
      </w:r>
    </w:p>
    <w:p>
      <w:pPr>
        <w:pStyle w:val="TextBody"/>
        <w:bidi w:val="0"/>
        <w:spacing w:lineRule="auto" w:line="288" w:before="120" w:after="283"/>
        <w:ind w:left="0" w:right="0" w:firstLine="720"/>
        <w:jc w:val="left"/>
      </w:pPr>
      <w:r>
        <w:rPr>
          <w:rFonts w:ascii="Times New Roman;serif" w:hAnsi="Times New Roman;serif"/>
          <w:b w:val="false"/>
          <w:color w:val="000000"/>
          <w:sz w:val="20"/>
        </w:rPr>
        <w:t>As part of this trial, under Investigational Device Exemption (IDE), we are using an investigational assay developed by Natera, known as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MRD assay, to determine if a patient is MRD positive.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MRD assay represents a novel approach to detecting the presence of minimal disease and the design of our trial is based on certain assumptions regarding the performance of the MRD assay, including assumptions regarding the anticipated MRD+ rate being consistent with published data. There is a risk that the assay may not function as intended and that the assay may not be sufficiently sensitive to detect the presence of low levels of MRD or sufficiently specific to avoid unacceptable rates of false positives. There is also a risk that the MRD+ rate observed in ALPHA3 may be lower than the previously reported rates as a result of the patient population screened, availability of sufficient patient test material, the performance of the test, and other factors that differ from previously reported rates. In addition, there are logistical risks with distributing diagnostic test kits to clinical trial sites, and collecting and sending patient samples to Natera for testing, and there is a risk that the MRD assay will not be timely performed on the patient samples. Such logistical and timing risks are enhanced as we look to expand the ALPHA3 trial to clinical trial sites outside of the United States. If the MRD assay does not function as intended (e.g., false negatives/positives, or the MRD+ rate is lower than expected), or if the MRD assay is not timely performed on patient samples, it could negatively impact the rate of enrollment, the clinical results of, or the feasibility of the ALPHA3 trial, or negatively impact the market opportunity for cema-cel. In addition, we are reliant on Natera to perform MRD testing. A delay or failure by Natera to perform MRD testing may negatively impact our ability to conduct the ALPHA3 trial as planned.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clinical study requirements of the FDA, European Medicines Agency (EMA) and other comparable foreign regulatory authorities and the criteria these regulators use to determine the safety and efficacy of a product candidate are determined according to the type, complexity, novelty and intended use and market of the potential products. The regulatory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approval process for novel product candidates such as ours can be more complex and consequently more expensive and take longer than for other, better known or extensively studied pharmaceutical or other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Approvals by the European Commission and FDA for existing autologous CAR T therapies, such as Kymriah® and Yescarta®, may not be indicative of what these regulators may require for approval of our therapies. Also, the use of healthy donor material in our allogeneic CAR T product candidates may create product variability challenges for us, and we do not yet fully understand the impact of donor variability on clinical outcomes.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 generally, approvals by any regulatory agency may not be indicative of what any other regulatory agency may require for approval or what such regulatory agencies may require for approval in connection with new product candidates. Moreover, our product candidates may not perform successfully in clinical trials or may be associated with adverse events that distinguish them from the autologous CAR T therapies that have previously been approved. For instance, allogeneic product candidates may result in graft-versus-host disease (GvHD) or chromosomal abnormalities not experienced with autologous products. Additionally, any Phase 2 trial results, such as in the ALPHA3 trial, may not be representative of Phase 1 results, which were based on limited patients and a patient population in an advanced stage of LBCL, and such Phase 2 trial results may not be accepted by the FDA as pivotal and sufficient for cema-cel approval, requiring us to open additional trials to establish that cema-cel is safe and effective. Even if we collect promising initial clinical data of our product candidates, longer-term data may reveal new adverse events or responses that are not durable. Unexpected clinical outcomes would significantly impact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and future success depends on our ability to advance clinical development, obtain regulatory approval of, and then successfully commercialize, our lead product candidates. Because cema-cel and ALLO-316, products designed for use in patients with cancer, and ALLO-329, designed for use in patients with autoimmune disease, are or will be among the first allogeneic products to be evaluated in the clinic, the failure of any such product candidates, or the failure of other allogeneic CAR T cell therapies, including for reasons due to safety, efficacy or durability, may impede our ability to develop our product candidates, and significantly influence physicians’ and regulators’ opinions in regard to the viability of our entire pipeline of allogeneic CAR T cell therapies. For instance, all of our clinical trials were previously put on clinical hold in 2021 due to an observation in the phase 1 portion of the ALPHA2 trial. While the clinical hold was resolved in early 2022, we could be subject to a clinical hold in the future due to unexpected observations, adverse patient outcomes or other issues.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product candidates, including our lead product candidates,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our other product candidates are based on similar technology as our lead product candidates, if any of the lead product candidates encounters additional safety issues, efficacy problems, manufacturing problems, developmental delays, regulatory issues or other problems, our development plans and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either in the U.S. or abroad. The policies of the FDA, the competent authorities of the European Union Member States (EU Member States), the EMA, the European Commission and other comparable regulatory authorities responsible for clinical trials may change and additional government regulations may be enacted. For instance, the regulatory landscape related to clinical trials in the European Union recently evolved. The European Union Clinical Trials Regulation (CTR), which was adopted in April 2014 and repeals the European Union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European Union portal. Once the clinical trial is approved, clinical study development may proceed. The CTR foresaw a three-year transition period that ended on January 31, 2025. Compliance with the CTR requirements by us and our third-party service providers, such as CROs, may impact our developments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work toward expanding ALPHA3 into additional jurisdictions, including the European Union, we may face additional regulatory, operational, site activation, privacy, data transfer, vendor coordination, import/export, pharmacovigilance and clinical-trial execution requirements. Any delays, additional data requests, country-specific requirements or other issues encountered in connection with these activities could delay site activation, patient screening or enrollment, and could increase costs or adversely affect the timing or conduct of ALPHA3.</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undesirable or unacceptable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Approved autologous CAR T therapies and those under development have shown frequent rates of CRS, neurotoxicity including ICANS, serious infections, prolonged cytopenia and hypogammaglobulinemia, hemophagocytic lymphohistiocytosis/macrophage activation syndrome (HLH/MAS), immune effector cell-associated HLH-like syndrome (IEC-HS) and adverse events have resulted in the death of patients. We have observed certain of these adverse events for our allogeneic CAR T product candidates. Other adverse events could also emerge in autologous CAR T therapies over time.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2024 the FDA sent letters to all companies with approved autologous CAR T therapies requesting them to add a black box warning on the label of their autologous CAR T therapies. The FDA is requiring label updates to include a black box warning that T-cell malignancies may occur following treatment with BCMA- and CD19-directed genetically modified autologous T-cell immunotherapies. The required warnings are specific to autologous therapies. Such T-cell malignancies have been observed in approximately 1 patient for every 1,000 patients treated with autologous therapies. Because our allogeneic therapies are based on similar technology, until we have treated more patients, there is a risk that we may find similar T-cell malignancies following treatment with our allogeneic CAR T product candidates. If such malignancies are observed, regulatory authorities, such as the FDA, may require a similar black box warning or other safety-related labeling statements on our products’ label, if approved, which could prevent us from achieving or maintaining market acceptance and adversely affect our business, financial condition, results of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allogeneic CAR T cell product candidates may also cause unique adverse events related to the differences between the donor and patients, such as GvHD or infusion reactions. In addition, we utilize a lymphodepletion regimen that caused serious adverse events. For instance, because some regimens are expected to cause a deep and sometimes prolonged immune suppression, patients will have an increased risk of infection that may be unable to be cleared by the patient and ultimately lead to other serious adverse events or death. For example, a patient death occurred in the FCA arm (fludarabine, cyclophosphamide, and ALLO-647) of our ALPHA3 trial. This Grade 5 SAE, which occurred on Day 54 post-infusion, involved fulminant hepatic failure caused by disseminated adenovirus infection, potentially worsened by acetaminophen toxicity. The depth of immunosuppression, which has been attributed in part to the use of ALLO-647, is believed to have increased susceptibility to this viral infection.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discontinued the FCA arm of our ALPHA3 trial in July 2025 and discontinued all uses of ALLO-647 in our clinical trials and pipeline programs. Patients previously treated in the discontinued FCA arm of our ALPHA3 trial continue to be followed and may experience additional adverse events. In addition, our lymphodepletion regimens used in our clinical trials have caused adverse events and may cause prolonged cytopenia and aplastic anemia. We have previously explored and may in the future explore various dosing strategies for lymphodepletion in our clinical trials, such as including varying doses of the chemotherapy agents and/or other components, or eliminating one or more of the agents, which may alter the risk of SAEs or have other undesirable outcomes such as a reduction of the efficacy of treatment.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and Servier's clinical trials of allogeneic CAR T product candidates, the most common severe or life-threatening adverse events resulted from CRS, serious infections, febrile neutropenia, prolonged cytopenia including prolonged pancytopenia, haemophagocytic lymphohistiocytosis, hypokalemia, multiple organ dysfunction syndrome, neutropenic sepsis and aplastic anemia. As reported, patients have died from adverse events and future patients may also experience toxicity resulting in death. For additional safety data, please see the section entitled “Business—Product Pipeline and Development Strategy” included in our Annual Report.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treat and re-treat more patients with our product candidates in our clinical trials, new less common side effects may also emerge or increased incidence of previously observed side effects may occur. There is a risk that the FDA or other comparable foreign regulatory authorities may not agree that sufficient mitigating procedures are included in our protocols to address such side effects, and FDA or other comparable foreign regulatory authorities may impose a clinical hold as it evaluates risks associated with such side effects and/or as we work with the agency to implement protocol amendments to appropriately manage such side effects. For instance, we observed a chromosomal abnormality that led to a previous clinical hold on our clinical trials. While our investigation concluded that the chromosomal abnormality had no clinical significance and was unrelated to our manufacturing process, our manufacturing processes include gene engineering by using viral vectors and genomic nucleases that may in the future cause insertion, deletion, or chromosomal translocation that may result in allogeneic CAR T cells to proliferate uncontrollably and adverse events.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combine the use of our product candidates with other investigational or approved therapies that may cause separate adverse events or events related to the combination.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unacceptable toxicities arise in the development of our product candidates, we could suspend or terminate a development program, a trial or certain arms of a trial, or the FDA or comparable foreign regulatory authorities could order us to cease clinical trials or deny approval of our product candidates for any or all targeted indications. For example, as a result of the Grade 5 SAE in the ALPHA3 trial described above, we terminated the FCA arm of the ALPHA3 trial, and the trial is moving forward as a two-arm trial under which patients will be randomized equally (1:1) into either the FC lymphodepletion arm or standard-of-care observation. Additionally, we terminated all further development of ALLO-647. Any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have trained and expect to have to train medical personnel using CAR T cell product candidates to understand the side effect profile of our product candidates for both our clinical trials and upon any commercialization of any of our product candidates. Inadequate training in recognizing or managing the potential side effects of our product candidates could result in patient deaths. Any of these occurrences may harm our business, financial condition and prospects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clinical trials may fail to demonstrate the safety and efficacy of any of our product candidates, which would prevent or delay regulatory approval and commercialization.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including in any post-approval studies.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for any trials that may be completed, we cannot guarantee that the FDA or comparable foreign regulatory authorities will interpret the results as we do, and more trials could be required before we submit our product candidates for approval. For example, the FDA may determine that results from our Phase 2 ALPHA3 trial are not sufficient to establish that cema-cel is safe and effective, and the FDA may require additional trials. Additionally, although the EMA has previously granted Marketing Authorizations for products even when their clinical development programs did not involve any European sites, the regulatory landscape for CAR T products continues to evolve, and the EMA may require us to conduct clinical trials in the EU in order to obtain approval. To the extent that the results of the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Risks related to SAEs in the discontinued FCA arm of our ALPHA3 trial, including the Grade 5 SAE, could lead to regulatory actions, negative perceptions, and potential product liability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FCA arm of our ALPHA3 clinical trial was terminated in July 2025 following a Grade 5 SAE, patients who previously received the FCA regimen continue to be followed. Both the previously observed Grade 5 SAE, or any additional safety findings identified through continued follow-up, could prompt regulatory authorities, including the FDA, to request additional safety data, require enhanced patient monitoring, or impose other conditions or restrictions on our clinical program. Such regulatory actions could delay our clinical development timelines, increase operational costs, and impact our ability to efficiently progress our trials. Additionally, the Grade 5 SAE or any additional safety findings could adversely affect perceptions among physicians and patients, potentially limiting future enrollment in ongoing or planned studies and affecting the market acceptance of our therapies. Furthermore, such events or findings may expose us to potential product liability claims, which could materially harm our reputation, financial condition, and business prospects.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 CAR T therapy has been approved as part of a first-line consolidation strategy for the treatment of LBCL patients, which presents significant regulatory, commercial, and operational risks, and there is no assurance of success in this unproven setting.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no CAR T therapy has been approved for use as part of a first-line consolidation treatment for patients with LBCL, and the regulatory and commercial landscape remains uncertain. Because there is no precedent for regulatory approval of a CAR T therapy in this treatment paradigm, we may face unexpected challenges in generating sufficient clinical data to support an approval, and regulatory authorities may impose additional requirements or take longer than anticipated to evaluate our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standard of care for first-line treatment in LBCL is well-established, and physicians and patients may be reluctant to adopt CAR T therapy in this setting due to concerns over safety, efficacy, cost, or logistical challenges associated with administration. If our product candidate does not demonstrate compelling clinical benefit over existing treatments or fails to gain market acceptance, we may not achieve the commercial success necessary to sustain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payors and reimbursement authorities may be unwilling to provide coverage for CAR T therapy as a first-line consolidation treatment, particularly if they perceive it as too costly compared to existing alternatives. Even if we obtain regulatory approval, lack of adequate reimbursement could limit patient access and materially impact our ability to generate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our clinical trial and potential approval in this setting is also dependent on factors outside of our control, such as evolving treatment paradigms, competitive developments, and changes in clinical practice. If we are unable to successfully develop, obtain approval for, and commercialize our CAR T therapy in this novel setting, our business, financial condition, and results of operations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Delays in the regulatory approval or commercial availability of the CLARITY assay, or limitations on coverage or reimbursement for the assay, could adversely affect the development and commercialization of cema-cel.*</w:t>
      </w:r>
    </w:p>
    <w:p>
      <w:pPr>
        <w:pStyle w:val="TextBody"/>
        <w:bidi w:val="0"/>
        <w:spacing w:lineRule="auto" w:line="288" w:before="120" w:after="283"/>
        <w:ind w:left="0" w:right="0" w:firstLine="720"/>
        <w:jc w:val="left"/>
      </w:pPr>
      <w:r>
        <w:rPr>
          <w:rFonts w:ascii="Times New Roman;serif" w:hAnsi="Times New Roman;serif"/>
          <w:b w:val="false"/>
          <w:color w:val="000000"/>
          <w:sz w:val="20"/>
        </w:rPr>
        <w:t>In certain foreign jurisdictions, such as the European Union (EU), we anticipate that the CLARITY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assay will be regulated as an in vitro diagnostic medical device. The timeline for this approval of CLARITY in jurisdictions outside the U.S. may be protracted due to the evolving regulatory landscape for medical devices, particularly in the EU, the complexity of demonstrating clinical utility for novel MRD assays, and potential resourcing constraints, such as within EU regulatory bodies.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do not own or control the CLARITY assay or its regulatory approval process. As a result, we are dependent on others to complete the necessary regulatory filings, respond to inquiries from regulators, and obtain regulatory approvals, such as EU Clinical Trial Application (CTA) approval, in a timely manner. If they experience delays, fail to meet regulatory requirements, or prioritize other programs over the CLARITY assay, our clinical development efforts outside the U.S. could be significantly delayed. We may have limited visibility into the approval timeline and decision-making process, which could hinder our ability to accurately forecast any trial initiation and enrollment.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Foresight Diagnostics, the developer of the CLARITY assay, was acquired by Natera. The acquisition and related integration activities may create additional risks and uncertainties for our clinical development and potential commercialization of cema-cel. For example, Natera may change Foresight’s strategic priorities, allocate resources differently, modify operating processes, systems, or personnel supporting CLARITY, deprioritize the development of CLARITY or pursue other business objectives that are not aligned with our development timelines or regulatory strategy. Any disruption during integration, including changes in key personnel, vendors, quality systems, or regulatory and clinical operations, could delay regulatory submissions, responses to regulatory inquiries, assay validation activities, or the availability of testing capacity needed to support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regulatory approvals of the CLARITY assay, such as a delay in a CTA approval in the EU, could slow patient recruitment and impact the overall timeline of our cema-cel clinical development program. If regulatory challenges prevent the assay from being approved in a reasonable timeframe, we may be forced to identify and validate an alternative MRD assay, which could require additional clinical studies, regulatory interactions, and investment of resources, further delaying our program. Furthermore, an alternative MRD assay with sufficient sensitivity may not exist.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since the CLARITY assay or another MRD assay is required to identify patients eligible for cema-cel, the commercial success of cema-cel will depend in part on the assay’s commercial availability and on coverage and adequate reimbursement for the assay. Third-party payors may decline to cover the assay, provide inadequate reimbursement, impose prior authorization requirements or restrictions on testing frequency, site of service or other utilization parameters, or require patients to bear significant out-of-pocket costs. Any such limitations could reduce MRD testing, delay or prevent the identification of eligible patients, limit physician and patient adoption of the testing-and-treatment pathway, and materially reduce demand for and sales of cema-cel, if approved. Since we do not control the approval or commercialization strategy of the assay, our ability to influence its availability, pricing, coverage, reimbursement and regulatory compliance will be limited.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Following Foresight’s acquisition by Natera, we may have even less influence over decisions regarding CLARITY’s development, regulatory strategy, commercialization, pricing, or reimbursement approach. If Natera encounters regulatory setbacks or is unable to secure timely approval, or if adequate coverage and reimbursement for the assay are not available, our ability to commercialize cema-cel may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approval of the CLARITY assay in any country or region is delayed, denied, or subject to additional regulatory requirements, or if coverage or adequate reimbursement for the assay is not available, our cema-cel clinical development timeline, regulatory approval prospects, and potential commercial success in such country or region could be materially impacted, which could adversely affect our business, financial condition, and future growth.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Phase 1 data from our clinical trials is limited and may change as more patient data becomes available or may not be validated in any future or advanced clinical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Data from clinical trials that we may complete are subject to the risk that one or more of the clinical outcomes may materially change as patient enrollment continues and more patient data becomes available. Phase 1 results are preliminary in nature and should not be viewed as predictive of ultimate success. It is possible that such results will not continue or may not be repeated in any clinical trial of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instance, our Phase 2 ALPHA3 trial design is based in part on Phase 1 data from a limited number of patients treated with various doses of ALLO-501 or cema-cel manufactured using the Alloy process. Results from the larger Phase 2 ALPHA3 trial, which we anticipate will only include cema-cel manufactured internally at CF1, but may ultimately also include cema-cel manufactured at a contract manufacturer, may not be consistent with the Phase 1 results. Furthermore, because ALPHA3 will include a different patient population versus our Phase 1 ALPHA2 trial, i.e., patients having MRD after front-line treatment versus patients with radiographically measurable disease after a minimum of two prior lines of treatment, it is possible that cema-cel may behave differently in terms of expansion, persistence and the ability to eradicate residual disease. In addition, our experience with our CD19 and BCMA programs indicates that manufacturing can impact clinical outcomes. The manufacturing runs we have completed and tested in the clinic are limited across our product candidates and any manufacturing variability that impacts clinical outcomes would significantly harm our business and prospects. We may also fail to develop any optimized manufacturing processes for any of our programs. Ultimately, if we cannot manufacture our product candidates with consistent and reproducible product characteristics, our ability to develop and commercialize any product candidate would be significantly impacted.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Phase 1 trials of novel products also commonly include a dose exploration phase during which adverse effects of treatment may emerge at higher doses that are new, unexpected, or occur at higher-than-expected frequencies or severity and may limit our ability to develop such products in one or more target indications or patient populations. Similarly, in dose expansion phase, we may discover that adverse effects, either known or novel, may negatively impact the emerging overall benefit-risk profile of our product candidates and may lead to the discontinuation or other significant alteration to the development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Preliminary data also remain subject to audit and verification procedures that may result in the final data being materially different from the preliminary data we previously published. As a result, initial, interim and preliminary data should be viewed with caution until the final data are available. Adverse differences between preliminary or interim data and final data could significantly harm our business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reported initial observations from early dose levels in our Phase 1 RESOLUTION trial of ALLO-329, including observations regarding clinical activity and tolerability. These observations are preliminary, are based on a small number of patients across different autoimmune indications, dose levels and lymphodepletion approaches, and may not be predictive of future results. As dose escalation continues and additional patients are treated and followed, we may observe different or less favorable safety, tolerability, biomarker or clinical activity results, and we may not identify a dose or lymphodepletion regimen that supports further development. Any unfavorable or inconclusive safety, tolerability, biomarker, clinical-activity or durability data from RESOLUTION could delay or prevent further development of ALLO-329 and materially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companies developing cell therapies for autoimmune diseases have reported serious and fatal adverse events, including IEC-HS and other inflammatory events associated with CD19 CAR T-cell therapies. These events have been attributable to manufacturing processes or toxicity associated with lymphodepletion, and have resulted in pauses, material changes to or discontinuation of clinical development programs. Longer-term follow-up of other autoimmune cell-therapy programs has also shown that initially observed clinical activity may not demonstrate sufficient durability to support continued development. Safety, tolerability or durability findings could occur in RESOLUTION or other trials of ALLO-329 as additional patients are treated at different doses and with different lymphodepletion approaches. Such findings could result in clinical holds or pauses, changes to our trial design, dosing, lymphodepletion, patient-selection or safety-monitoring requirements,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delays in development, or discontinuation of ALLO-329 in one or more indications, and could heighten regulatory scrutiny of ALLO-329 and autoimmune cell therapies generally.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submit INDs or equivalent foreign applications to commence additional clinical trials on the timelines we expect, and even if we are able to, the FDA or other comparable foreign regulatory authorities may not permit us to proceed.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submit investigational new drug (IND) applications or IND amendments and equivalent foreign applications for current and potentially new product candidates or indications in the future. We cannot be sure that submission of an IND or IND amendment or an equivalent foreign application will result in the FDA or other comparable foreign regulatory authorities allowing testing and clinical trials to begin on our anticipated timelines, if at all, or that, once begun, issues will not arise that suspend or terminate such clinical trials. The manufacturing of allogeneic CAR T cell therapy remains an emerging and evolving field. Accordingly, we expect Chemistry, Manufacturing and Controls (CMC) related topics, including product specification, will be a focus of IND reviews, which may delay the clearance of INDs or IND amendments, and we may face internal or third-party resource constraints in preparing responses and supporting CMC-related submissions. For instance, if we introduce changes to the manufacturing of our product candidates, regulatory authorities may require additional studies or clinical data to support the changes, which could delay our clinical trial timelines. Additionally, even if such regulatory authorities agree with the design and implementation of the clinical trials set forth in an IND, IND amendment or clinical trial application, we cannot guarantee that such regulatory authorities will not change their requirements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encounter substantial delays in our clinical trials, or may not be able to conduct our trials on the timelines we expect.*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time consuming and subject to uncertainty. We cannot guarantee that any clinical studies will be conducted as planned or completed on schedule, if at all. Even if our trials begin as planned, issues may arise that could suspend or terminate such clinical trials or a portion thereof. A failure of one or more clinical studies can occur at any stage of testing, and our future clinical studies may not be successful. Events that may prevent successful or timely completion of clinical development include: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inability to generate sufficient preclinical, toxicology or other in vivo or in vitro data to support the initiation of clinical studies;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sufficiently developing, characterizing, controlling or optimizing a manufacturing process suitable for clinical trials, including the validation and deployment of release assays;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difficulty sourcing healthy donor material of sufficient quality and in sufficient quantity to meet our development needs;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developing, obtaining regulatory approval for, or implementing suitable assays for screening patients for eligibility for trials with respect to certain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number of patients who consent to be screened for the ALPHA3 trial may be lower than we expect given the current well-established medical practice of frontline therapy for LBCL and the history of slow patient recruitment in other frontline LBCL trials;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screen failure rate for clinical trials of our product candidates may be higher than we anticipate, requiring us to screen larger numbers of patients than originally planned. For example, the number of patients who have MRD at the end of front-line treatment in ALPHA3 may be lower than we expect requiring more patients to be screened;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reaching a consensus with regulatory agencies on study design;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reaching agreement on acceptable terms with prospective CROs and clinical study sites, the terms of which can be subject to extensive negotiation and may vary significantly among different CROs and clinical study sites;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obtaining required IRB approval or approval of other ancillary regulatory committees at each clinical study site;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imposition of a temporary or permanent clinical hold by regulatory agencies for a number of reasons, including after review of an IND application or amendment, or equivalent application or amendment; as a result of a new safety finding that presents uncertain or unreasonable risk to clinical trial participants; a negative finding from an inspection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our or our collaborator’s clinical study operations or our study sites; developments on trials conducted by competitors for related technology that raises FDA or other comparable foreign regulatory authority concerns about risk to patients of the technology broadly; or if the FDA or other comparable foreign regulatory authorities find that the investigational protocol or plan is clearly deficient to meet its stated objectives;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recruiting suitable patients to participate in our clinical studies;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activating clinical trial sites;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obtaining the necessary regulatory approvals to expand clinical trials to countries outside the United States, including approvals relating to any required companion diagnostic;</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difficulty collaborating with patient groups and investigators;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failure by our CROs, other third parties or us to adhere to clinical study requirements;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failure to perform in accordance with the FDA’s good clinical practices (GCP) requirements or equivalent regulatory guidelines in other countries;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or failures in the transfer of manufacturing processes to any CDMO or our own manufacturing facility or any other development or commercialization partner for the manufacture of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having patients complete participation in a study or return for post-treatment follow-up;</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patients dropping out of a study;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occurrence of adverse events associated with the product candidate that are viewed to outweigh its potential benefits;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regulatory requirements and guidance that require amending or submitting new clinical protocols;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the standard of care on which a clinical development plan was based, which may require new or additional trials;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cost of clinical studies of our product candidates being greater than we anticipate;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clinical studies of our product candidates producing negative or inconclusive results, which may result in our deciding, or regulators requiring us, to conduct additional clinical studies or abandon product development programs;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delays or failure to secure supply agreements with suitable raw material suppliers, or any failures by suppliers to meet our quantity or quality requirements for necessary raw materials;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shortage, interruption, or failure to secure commercially available and/or investigational drug products that are required to conduct clinical trials with our allogeneic CAR T product candidates;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manufacturing, testing, releasing, validating, or importing/exporting sufficient stable quantities of our product candidates for use in clinical studies or the inability to do any of the foregoing.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continuing to engage with the FDA regarding certain aspects of the ALPHA3 trial, including the general impact of protocol amendments, heterogeneity of the patient population under study potentially arising from certain eligibility criteria for patients in partial remission considered by investigators to be suitable for observation and the potential use of additional MRD assays for patient selection. Although we believe the ALPHA3 protocol as originally designed and as proposed for modification through amendments is robust and will meet the objectives agreed with FDA, we cannot be sure that the FDA will agree with our positions on these or other matters. The FDA may require us to refine patient eligibility criteria, revise the protocol or statistical analysis plan, conduct additional analyses, suspend enrollment or treatment, extend follow-up, or conduct additional clinical trials. Any such requirement could delay enrollment or completion of ALPHA3, increase our development costs, adversely affect the interpretability or regulatory acceptability of the trial results, delay or prevent submission or approval of a BLA for cema-cel, or reduce the population for which cema-cel could ultimately be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Tariffs and other trade restrictions, as well as a pandemic or epidemic may also increase the risk of certain of the events described above and delay our development timelines. Any inability to successfully complete preclinical and clinical development could result in additional costs to us or impair our ability to generate revenue. In addition, if we make manufacturing or formulation changes to our product candidates, we will be required to meet certain regulatory conditions, such as establishing comparability with the product candidates manufactured prior to such changes, and our inability to meet such conditions would result in investment of additional resources, a delay in our manufacturing of such product candidate and an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extension of our clinical trial timelines.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may also be delayed because of the availability of drugs required to be used under our protocols. For example, in some of our clinical trials, the study participants receive commercially available drugs for lymphodepletion before our allogeneic CAR T product candidates are administered, and receive other drugs to prevent infections and manage the treatment emergent adverse events. Shortage or lack of availability of these commercially available drugs that are necessary to conduct our clinical trials may cause delays in our clinical trials.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Monitoring and managing toxicities in patients receiving our product candidates is challenging, which could adversely affect our ability to obtain regulatory approval and commercialize.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clinical trials of our product candidates, we contract or will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or other comparable foreign regulatory authorities delaying, suspending, varying,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and/or may have a detrimental impact on the efficacy of the treatment. Challenges associated with the use of these medicines may increase with new physicians and centers administering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difficulties in patient enrollment in our clinical trials for a variety of reasons. For example, as we progress the ALPHA3, TRAVERSE and RESOLUTION trials, we may face enrollment challenges, including an unwillingness of sites or patients to participate, the exclusion of patients with certain disease characteristics or the ineligibility of patients that have received prior autologous CAR T therapies, which continue to gain adoption. The timely completion of clinical trials in accordance with their protocols depends, among other things, on our ability to enroll a sufficient number of patients. Because we anticipate a minority of the 1L patients we will test for MRD as part of screening for the ALPHA3 trial will be MRD positive, we will likely experience a very high screen failure rate, which will require screening a large number of patients to complete enrollment in the study. Because of the anticipated high screen failure rate, certain clinical trial sites may decline to participate in ALPHA3 or completion of enrollment may be significantly delayed. Future epidemics or pandemics may result in reduced enrollment and challenges to related clinical trial activities. The enrollment of patients may be more difficult, such as due to the perceptions of the safety of our product candidates, and will depend on many factors, including: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patient eligibility criteria defined in the protocol;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prevalence of any biomarker required for enrollment, such as MRD or CD70 expression;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performance of the diagnostic tests used to determine eligibility for enrollment (e.g., MRD or CD70);</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size of the patient population required for analysis of the trial’s primary endpoints;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proximity of patients to study sites;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design of the trial;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recruit clinical trial investigators with the appropriate competencies and experience and to activate, in a timely manner, the clinical trial sites with which they are associated and that have access to eligible patients;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our ability to obtain and maintain patient consents;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competition from approved products in the same or other lines of therapy and/or disease indications and from product candidates in other clinical trials;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risk that patients enrolled in clinical trials will drop out of the trials before the infusion of our product candidates or trial completion.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we only need to conduct a limited number of manufacturing runs to generate clinical supply, the diversity of our supply is limited during clinical trials. As a result, some patients may have antibodies to certain donor specific antigens at titers that could negatively impact the activity of our product candidates and which would render the patients ineligible for treatment. Furthermore, cellular mechanisms of allogeneic tissue rejection may limit the efficacy of our products. In addition, we have introduced an in vitro companion diagnostic (IVD) assay in the TRAVERSE trial to screen for patients with CD70+ tumors and are utilizing an MRD assay in the ALPHA3 trial to screen for patients who are MRD positive, both of which are restricting the number of patients eligible for the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research use of an experimental diagnostic assay or test, such as that we are using to determine CD70 expression on tumor tissue of potential participants in the TRAVERSE trial or to identify MRD positive patients in the ALPHA3 trial, may influence results of the study in expected or unexpected ways. For example, emerging safety and efficacy outcomes could lead us to impose, tighten or expand “cutoff” values of CD70 expression to determine enrollment eligibility for TRAVERSE. Assay performance or necessary changes we or our partners make to the assay(s) during development may reduce the pace of enrollment or may lead to alterations in the expected benefit risk profile as compared to results collected prior to the change. In addition, our use of such assays may add complexity to initiating or expanding clinical trials outside the United States, including because the assay may be subject to regulation as an in vitro diagnostic medical device in certain jurisdictions and may require regulatory review, authorization, clearance or approval, or additional country-specific validation or operational requirements, before it can be used for patient selection. Any delays or inability to obtain such regulatory authorization, clearance or approval, or to meet local requirements, could delay trial initiation, site activation, patient screening or enrollment in those jurisdictions.The diagnostic assay itself may not perform as expected due to identifiable or obscure factors. It is also possible that we may not be aware of such underperformance of the assay which could lead to incorrect conclusions. This could, in turn, impact enrollment and interpretation of the clinical trial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trials will also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For example, our collaboration with Natera is nonexclusive. As a result, there is a risk that Natera might work with our competitors to enable a competing clinical trial involving the same MRD positive patient population that we plan to enroll in ALPHA3, which would reduce the number of patients who are available to participate in ALPHA3, and potentially delay completion of ALPHA3.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our clinical trials require conditioning patients with chemotherapy, including agents such as cyclophosphamide and fludarabine, and physicians use other drugs prophylactically or to manage adverse events, our ability to enroll may be impacted by the shortage of such agents or drugs. For instance, the FDA has reported a shortage of fludarabine and any failure or delays by us or by our clinical trial sites to obtain sufficient quantities of fludarabine may delay our ability to enroll and treat patients in our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because our product candidates represent a departure from more commonly used methods for treating cancer and autoimmune diseases, potential patients and their doctors may be inclined to use conventional therapies, such as chemotherapy, monoclonal antibodies, hematopoietic cell transplantation as well as autologous CAR T cell therapies for treating cancer or hydroxychloroquine, NSAIDs, immunosuppressants, corticosteroids, or other biologics for treating autoimmune diseases, rather than enroll patients in our clinical trial, including if our product candidates have or are perceived to have additional safety or efficacy risks or if using our product candidates may affect insurance coverage of conventional therapies. For instance, the development of autologous CAR T cell therapies continues to rapidly advance, including into earlier lines of treatment of LBCL and treatment of relapsed/refractory (R/R) multiple myeloma, as described under the section entitled "Business—Competition" included in our Annual Report. We also may experience risks associated with a new class of therapies, bispecific antibodies, which have been approved for multiple myeloma and LBCL. The compelling results and related approvals may impact our ability to enroll patients in our clinical trials. Moreover, patients eligible for allogeneic CAR T cell therapies but ineligible for autologous CAR T cell therapies due to aggressive cancer and inability to wait for autologous CAR T cell therapies may be at greater risk for complications and death from therapy or may experience a reduction in efficacy as compared to patients who are well enough and whose disease is sufficiently slow growing as to be eligible for autologous CAR T cell therapy.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our clinical trials, which could prevent completion of these trials and adversely affect our ability to advance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opportunities for certain of our product candidates may be limited to those patients who are ineligible for or have failed prior treatments and may be small.*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often approves new therapies initially only for use in patients with R/R metastatic disease. We may initially seek approval of certain of our product candidates in this setting. Subsequently, for those products that prove to be sufficiently beneficial, if any, we would expect to seek further approval in earlier lines of treatment, and for cema-cel we expect to initially seek approval in the first line consolidation setting. There is no guarantee that our product candidates, even if approved, would be approved for earlier lines of therapy, and, prior to any such approvals, we will have to conduct additional clinical trials, including potentially comparative trials against the then-current standard of care, which in some cases may include comparative trials against approved therapies. We may also target a similar patient population as autologous CAR T product candidates, including approved autologous CAR T products. Our therapies may not be as safe and effective as autologous CAR T therapies and may only be approved for patients who are ineligible for autologous CAR T therapy.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treatment landscape for first-line large B-cell lymphoma continues to evolve, including through the development of novel therapies and combinations intended to improve outcomes compared with currently approved regimens. If any such therapies or combinations are approved and widely adopted based on improved efficacy, including higher response rates or more durable responses, they could reduce the number of patients who remain MRD-positive following first-line treatment and therefore reduce the number of patients who may be eligible for treatment with cema-cel. Changes in the first-line standard of care could also affect the characteristics of patients enrolled in ALPHA3, the results of the trial, the regulatory or commercial positioning of cema-cel, and the size of the addressable market for cema-cel,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projections of both the number of patients who have the cancers or autoimmune diseases we are targeting, as well as the subset of patients with these cancers or autoimmune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or therapies may change the estimated incidence or prevalence of these cancers and autoimmune diseases. The number of patients may turn out to be lower than expected. Additionally, the potentially addressable patient population for our product candidates may be limited, such as due to the eligibility criteria of our trials (e.g., MRD+ rates lower than expected), or may not be amenable to treatment with our product candidates, all of which may negatively impact the potential market opportunity for our other product candidates,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achieve clinical or commercial manufacturing of our products on our own or at a CDMO, including the inability to satisfy demands for any of our product candidates. We have limited experience in managing the allogeneic CAR T cell engineering process, and our allogeneic processes may be more difficult or more expensive than the approaches taken by our competitors. Until we complete our clinical trials, we cannot be sure that the manufacturing processes employed by us or the technologies that we incorporate for manufacturing will result in consistent T cell production that will be safe and effective.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CF1, our manufacturing facility located in Newark, California, that is designed to support our clinical trials and potential commercial production and worldwide distribution of allogeneic CAR T cell products for blood cancers, solid tumors and autoimmune diseases. Introducing any product manufactured at our manufacturing facility into an ongoing clinical trial would be subject to FDA review, and may result in increased costs and delays in conducting such trial, submitting a biologics license application (BLA) or marketing authorization application (MAA) and/or gaining FDA or other comparable foreign regulatory authority approval. Similar conditions may apply if we make process changes to our product candidates. In addition, any process or raw material change could introduce unacceptable product variability and impact our ability to manufacture on a consistent and reproducible basis. Ultimately, any failure or delays in manufacturing and qualification of our product candidates at our CDMO or at our own manufacturing facility could delay our clinical trials.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yet have sufficient information to reliably estimate the cost of the commercial manufacturing of our product candidates, and the actual cost to manufacture our product candidates could materially and adversely affect the commercial viability of our product candidates. The commercial dose and treatment regimen may affect our ability to scale and will affect our cost per dose. For instance, because certain product candidates may require a higher dose than cema-cel, it is possible that it may be more difficult to scale production of such product candidates to meet demand. As a result, we may never be able to develop a commercially viable product. Our manufacturing facility will also require FDA approval, and possibly similar approval from comparable foreign regulatory authorities before it can be used for commercial production, which we may never obtain. Even if approved, we would be subject to ongoing periodic unannounced inspection by the FDA, EMA, the Drug Enforcement Administration and corresponding state agencies to ensure strict compliance with current good manufacturing practices (cGMP), and other government regulations.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manufacture of biopharmaceutical products is complex and requires significant expertise, including the development of advanced manufacturing techniques and process controls. Manufacturers of cell therapy products often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encounter difficulties in production, particularly in validating initial production and ensuring the absence of contamination. Other problems can include difficulties with production costs and yields, quality control, including stability of the product,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supply may have to be discarded and our manufacturing facility may need to be closed for an extended period of time to investigate and remedy the contamination. We cannot assure you that any stability or other issues relating to the manufacture of our product candidates will not occur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of our vendors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experience manufacturing difficulties due to resource constraints or as a result of labor disruptions, such as due to a future pandemic, epidemic or disputes. If we were to encounter any of these difficulties, our ability to provide our product candidates to patients would be jeopardized.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efforts to reactivate manufacturing operations and complete CMC activities required for a potential BLA may be delayed, unsuccessful or more costly than anticipated.*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we implemented a targeted reduction in manufacturing activities and reduced certain manufacturing-related functions to focus our resources on critical clinical programs. Following the results of the planned interim futility analysis for ALPHA3 and our April 2026 Public Offering, we increased hiring and restarted activities at our manufacturing facility to support CMC and BLA-readiness activities for cema-cel. We believe we currently hold sufficient inventory of cema-cel and ALLO-329 to meet our near-term clinical needs, including completing our current ALPHA3 and RESOLUTION trials. Although we have completed enrollment and dosing in our TRAVERSE trial, we cannot be certain that our existing ALLO-316 inventory would be sufficient to support any future ALLO-316 clinical studies.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manufacturing restart and BLA-readiness activities require us to recruit and train qualified personnel, restore operational capabilities following a period of reduced activity, requalify or validate equipment, facilities, processes and analytical methods, and coordinate activities with multiple third-party manufacturers, suppliers and testing laboratories. Although we have made progress hiring personnel and restarting manufacturing and process-development activities, we may not be able to fill remaining positions or train and integrate personnel on our expected timeline, and recently hired personnel may not have the same institutional knowledge or experience as personnel who previously performed these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CMC activities required to support a potential cema-cel BLA are complex. Certain activities must be completed sequentially or depend on the timely performance of third parties. If manufacturing runs or validation activities are unsuccessful, require repetition or generate unexpected results, or if the FDA disagrees with our proposed manufacturing, validation or regulatory strategy, we may be required to perform additional work, modify our processes or generate additional data. Any such event could increase costs and delay CMC readiness or submission of a potential BLA.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equipment or facility issues, product shelf-life limitations, evolving product specifications or regulatory requirements, supply interruptions and inaccurate forecasts could render existing inventory insufficient or require additional manufacturing. There can be no assurance that our manufacturing reactivation and BLA-readiness activities will be completed successfully, on our anticipated timeline or within our projected costs. Delays or failures in these activities could adversely affect our ability to advance our clinical programs, submit a BLA, commercialize any approved product or support future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company, we have no experience in marketing products. If we are unable to establish marketing and sales capabilities or enter into agreements with third parties to market and sell our product candidates, we may not be able to generate product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company, we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or be on favorable terms. Any revenue we receive will depend upon the efforts of such third parties, which may not be successful. We may have little or no control over the marketing and sales efforts of such third parties and our revenue from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sales may be lower than if we had commercialized our product candidates ourselves. We also face competition in our search for third parties to assist us with the sales and marketing efforts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develop in-house sales and distribution capabilities or establish or maintain relationships with third-party collaborators to commercialize any product that receives regulatory approval in the United States or in other markets.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globally develop our product candidates. Accordingly, we expect that we will be subject to additional risks related to operating in foreign countries, including: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differing regulatory requirements in foreign countries;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unexpected changes in tariffs, trade barriers, price and exchange controls and other regulatory requirements, including recently imposed tariffs which may impact certain of our key raw materials that we import, and which could impact our cost of goods for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differing standards and privacy requirements for the conduct of clinical trials;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jurisdiction-specific regulatory, reimbursement, and clinical adoption dynamics for diagnostic assays used for patient identification and selection;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geographic variations in genetics, comorbidities, environmental factors, treatment patterns, and healthcare practices may impact the safety profile or efficacy of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increased difficulties in managing the logistics and transportation of storing and shipping product candidates produced in the United States, shipping the product candidate to the patient abroad, and shipping patient samples to the United States for screening tests;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import and export requirements and restrictions;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potential liability under the Foreign Corrupt Practices Act of 1977 or comparable foreign regulations;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production shortages resulting from any events affecting raw material supply or manufacturing capabilities abroad;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challenges with obtaining any local supply of drugs or agents used with our product candidates, which are required by certain local clinical trial sites before conducting any study;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business interruptions resulting from future health epidemics or pandemics, or natural or man-made disasters, including earthquakes, tsunamis, fires or other medical epidemics, or geo-political actions, including war and terrorism.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and other risks associated with our collaborations with Servier and Cellectis, each based in France, and our joint venture for China, Taiwan, South Korea and Singapore with HBP, may materially adversely affect our ability to attain or maintain profitable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biopharmaceutical industry, and the immuno-oncology industry specifically,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engineered T-cell therapies face significant competition from approved and investigational therapies across multiple modalities, including autologous and allogeneic cell therapies, bispecific antibodies and other antibody-based therapies, small molecules, and other immunotherapies. Certain of these therapies may offer advantages over our product candidates, including greater efficacy or durability, improved safety or tolerability, more convenient administration, lower cost, broader availability, or reduced requirements for conditioning chemotherapy, specialized treatment centers or patient monitoring. In addition, new approaches, including in vivo cell-engineering technologies that seek to deliver genetic payloads directly to a patient’s immune cells within the body, could reduce or eliminate certain manufacturing and logistical requirements associated with ex vivo cell therapies. If any competing therapies ultimately demonstrate clinical success, acceptable safety profiles or other meaningful advantages, or are approved and widely adopted, they could affect the standard of care, reduce the number of patients eligible for our product candidates, adversely affect our regulatory or commercial strategy, or reduce the commercial potential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 of competing therapies could affect our clinical-development and regulatory strategies or delay or prevent regulatory approval of our product candidates. Even if we obtain regulatory approval of our product candidates, the efficacy, safety, convenience, availability and price of our competitors’ products could limit demand for, and the price we are able to charge for, our product candidates. We may not be able to implement our business plan if acceptance of our product candidates is inhibited by price competition, the reluctance of physicians or patients to adopt our product candidates in place of established or newly approved treatments, or decisions by physicians to reserve our product candidates for use in limited circumstances. In addition, serious adverse events or safety signals associated with competing cell- or gene-therapy approaches could heighten regulatory scrutiny of such products generally and indirectly affect the development or regulatory review of our product candidates. For additional information regarding our competition, refer to the section entitled “Business—Competition” included in our Annual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highly competitive biotechnology and pharmaceutical industries depends upon our ability to attract and retain highly qualified managerial, scientific, medical and other personnel. We are highly dependent on our management, including our Executive Chair, our President and Chief Executive Officer and interim Chief Medical Officer, our Senior Vice President and Chief Technical Officer, and our General Counsel. Our Chief Financial Officer has announced his retirement, effective November 6, 2026, and we have initiated an external search for his successor. The Chief Financial Officer transition, together with the recent Chief Executive Officer transition and interim nature of our Chief Medical Officer role, could result in loss of institutional knowledge, disruption of financial reporting, operational or strategic activities, diversion of management attention, or difficulty recruiting and integrating successors. The loss of the services of any of our other executive officers, key employees, and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Attrition may lead to higher costs for hiring and retention, diversion of management time to address retention matters and disrupt the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stock options and restricted stock unit (RSU) awards that vest over time or upon the achievement of certain key strategic goals. The value to employees of stock options and RSU awards that vest over time or upon achieving goals have been significantly affected by movements in our stock price that are beyond our control and may at any time be insufficient to counteract more lucrative offers from other companies. We completed an option exchange program in July 2022 to alleviate the significant number of employee options that were underwater at that time. Our stock price has significantly declined since the option exchange program and a significant number of our employee options remain underwater and may not provide the intended incentive for employees to remain at our company.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size of our workforce has fluctuated and we will need to manage the size of our organization as we continue to advance our product candidates.*</w:t>
      </w:r>
    </w:p>
    <w:p>
      <w:pPr>
        <w:pStyle w:val="TextBody"/>
        <w:bidi w:val="0"/>
        <w:spacing w:lineRule="auto" w:line="288" w:before="120" w:after="283"/>
        <w:ind w:left="0" w:right="0" w:firstLine="720"/>
        <w:jc w:val="left"/>
      </w:pPr>
      <w:r>
        <w:rPr>
          <w:rFonts w:ascii="Times New Roman;serif" w:hAnsi="Times New Roman;serif"/>
          <w:b w:val="false"/>
          <w:color w:val="000000"/>
          <w:sz w:val="20"/>
        </w:rPr>
        <w:t>As our development, manufacturing and commercialization plans and strategies develop, we have grown our employee base and allocated resources to multiple new functions, but in January 2024 and May 2025 we implemented a 22% and 28% reductions in force, respectively, and we will need to continue to manage the size of our organization to ensure that we can successfully execute our strategic plans. For example, following our April 2026 announcement of ALPHA3 interim results and the April 2026 Public Offering, we increased hiring activities to support our manufacturing, clinical development and BLA-readiness efforts. As our product candidates advance toward commercialization, we expect to hire employees in areas that include sales and marketing.</w:t>
      </w:r>
      <w:r>
        <w:rPr>
          <w:color w:val="000000"/>
        </w:rPr>
        <w:t xml:space="preserve"> </w:t>
      </w:r>
      <w:r>
        <w:rPr>
          <w:rFonts w:ascii="Times New Roman;serif" w:hAnsi="Times New Roman;serif"/>
          <w:b w:val="false"/>
          <w:color w:val="000000"/>
          <w:sz w:val="20"/>
        </w:rPr>
        <w:t>Future growth imposes significant added responsibilities on members of management, including: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product candidates will depend, in part, on our ability to effectively manage our growth, and our management may also have to divert a disproportionate amount of its attention away from day-to-day activities in order to devote a substantial amount of time to managing these growth activities.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and retaining employees and expanding our groups of consultants and contractors, we may not be able to successfully implement the tasks necessary to further develop, manufacture and commercialize our product candidates and, accordingly, may not achieve our research, development, manufacturing and commercialization goals. Conversely, if we expand ahead of our business progress, we may take on unnecessary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form or seek additional strategic alliances or enter into additional licensing arrangements in the future, and we may not realize the benefits of such alliances or licensing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license products or new technologies or acquire businesses, we may not be able to realize the benefit of such transactions if we are unable to successfully integrate them with our existing operations and company culture. For instance, our agreements with Cellectis, Servier, Roche (formerly, Notch), Antion, and Natera (formerly, Foresight Diagnostics) require significant research and development that may not result in the development and commercialization of product candidates. We cannot be certain that, following a strategic transaction or license, we will achieve the results, revenue or specific net income that justifies such transaction.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Increased interest among investors and large pharmaceutical companies in in vivo cell-engineering technologies may adversely affect our ability to raise capital or secure development partnerships.*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 recent focus by investors and potential strategic-partners within the cell-therapy industry on in vivo cell-engineering and gene-delivery approaches. Over the past several quarters, multiple large pharmaceutical companies have announced transactions to acquire or partner with developers of in vivo CAR T and in vivo gene-editing platforms, in some cases involving substantial upfront payments or total deal values. In addition, in September 2026, Cellectis announced a strategic shift to focus its internal development activities on in vivo gene editing and to seek partners for its internally developed ex vivo CAR T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investment community or potential strategic collaborators increasingly allocate resources toward in vivo platforms, we may face greater challenges in raising additional capital on acceptable terms or in securing development, co-commercialization, or licensing agreements. Reduced investor enthusiasm for allogeneic cell therapy technologies could limit our access to equity or debt financing, increase our cost of capital, or lead potential partners to prioritize collaborations with companies pursuing in vivo modalities.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impair our ability to advance our product candidates, expand our pipeline, or achieve our long-term strategic objectives.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realize the benefits of acquired assets or other strategic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actively evaluate various strategic transactions on an ongoing basis. We may acquire other businesses, products or technologies as well as pursue joint ventures or investments in complementary businesses. The success of our strategic transactions, including our acquisition of CAR T cell assets from Pfizer, licenses with Cellectis, Servier, Roche (formerly, Notch), Antion, our strategic collaboration with Natera, and our joint venture with HBP and any future strategic transactions depends on the risks and uncertainties involved including: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technical difficulties associated with advancing partnered programs;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unanticipated liabilities related to acquired companies or joint ventures;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difficulties integrating acquired personnel, technologies and operations into our existing business;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retention of key employees;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managerial challenges associated with the oversight of partnered programs;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disagreements regarding each party’s contractual rights and obligations under our partnership agreements;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costs and uncertainties related to managing disputes with any strategic partners;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increases in our expenses and reductions in our cash available for operations and other uses;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inability of our strategic partners to access suitable capital;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disruption in or termination of our relationships with collaborators or suppliers as a result of such a transaction;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possible write-offs or impairment charges relating to acquired businesses or joint ventures.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these risks or uncertainties occur, we may not realize the anticipated benefit of any acquisition or strategic transaction.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foreign acquisitions and joint ventures are subject to additional risks, including those related to integration of operations across different cultures and languages, currency risks, potentially adverse tax consequences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overseas operations and the particular economic, political and regulatory risks associated with specific countries. For instance, our joint venture with HBP faced challenges relating to the regulatory and competitive environment in China for allogeneic CAR T products, as well as challenges within the capital markets for financing allogeneic CAR T development.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acquisitions or dispositions could result in potentially dilutive issuances of our equity securities, the incurrence of debt, contingent liabilities or amortization expenses or write-offs of goodwill, any of which could harm our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security measures, or those of our CROs, CDMOs, collaborators, contractors, consultants or other third parties with whom we work, are or were compromised or the security, confidentiality, integrity or availability of our information technology, software, services, networks, communications or data is compromised, limited or fails, we could experience material adverse consequences, including but not limited to regulatory investigations or actions; litigation; fines and penalties; disruptions of our business operations; reputational harm; and loss of revenue or profits.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with whom we work collect, process, receive, store, use, generate, transfer, disclose, make accessible, protect, secure, dispose of, transmit, and share (collectively, process) proprietary, confidential and sensitive information, including personal data (including health information), intellectual property, trade secrets, information we collect about patients in connection with clinical trials, and proprietary business information owned or controlled by ourselves or other parties (collectively, sensitive information).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are increasing in their frequency, sophistication and intensity, and have become increasingly difficult to detect. These threats come from a variety of sources, including traditional computer “hackers,” “hacktivists,” organized criminal threat actors,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and distribute our product candidates.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adware, ransomware attacks, supply-chain attacks, personnel misconduct or error, attacks enhanced or facilitated by AI, and other similar threats. Our information technology systems and data, and those of the third parties with whom we work, may also be subject to failure or disruption from software bugs, server malfunction, software or hardware failures, loss of data or other information technology assets, telecommunications failures, natural disasters such as earthquakes, fires, and floods, and other similar issues.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severe ransomware attacks are becoming increasingly prevalent and severe and can lead to significant interruptions, delays, or outages in our operations, disruptions to our clinical trials, loss of data (including data related to clinical trials), significant expense to restore data or systems, reputational loss and the diversion of funds. Extortion payments may alleviate the negative impact of a ransomware attack, but we may be unwilling or unable to make such payments due to, for example, applicable laws or regulations prohibiting such payments. In addition, our reliance on third parties could introduce new cybersecurity risks and vulnerabilities, including supply-chain attacks, and other threats to our business operations. Such supply chain attacks have increased in frequency and severity, and we cannot guarantee that third parties’ infrastructure in our supply chain have not been compromised or that they do not contain exploitable defects or bugs that could result in a breach to our information technology systems or those of the third parties with whom we work.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work with certain third parties, such as CROs and CDMOs, to operate critical business systems and process our proprietary, confidential and sensitive information. We also share or receive sensitive information with our CROs, CDMOs, or other third parties. Our ability to monitor these third parties’ information security practices is limited, and these third parties may not have adequate information security measures in place. If the third parties with whom we work experience a security incident or other interruption, or are perceived to have experienced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implemented security measures designed to protect against, mitigate, and remediate security incidents, there can be no assurance that these measures will be effective.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take steps designed to detect, mitigate, and remediate vulnerabilities in our information systems (such as our hardware and/or software, including that of third parties with whom we work). We have not and may not in the future, however, detect and remediate all such vulnerabilities in our information technology systems, including on a timely basis, because such threats and techniques change frequently, are often sophisticated in nature, and may not be detected until after a security incident has occurred. Unremediated high risk or critical vulnerabilities pose material risks to our business that may be exploited and could result in a security incident. Further, we have experienced and may in the future experience delays in developing and deploying remedial measures designed to address any such identified vulnerabilities. Vulnerabilities could be exploited and result in a security incident. We also face heightened physical and information technology risks due to our sharing office space with other tenants at certain of our sites. Any failure to prevent or mitigate security incidents or improper access to, use of, or disclosure of our clinical data or patients’ personal data could result in significant liability under state, federal, and international law and may cause a material adverse impact to our reputation, affect our ability to conduct our clinical trials and potentially disrupt our business. In addition, as many of our employees work from home at least part of the time and utilize network connections, computers and devices outside our premises, including while at home, in transit, and in public locations, this poses increased risks to our information technology systems and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the previously identified or similar threats have in the past, and any of the identified or similar threats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In addition, from time to time, our vendors inform us of security incidents. For example, in November 2024, one of our vendors notified us that they had detected suspicious activity on their network that compromised several email accounts the vendor used to communicate with us. We took appropriate remedial measures, and based on our investigation, we concluded that the incident did not result in a compromise to our systems. To date, we have not determined that such incidents as reported to us were material. However, we may not have all information related to such incidents and future incidents could have an adverse impact on our business. A security incident or other interruption could disrupt our ability (and that of third parties with whom we work) to manufacture or deliver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(including financial), or modify our business activities and operations, including our clinical trial activities, in an effort to protect against security incidents or to detect, investigate, mitigate, contain and remediate a security incident. Certain data privacy and security obligations may require us to implement and maintain specific security measures or use industry-standard or reasonable security measures to protect our information technology systems and sensitive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data protection laws, privacy policies, data privacy and security obligations and public company disclosure obligations may require us, or we may voluntarily choose, to notify relevant stakeholders, including affected individuals, regulators and investors, of certain security incidents, or to implement other requirements, such as providing credit monitoring and identity theft protection services. Such disclosures and compliance with such requirements are costly, and the disclosures or the failure to comply with such applicable requirements could lead to adverse consequences. A security incident, whether perceived or actual, experienced by us or a third party with whom we work, may cause us to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and mass arbitration; indemnification obligations; negative publicity; reputational harm; monetary fund diversions; diversion of management attention; interruptions in our operations (including availability of data); financial loss; and other similar harms.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investor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 partner confidence in the effectiveness of our cybersecurity measures, diversion of management’s attention, governmental investigations, lawsuits, and the expenditure of significant capital and other resources.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the limitations of liability in our contracts are sufficient to protect us from liabilities, damages, or claims related to our data privacy and security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be sure that our insurance coverage will be adequate or sufficient to protect us from or adequately mitigate liabilities arising out of our privacy and security practices, or that such coverage will continue to be available on commercially reasonable terms or at all, or that such coverage will pay future claims.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the use of generative artificial intelligence technologies by our employees, personnel, or vendors.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or other comparable foreign regulatory authorities to review and approve new products or take action with respect to other regulatory matters can be affected by a variety of factors, including government budget and funding levels, the ability to hire and retain key personnel and accept payment of user fees, the availability of personnel and other resources, statutory, regulatory and policy changes that may otherwise affect the FDA’s or comparable foreign regulatory authorities’ ability to perform routine functions, and business disruptions, such as those caused by the COVID-19 pandemic. Average review times at the agency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or other comparable foreign regulatory authorities, including substantial leadership departures, personnel cuts, and policy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including the government shutdown during the fourth quarter of 2025.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prolonged government shutdown occurs, it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or could impact our ability to access the public markets and obtain necessary capital in order to properly capitalize and continue our operations, or to timely obtain patent protection in the U.S. to protect our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political, trade, regulatory developments, and other circumstances beyond our control, including ongoing uncertainty regarding tariffs, could have a material adverse effect on our financial condition or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political, trade, or regulatory developments in the jurisdictions in which we develop our product candidates, such as those stemming from U.S. federal policy shifts, are difficult to predict and may have a material adverse effect on us. Policy shifts that affect the geopolitical landscape could give rise to circumstances outside our control that could have negative impacts on our business operations. The U.S. government has announced substantial new tariffs and indicated an intention to continue developing new trade policies, including with respect to the pharmaceutical industry. In response, certain foreign governments announced or implemented retaliatory tariffs and other protectionist measures. Since then, the U.S. government has announced various trade deals and ongoing negotiations with other countries/regions. As relevant policies are rapidly evolving, it may be difficult to evaluate their potential future impacts. These developments have created a dynamic and unpredictable trade landscape, which may adversely impact our business, results of operations, financial condition and prospects. In addition, following a Section 232 investigation, the U.S. government imposed tariffs on certain imported patented pharmaceuticals and associated ingredients under Presidential Proclamation 11020. The final phase became effective September 29, 2026, subject to exclusions, reduced rates and product-specific exceptions. Subsequent guidance from the U.S. Department of Commerce provides potential zero additional-duty treatment for qualifying goods imported solely for clinical trials, research and development or other noncommercial uses, but eligibility and administration may be uncertain or change.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in a global economy, which includes utilizing third-party suppliers in several countries outside the United States. Although we currently have no near-term needs for raw materials, we have historically relied upon, and may in the future rely upon, third-party contractors to manufacture cGMP raw materials that are used for the manufacturing of our product candidates. Current or future tariffs may result in increased research and development expenses, including with respect to increased costs associated with raw materials, laboratory equipment and research materials and components.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requiring certain regulatory licenses to manufacture or distribute products commercially and governing the privacy and security of identifiable patient information, price reporting, false claims and provider transparency. If our operations are found to be in violation of any of these laws that apply to us, we may be subject to significant civil, criminal and administrative penalties.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rules, and industry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sensitive information. Accordingly, we are, and may in the future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Such laws, if they become applicable to us in the future, may significantly impact our business activities, exemplifying the vulnerability of our business to evolving regulatory environment related to personal data and protected health information. Similar laws are being considered in other states, as well as at the federal and local levels, and we expect more states to pass similar laws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govern privacy, data protection, information security and cross-border personal data transfers. For example, the European Union’s General Data Protection Regulation (EU GDPR), the United Kingdom’s GDPR (UK GDPR) (collectively, GDPR), and Australia’s Privacy Act, China’s Personal Information Protection Law (PIPL), and Canada’s Personal Information Protection and Electronic Documents Act (PIPEDA) (and various related provincial laws) and Anti-Spam Legislation (CASL) impose strict requirements for processing personal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the GDPR, companies may face temporary or definitive bans on data processing and other corrective actions; fines of up to €20,000,000 under the EU GDPR / 17.5 million pounds sterling under the UK GDPR, or up to 4% annual total revenue, in each case,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Some jurisdictions have adopted, and others may in the future adopt,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penalties, and injunctions against processing or transferring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also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privacy advocates and industry groups have proposed, and may in the future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Regulators in the United States are increasingly scrutinizing these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if any of our privacy notices or related materials or statements are found to be deficient, lacking in transparency, deceptive, unfair, misleading, or misrepresentative of our practices, we may be subject to investigation, enforcement actions by regulators or other adverse consequences. Furthermore, our employees and personnel may use generative artificial intelligence (AI) technologies to perform their work, and the disclosure and use of personal data in such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(including individuals’ data privacy expectations) are quickly changing, becoming increasingly stringent,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 parties that process personal data on our behalf.</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applicable obligations related to data privacy and security,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 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decreased demand for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injury to our reputation;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loss of revenue;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exhaustion of any available insurance and our capital resources;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inability to commercialize any product candidate;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decline in our share price.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and expect to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Development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engineered allogeneic T cell product candidates represent a novel approach to cancer treatment and treatment of autoimmune diseases, which creates significant challenges for us.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developing a pipeline of allogeneic T cell product candidates that are engineered from healthy donor T cells to express CARs and are intended for use in any eligible patient with certain cancers or autoimmune diseases. Advancing these novel product candidates creates significant challenges for us, including: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manufacturing our product candidates to our or regulatory specifications and in a timely manner to support our clinical trials, and, if approved, commercialization;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sourcing clinical and, if approved, commercial supplies for the raw materials used to manufacture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understanding and addressing variability in the quality of a donor’s T cells, which could ultimately affect our ability to produce product in a reliable and consistent manner and treat certain patients;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educating medical personnel regarding the potential side effect profile of our product candidates, if approved, such as the potential adverse side effects related to CRS, neurotoxicity, GvHD, IEC-HS, prolonged cytopenia, aplastic anemia and neutropenic sepsis;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using medicines to preempt or manage adverse side effects of our product candidates and such medicines may be difficult to source or costly or may not adequately control the side effects and/or may have other safety risks or a detrimental impact on the efficacy of the treatment;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conditioning patients with chemotherapy or other lymphodepletion agents in advance of administering our product candidates, which may be difficult to source, costly or increase the risk of infections and other adverse side effects;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obtaining regulatory approval, as the FDA and other comparable foreign regulatory authorities have limited experience with development of allogeneic T cell therapies for cancer or autoimmune diseases;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establishing sales and marketing capabilities upon obtaining any regulatory approval to gain market acceptance of a novel therapy.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Gene-editing is a relatively new technology, and if we are unable to use this technology in our intended product candidates, our revenue opportunities will be materially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Cellectis’ TALEN technology, which we use in our oncology programs, and Arbor Biotechnology Inc. (Arbor)’s CRISPR technology, which we use in our AID program, both involve relatively new approaches to gene editing, using sequence-specific DNA-cutting enzymes, or nucleases, to perform precise and stable modifications in the DNA of living-cells and organisms, and we have very little experience with Arbor’s CRISPR technology. Cellectis and Arbor have not created nucleases for all gene sequences that we may seek to target, and they may not agree to or have difficulty creating nucleases for other gene sequences that we may seek to target, which could limit the usefulness of this technology. Cellectis and Arbor are our sole sources for this technology, including for certain tools such as nucleases and vectors. If Cellectis or Arbor were to be unwilling or unable, including due to the Factor Litigation (as defined below), or its previously announced strategic shift to focus its internal development activities on in vivo gene editing, to supply these tools, our ability to develop gene-edited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candidates could be materially and adversely impacted, leading to delays in our development programs and potential failure to commercialize certain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technology may also not be shown to be effective in clinical studies that Cellectis, we or other licensees of Cellectis technology or Arbor’s CRISPR technology may conduct, or may be associated with safety issues that may negatively affect our development programs. For instance, gene-editing may create unintended changes to the DNA such as a non-target site gene-editing, a large deletion, or a DNA translocation, any of which could lead to oncogenesis. In our ALPHA2 trial, we observed a chromosomal abnormality, and the FDA placed our clinical trials on hold following this observation. While our investigation concluded that gene editing was not responsible for the chromosomal abnormality and the hold was resolved, we may discover future abnormalities caused by gene editing or other factors that would impact our development plans. The gene editing of our product candidates may also not be successful in limiting the risk of GvHD or premature rejection by the patient.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gene-editing industry is rapidly developing, and our competitors may introduce new technologies that render our technology obsolete or less attractive. New technology could emerge at any point in the development cycle of our product candidates. As competitors use or develop new technologies, any failures of such technology could adversely impact our program. We also may be placed at a competitive disadvantage, and competitive pressures or the Factor Litigation may force us to implement new technologies at a substantial cost, and which would delay our development programs. In addition,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If we are unable to maintain technological advancements consistent with industry standards, our operations and financial condition may be adversely affected. For additional details on the Factor Litigation, see “Risk Factors – Third-party claims of intellectual property infringement may prevent or delay our product discovery and development efforts and our ability to commercialize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MRD data may not predict clinical benefit and there is uncertainty regarding whether the use of FC without ALLO-647 will achieve sufficient lymphodepletion to support the efficacy of our allogeneic CAR T product candidate in the ALPHA3 trial.*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ALPHA3 clinical trial is now proceeding with two arms: (1) cema-cel with a lymphodepletion regimen consisting of fludarabine and cyclophosphamide (FC) without ALLO-647, and (2) the control arm, which is observation. In April 2026, we reported interim futility analysis results from the first 24 patients randomized to the two ongoing arms. The results showed higher MRD negativity and greater median ctDNA reduction at Day 45 post-randomization in the cema-cel arm compared with observation. However, this preliminary data set is limited, is derived from a small patient cohort, and does not include unblinded EFS, progression-free survival or overall survival data. MRD conversion or clearance is not an accepted surrogate endpoint by regulatory agencies for LBCL and may not correlate with clinical outcomes or regulatory approvability, and there remains a risk that the FC lymphodepletion regimen alone may not sufficiently suppress the patient’s immune system to allow adequate expansion, persistence, and efficacy of the CAR T cells, across the broader ALPHA3 population. Moreover, while we believe our interim MRD and safety results are encouraging, they are based on a limited number of patients and may not be predictive of future results or demonstrate that ALPHA3 will meet its primary endpoint. In addition, we may remain blinded to some or all results from the planned interim EFS analysis, and the timing and scope of any public disclosure regarding that analysis will depend on FDA feedback, DSMB recommendations and considerations relating to preserving the integrity of the ongoing trial. Even if the interim EFS analysis meets a prespecified efficacy boundary or otherwise yields statistically significant results, the FDA may determine that the results are insufficient to support a BLA submission or approval and may require us to continue ALPHA3 through the primary EFS analysis, obtain longer-term follow-up or provide additional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Previously, the FCA regimen (fludarabine, cyclophosphamide and ALLO-647) was anticipated to enhance CAR T cell expansion and persistence by reducing host immune system suppression; however, the FCA arm was terminated following a Grade 5 serious adverse event. If the FC regimen proves inadequate, or if ALPHA3 does not demonstrate a statistically significant and clinically meaningful improvement in EFS, we may be required to amend the study design, conduct additional studies or discontinue or delay development of cema-cel, any of which could materially impact our clinical trial success, regulatory approval prospects, and overall business and financial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reliant on our partners, Cellectis and Servier, for access to TALEN gene editing technology for the manufacturing and development of our oncology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critical aspect to manufacturing allogeneic CAR T cell product candidates involves gene editing the healthy donor T cells in an effort to avoid GvHD and to limit the patient’s immune system from attacking the allogeneic T cells. GvHD results when allogeneic T cells start recognizing the patient’s normal tissue as foreign. For our oncology product candidates, we use Cellectis’ TALEN gene-editing technology to inactivate the gene coding for TCRα, a key component of the natural antigen receptor of T cells, to cause the engineered T cells to be incapable of recognizing foreign antigens. Accordingly, when injected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into a patient, the intent is for the engineered T cell not to recognize the patient’s tissue as foreign and thus avoid attacking the patient’s tissue. In addition, we use TALEN gene editing in our oncology product candidates to inactivate the CD52 gene in donor T cells, which codes for the target of an anti-CD52 monoclonal antibody.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an agreement with Cellectis for exclusive rights to use TALEN technology for 15 select cancer targets, including BCMA, FLT3, CD70, DLL3, Claudin 18.2 and other targets included in our pipeline. We also rely on Cellectis, through our agreement with Servier, for exclusive rights to cema-cel. Any other gene-editing technology used to research and develop product candidates directed at targets not covered by our existing agreements with Cellectis and Servier will require significant investment and time for advancement. In addition, the Cellectis gene-editing technology may fail to produce viable product candidates. Moreover, both Servier and Cellectis may terminate our respective agreements in the event of a material breach of the agreements, or upon certain insolvency events. Cellectis previously challenged and may in the future challenge certain performance by Servier and/or Allogene, and any failure by the parties to resolve such matters may have an adverse impact on us. For example, there was an arbitration between Cellectis and Servier under which Cellectis sought to terminate the Servier-Cellectis Agreement, which would have automatically terminated our sublicense from Servier. In addition, in September 2026, Cellectis announced a strategic shift to focus its internal development activities on in vivo gene editing and to seek partners for its internally developed ex vivo CAR T product candidates. Although the outcome of the Servier and Cellectis arbitration was favorable as it relates to cema-cel and although Cellectis stated that its strategic shift to focus on in vivo gene editing does not change its existing collaboration with us, if our license agreement was terminated and we were unable to obtain a new direct license from Cellectis, or we lose access to the Cellectis TALEN technology as a result of the Factor Litigation or Cellectis’s strategic shift, we would be required to seek other gene editing technology, obtain a license from Factor or abandon our cema-cel or ALLO-316 programs, any one of which could materially impact our business and financial position. Further, alternative gene editing technology may not be available to us on reasonable terms, or at all, and advancing other gene editing technology would require significant resources. For additional details on the Factor Litigation, see “Risk Factors – Third-party claims of intellectual property infringement may prevent or delay our product discovery and development efforts and our ability to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we received correspondence from LTC, a subsidiary of Thermo Fisher Scientific, asserting that Cellectis had sublicensed to us or otherwise made available rights under certain patents licensed by LTC to Cellectis relating to TALEN technology, and that LTC had terminated its license agreements with Cellectis. Cellectis has separately informed us that LTC has purported to terminate certain license agreements with Cellectis and commenced an arbitration against Cellectis and Cellectis Bioresearch before the American Arbitration Association alleging breaches of those agreements, principally relating to alleged underpayment of sublicense royalties. Cellectis has informed us that it believes the purported termination is invalid, that LTC’s claims are without merit, and that Cellectis intends to vigorously contest the purported termination and defend against the claims. We are not a party to this arbitration. However, if LTC were successful in challenging Cellectis’ rights, or if we are otherwise determined not to have adequate rights under patents or other intellectual property controlled by LTC that are necessary or useful for the development, manufacture or commercialization of our TALEN-based product candidates, we may need to obtain a direct license or other rights from LTC, which may not be available on commercially reasonable terms or at all. Any such dispute, license requirement or loss of rights could increase our costs, require us to modify our development or manufacturing plans, delay or prevent the development or commercialization of our TALEN-based product candidates, including cema-cel and ALLO-316, if approved, and materially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heavily reliant on our partner, Foresight Diagnostics, a subsidiary of Natera, for access to the investigational CLARITY™ MRD test for identifying eligible patients for our ALPHA3 trial and for the development and regulatory approval of an MRD companion diagnostic for cema-cel.*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ALPHA3 trial design requires the use of Natera’s investigational CLARITY™ MRD test for patient selection. In addition, MRD status and changes in MRD status, including MRD conversion or clearance, may not correlate with clinical outcomes such as event-free survival (EFS), which is the primary endpoint of ALPHA3. As a result, even though we observed higher MRD negativity in the cema-cel arm than in the observation arm in the planned interim futility analysis announced in April 2026, ALPHA3 may not demonstrate a statistically significant improvement in EFS or otherwise meet its primary endpoint. Foresight Diagnostics was founded in 2020 and was acquired by Natera in December 2025. The acquisition and related integration activities may create additional risks and uncertainties, including delays or disruptions in assay operations, regulatory activities, and resource allocation. We do not control Natera’s diagnostic-development or regulatory strategy, allocation of resources, testing capacity, quality systems, vendors, personnel or commercialization plans. Natera may not be able to successfully and timely conduct the ALPHA3 MRD tests, or develop and obtain regulatory approval of CLARITY or another MRD test on a timeline aligned with a potential cema-cel BLA. For example, changes in strategic priorities, staffing, operating processes, quality systems, vendors or information systems as part of integration could adversely affect CLARITY testing capacity, turnaround times, or regulatory strategy and submission timelines.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MRD companion diagnostic ultimately proposed for commercialization may differ from the investigational assay used to enroll patients in ALPHA3. If so, the FDA or other regulatory authorities may require analytical or clinical bridging studies or other evidence to establish that the assays identify an appropriate and comparable patient population. Such work could require additional regulatory interactions, access to sufficient suitable clinical-trial samples, additional testing and changes to development plans. If available samples are insufficient, assay results are not adequately concordant, or regulatory authorities do not accept the proposed approach, additional studies or a different diagnostic strategy may be required.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need to transition to an alternative MRD test, it could result in additional costs, delays, and diversion of resources, any of which would negatively impact our cema-cel development program. Further, we may be unable to identify an alternative assay with adequate performance or obtain rights to use such an assay on acceptable terms. Any failure or delay in performing MRD testing or developing, obtaining approval for or commercializing an MRD companion diagnostic could materially adversely affect ALPHA3, the timing or feasibility of a potential cema-cel BLA and the commercialization of cema-cel, if approved, which could have a material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reliance on specific vendors named in our INDs subject us to risks if these vendors are unable or unwilling to fulfill their obligations or if we need to change vendors, which could delay or prevent the development of our product candidates and commercialization,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 applications name specific third-party vendors to supply certain raw materials, components, technology, and services that are essential to manufacturing our product candidates. We do not have the ability to rapidly secure alternative sources for these materials or services. In addition, because these vendors are specified in our INDs, any change to a new vendor would require additional regulatory submissions and approvals, which could significantly delay or complicate our product development efforts. If any of these vendors becomes unable or unwilling to supply the products or services we require on acceptable terms, in sufficient quantities, or in compliance with applicable regulatory requirements, we may experience: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in our preclinical studies or clinical trials due to the need to qualify and obtain regulatory approval for an alternate supplier;</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Higher costs associated with the need to qualify and validate a new manufacturing facility and supply chain;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Difficulty ensuring quality and compliance with cGMP or other regulatory standards at a new vendor site, potentially leading to regulatory enforcement actions against us or significant delays in regulatory approvals or commercialization;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Disruption to our development timeline and commercialization efforts, which could materially harm our business, financial condition, and operating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our reliance on these third parties reduces our control over manufacturing and quality assurance processes. Any performance failure or compliance breach by our named vendors—such as failing to meet regulatory standards or encountering financial or operational difficulties—could adversely affect the ongoing development and potential commercialization of our product candidates. If we are forced to seek alternative vendors, we may be required to conduct bridging studies or other additional testing to demonstrate comparability of a product candidate when manufactured by a different supplier. Such a process can be time-consuming, expensive, and could delay or limit our ability to obtain regulatory approval or achieve market acceptance of our product candidates. If any of these events occur, our business, financial condition, and results of operations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oncology development strategy previously relied on incorporating an anti-CD52 monoclonal antibody as part of the lymphodepletion preconditioning regimen prior to infusing allogeneic CAR T cell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Previously, certain of our oncology product candidates utilized an anti-CD52 monoclonal antibody (ALLO-647) as part of a lymphodepletion regimen to be infused prior to infusing our product candidates. The anti-CD52 antibody may reduce the likelihood of a patient’s immune system rejecting the engineered allogeneic T cells for a sufficient period of time to enable a window of persistence during which such engineered allogeneic T cells can actively target and destroy cancer cells. However, the antibody may not have the benefits that we anticipate and could have adverse effects. For instance, our lymphodepletion regimen, including using an anti-CD52 antibody, will cause immune suppression that can be of unpredictable depth and duration and that may be associated with an increased risk of infection, such as to common viral or bacterial or opportunistic pathogens, that may be unable to be cleared and ultimately lead to other SAEs or death.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prior CALM and PALL trials, a commercially available monoclonal antibody, alemtuzumab, that binds CD52 was used. Alemtuzumab is known to have risk of causing certain adverse events. In 2020, within the context of a procedure based on Article 20 of Regulation 726/2204 (EMA Regulation), the EMA completed a pharmacovigilance review of alemtuzumab in the context of the treatment of multiple sclerosis following reports of immune-mediated conditions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problems affecting the heart and blood vessels, including fatal cases. The EMA recommended that alemtuzumab should not be used in patients with certain heart, circulation or bleeding disorders or in patients who have autoimmune disorders other than multiple sclerosis. The EMA also recommended that alemtuzumab only be given in a hospital with ready access to intensive care facilities and specialists who can manage serious adverse reactions. The previous use of our anti-CD52 antibody may result in the same or similar adverse events as alemtuzumab.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secure our own readily available source of anti-CD52 antibody, we were previously developing our own monoclonal anti-CD52 antibody, ALLO-647, which we used in certain of our clinical trials. ALLO-647 may cause SAEs that alemtuzumab may cause, including fatal adverse events, infusion related reactions, immune thrombocytopenia, glomerular nephropathies, thyroid disorders, autoimmune cytopenias, autoimmune hepatitis, hemophagocytic lymphohistiocytosis, acquired hemophilia, infections, stroke, and progressive multifocal leukoencephalopathy. For example, a patient death occurred in the discontinued FCA arm of our ALPHA3 trial. This Grade 5 SAE, which occurred on Day 54 post-infusion, involved fulminant hepatic failure caused by disseminated adenovirus infection, potentially worsened by acetaminophen toxicity. The depth of immunosuppression likely associated with ALLO-647 is believed to have increased susceptibility to this viral infection. In addition, we may explore various dosing strategies for lymphodepletion in our clinical trials, such as including varying doses of the chemotherapy agents and/or other agents or eliminating one or more of the agents, which may alter the risk of SAEs or have other undesirable outcomes such as a reduction of the efficacy of treatment. Additionally, our experimental lymphodepletion regimens may show different safety profiles when paired with different allogeneic CAR T product candidates such that regimens deemed safe with one CAR T product candidate may be determined to be associated with unacceptable toxicity when combined with another CAR T candidate or with the same candidate in a different patient population. If observed, these differences may require additional clinical exploration and may cause delays in the execution or termination of development campaigns. Refer to the section entitled "Business—Product Pipeline and Development Strategy" included in our Annual Report for information on safety events.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and will continue to depend upon independent investigators and collaborators, such as universities, medical institutions, CROs and strategic partners to conduct our preclinical and clinical trials under agreements with us.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 prospects for our product candidates would be harmed, our costs could increase and our ability to generate revenue could be delayed.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manufacture and store our clinical product supplies, and we may have to rely on third parties to produce and process our product candidates,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utilize CF1 for clinical manufacturing of our CAR T product candidates, we will continue to use CDMOs to manufacture several core reagents, and for distribution logistics. There can be no assurance that we will not experience supply or manufacturing issues related to our product candidates or core reagents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long-term agreements in place with CDMOs for the manufacture of our cell therapies. If we are unable to contract with CDMOs on acceptable terms or at all, our clinical development program would be delayed and our business would be significantly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built CF1 and have transitioned the manufacturing of our product candidates to our manufacturing facility, and we are reliant on CF1 as our sole manufacturing site for our product candidates. Manufacturing product candidates in our own facility requires that we meet certain regulatory conditions, which may delay or extend our clinical trial timelines. If, for any reason, we are unable to continue manufacturing our product candidates at CF1, there is a risk that we may need to re-engage a CDMO to manufacture material, which would be costly and there is a risk that the CDMO may be unavailable or may fail in manufacturing, such as due to the CDMO having to retrain its personnel, or train new personnel, to manufacture our material. Any disruptions to CF1’s operations, whether due to regulatory non-compliance, supply chain constraints, equipment failures, natural disasters, or other unforeseen circumstances, could have a material adverse effect on our ability to manufacture our products and meet clinical or commercial demand. If CF1 becomes unavailable for any reason, our ability to continue product development and commercialization could be significantly impaired, leading to delays, increased costs, and potential loss of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yet caused our product candidates to be manufactured or processed on a commercial scale and may not be able to achieve manufacturing and processing and may be unable to create an inventory of mass-produced, off-the-shelf product to satisfy demands for any of our product candidates. Our clinical supply is also limited to small quantities and any latent defects discovered in our supply could significantly delay our development timelines.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actual and potential future reliance on a limited number of third-party manufacturers exposes us to the following risks: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We may be unable to identify manufacturers on acceptable terms or at all because the number of potential manufacturers is limited and the FDA or other comparable foreign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FDA or other comparable foreign regulatory authorities questions, if any.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third-party manufacturers might be unable to timely formulate and manufacture our product or core reagents or produce the quantity and quality required to meet our clinical and commercial needs, if any.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Contract manufacturers may not be able to execute our manufacturing procedures appropriately.</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Contract manufacturers may be subject to adverse legislative actions.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Manufacturers are subject to ongoing periodic unannounced inspection by the FDA, the Drug Enforcement Administration and corresponding state agencies or other comparable foreign regulatory authorities to ensure strict compliance with cGMP and other government regulations and corresponding foreign standards. We do not have control over third-party manufacturers’ compliance with these regulations and standards.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We may not own, or may have to share, the intellectual property rights to any improvements made by our third-party manufacturers in the manufacturing process for our products.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future contract manufacturers may not perform as agreed or may not remain in the contract manufacturing business for the time required to supply our clinical trials or to successfully produce, store and distribute our products or core reagents.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third-party manufacturers could breach or terminate their agreement with us.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 manufacturers would also be subject to the same risks we face in developing our own manufacturing capabilities, as described above. Our potential future CDMOs may also be required to shut down in response to health epidemics or pandemics, or they may prioritize manufacturing for therapies or vaccines for other diseases. In addition, our CDMOs have certain responsibilities for storage of raw materials and in the past have lost or failed to adequately store our raw materials. We also rely on third parties to store our released product candidates, and any failure to adequately store our product candidates could result in significant delay to our development timelines. Any additional or future damage or loss of raw materials or product candidates could materially impact our ability to manufacture and supply our product candidates. Each of these risks could delay our clinical trials, the approval, if any, of our product candidates by the FDA or other comparable foreign regulatory authorities or the commercialization of our product candidates or result in higher costs or deprive us of potential product revenue.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 cells from healthy donors to manufacture our product candidates, and if we do not obtain an adequate supply of T cells from qualified donors, development of those product candidates, or commercialization, if approved, may be adversely impacted.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Unlike autologous CAR T companies, we are reliant on receiving healthy donor material to manufacture our product candidates. Healthy donor T cells vary in type and quality, and this variation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but the manufacturing runs we have completed and tested in the clinic are limited across our product candidates. As we gain experience, we may find that our screening process fails to identify suitable donor material and we may discover unacceptable variability with the material after production. We may also have to update our specifications for new risks that may emerge, such as to screen for new viruses or chromosomal abnormalities.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clinical trials on the timelines we expect, which could harm our reputation and adversely impact our business and prospects.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vendors face challenges in obtaining donor material. While we have donor material on hand, if our vendors are unable to secure donor material, we may no longer have sufficient donor material to manufacture our product candidates. For example, our supplier of viral vectors used in the manufacturing of ALLO-329 completed the divestiture of its viral vector/CDMO business to a private equity group in the second quarter of 2026. Although the supplier has represented that the transition in ownership is not expected to disrupt orders in process, personnel supporting our projects, or existing capabilities, there can be no assurance that the divestiture and related transition activities will not result in delays, changes to operating processes, quality systems, capacity allocation, regulatory compliance support, pricing, or prioritization of customer orders.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two donor-material sources, and only one is expected to be impacted by this divestiture. While our second source is fully implemented and we believe the overall impact of the divestiture should be minimal given our current inventory for near-term needs, if the divestiture were to materially impact supply from the affected supplier, our other donor-material source may not have sufficient capacity, on acceptable timelines, to fully meet our longer-term needs. In that event, we may need to qualify and onboard one or more additional donor-material suppliers, which could require significant time and resources, including technology transfer activities, updates to specifications, and regulatory review or acceptance, and could delay our manufacturing timelines and adversely affect our development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Cell-based therapies rely on the availability of specialty raw materials, which may not be available to us on acceptable terms or at 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 candidates require many specialty raw materials, including viral vectors that deliver the CAR sequence and electroporation technology, some of which are manufactured by small companies with limited resources and experience to support a commercial product, and the suppliers may not be able to deliver raw materials to our specifications. We do not have contracts with many of the suppliers, and we may not be able to contract with them on acceptable terms, or at all. As a result of logistical challenges and recent inflation, we may experience higher costs or delays in receiving, or fail to secure entirely, key raw materials to support clinical or commercial manufacturing. Certain raw materials also require third-party testing, and some of the testing service companies may not have capacity or be able to conduct the testing that we request.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supplier of viral vectors used in the manufacturing of ALLO-329 completed the divestiture of its viral vector/CDMO business to a private equity group in the second quarter of 2026. The supplier has represented that the transition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ownership is not expected to disrupt orders in process, project teams supporting our programs, or existing capabilities, and to date we have not experienced any such impacts, there can be no assurance that the divestiture and related transition activities will not result in delays, changes to operating processes, quality systems, capacity allocation, regulatory compliance support, pricing, or prioritization of customer orders. Any disruption or delay in the supply of viral vectors for ALLO-329 or other key raw materials, including as a result of changes in ownership or integration efforts by the new owners, could delay manufacturing, clinical development activities, and, if applicable, preparation of CMC information for regulatory submissions.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many of our suppliers normally support blood-based hospital businesses and generally do not have the capacity to support commercial products manufactured under cGMP by biopharmaceutical firms. The suppliers may be ill-equipped to support our needs, including generating data required for a BLA or an MAA and in non-routine circumstances like an FDA or other comparable foreign regulatory authorities inspection or medical crisis, such as widespread contamination.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for supplies from other cell therapy companies. Such competition may make it difficult for us to secure raw materials or the testing of such materials on commercially reasonable terms or in a timely manner.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For example, for certain raw materials we previously had to find an alternative supplier, which required qualifying the new supplier, which required meeting regulatory requirements for such qualification. If we need to transition to an alternative supplier in the future, it could result in additional costs, delays, diversion of resources or reduced manufacturing yields, any of which would negatively impact our operating results. Further, we may be unable to enter into agreements with a new supplier on commercially reasonable terms, which could have a material adverse impact on our business. While we believe we currently have sufficient product inventory for near-term needs and have identified alternative suppliers for certain raw materials, there can be no assurance that alternative suppliers will be available on acceptable terms, or that any transition would not require time and resources, including qualification activities, and potentially regulatory notifications or approvals.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third-party suppliers use hazardous, non-hazardous, biological or other materials in a manner that causes injury or violates applicable law, we may be liable for damages.*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and there is a risk of contamination or injury resulting from medical or hazardous materials. For instance, we have had and may continue to have environmental notice of violations at our manufacturing facility.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and other comparable foreign regulatory approval processes are lengthy, time-consuming, and subject to change and we may experience significant delays in the clinical development and regulatory approval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research, testing, manufacturing, labeling, approval, selling, import, export, marketing, and distribution of drug products, including biologics, are subject to extensive regulation by the FDA and other regulatory authorities in the United States and comparable foreign regulatory authorities. We are not permitted to market any biological drug product in the United States or elsewhere until we receive approval of a BLA from the FDA or equivalent approvals from other comparable foreign regulatory authorities such as approval of an MAA. We have not previously submitted a BLA to the FDA, or similar approval filings to comparable foreign regulatory authorities. A BLA or equivalent foreign application must include extensive preclinical and clinical data and supporting information to establish the product candidate’s safety and effectiveness for each desired indication. The BLA or equivalent foreign application must also include significant information regarding CMC matters for the product, and any delay or failure in generating such data to meet the evolving CMC regulatory requirements would delay any BLA filing or equivalent foreign application.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the novel nature of our product candidates to create further challenges in obtaining regulatory approval. For example, the FDA or other comparable foreign regulatory authorities have limited experience with commercial development of allogeneic T cell therapies for cancer. We may also request clinical trial initiation or regulatory approval of future CAR-based product candidates by target, regardless of cancer type or origin, which the FDA or other comparable foreign regulatory authorities may have difficulty accepting. The FDA or other comparable foreign regulatory authorities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or comparable foreign regulatory authorities often adheres to the Advisory Committee’s recommendations. Accordingly, the regulatory approval pathway for our product candidates may be uncertain, complex, expensive and lengthy, and approval may not be obtained.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previously experienced a delay in our clinical trials due to a clinical hold, and may experience future delays in completing planned clinical trials for a variety of reasons, including delays related to:</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obtaining regulatory authorization to begin a trial, if applicable, including regulatory approval of any companion diagnostic, if applicable;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availability of financial resources to commence and complete the planned trials;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developing and implementing processes and procedures with collaborators relating to the collection and transfer of patient samples and the timely performance of a companion diagnostic, if applicable, on such samples;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obtaining approval at each clinical trial site by an independent IRB or a positive opinion from an Ethics Committee;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obtaining regulatory and other approvals to modify the conduct of a clinical trial;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recruiting suitable patients to participate in a trial;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delays by a collaboration partner in running a companion diagnostic on patient samples;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having patients complete a trial, including having patients enrolled in clinical trials dropping out of the trial prior to treatment, or return for post-treatment follow-up;</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clinical trial sites deviating from trial protocol or dropping out of a trial;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addressing any patient safety concerns that arise during the course of a trial;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adding new clinical trial sites; or</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manufacturing sufficient quantities of qualified materials under cGMPs, releasing product in accordance with specifications, and delivering product candidates for use in clinical trials.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could also encounter future delays if physicians encounter unresolved ethical issues associated with enrolling patients in clinical trials of our product candidates in lieu of prescribing existing treatments that have established safety and efficacy profiles, or with respect to the ALPHA3 trial, in lieu of observation alone. Further, a clinical trial may be suspended or terminated by us, the Institutional Review Boards (IRBs) or Ethics Committees for the institutions in which such trials are being conducted or by the FDA or other comparable foreign regulatory authorities due to a number of factors, including failure to conduct the clinical trial in accordance with regulatory requirements or our clinical protocols, inspection of the clinical trial operations or trial site by the FDA or other comparable foreign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any data safety monitoring board or committee. The FDA or other comparable foreign regulatory authorities’ review of our data of our clinical trials may, depending on the data, also result in the delay, suspension or termination of one or more of our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or maintaining any regulatory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are developing novel CAR T cell immunotherapy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and guidance from regulatory authorities may continue to change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there is substantial, and sometimes uncoordinated, overlap in those responsible for regulation of existing gene therapy products and cell therapy products. For example, in the United States, the FDA has established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In addition, adverse developments in clinical trials of gene therapy products conducted by others may cause the FDA or other regulatory bodies to change the requirements for approval of any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(CAT) was established within the EMA in accordance with Regulation (EC) No 1394/2007 on advanced-therapy medicinal products (ATMPs) to assess the quality, safety and efficacy of ATMPs, and to follow scientific developments in the field. ATMPs include gene therapy products as well as somatic cell therapy products and tissue engineered products. In this regard, on May 28, 2014, the EMA issued a recommendation that UCART19 be considered a gene therapy product under Regulation (EC) No 1394/2007 on ATMPs. We cannot conclude that our product candidates will receive a similar recommendation.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CAR 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 or failure to obtain, or unexpected costs in obtaining, the regulatory approval necessary to bring a potential product to market could decrease our ability to generate sufficient product revenue to maintain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FDA or comparable foreign regulatory authorities may disagree with our regulatory plan and we may fail to obtain regulatory approval of our CAR T cell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general approach for FDA or comparable foreign regulatory authorities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expect ongoing feedback on our trials from the FDA, EMA, or comparable foreign regulatory authorities, some of which may lead to changes in the trials, which could cause future delays to our trials, or impact the timing or nature of planned data analyses or the timing, scope or nature of any public disclosure regarding such analyses. We currently anticipate that a planned interim EFS analysis for ALPHA3 will occur in mid-2027. The analysis is expected to be conducted under the oversight of an independent Data and Safety Monitoring Board (DSMB), and we may remain blinded to some or all treatment-arm-specific results. The information provided to us by the DSMB may be limited to a recommendation concerning continuation of the trial and may not include treatment-arm-specific results. The FDA may advise or request, or the DSMB may recommend, that we not receive or unblind comparative interim EFS data or that any public disclosure be limited or delayed while the trial continues. If unblinded interim comparative results are disclosed while the trial is ongoing, enrollment, treatment decisions or other aspects of trial conduct could be affected, potentially introducing bias or impairing the interpretability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acceptability of the final results. Accordingly, we may not announce treatment-arm-specific interim EFS results in mid-2027, and any public update may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believe the results are sufficiently compelling, such as for the ALPHA3 trial, including if the planned interim EFS analysis meets a prespecified efficacy boundary or otherwise yields statistically significant results, the FDA, EMA, or comparable foreign regulatory authorities could ultimately require longer-term follow-up results, additional data from our clinical trials, completion of the primary EFS analysis or additional trials that could delay or prevent our first BLA or MAA submission. Any such requirement could delay a BLA submission or potential approval until after the primary EFS analysis.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EMA, or comparable foreign regulatory authorities may require that we conduct a comparative trial against an approved therapy including potentially an approved autologous T cell therapy, which would significantly delay our development timelines and require substantially more resources. In addition, the FDA, EMA, or comparable foreign regulatory authorities may only allow us to evaluate patients that have failed or who are ineligible for autologous therapy and our product candidates may fail to improve outcomes for such patients.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European Commission grant accelerated approval for our product candidates, as a condition for accelerated approval, the FDA or the European Commission may require us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or European Commission may ultimately refuse to grant accelerated approval for our product candidates and require a Phase 3 clinical trial prior to approval, particularly since our product candidates represent a novel treatment. In addition, the standard of care may change with the approval of new products in the same indications that we are studying. This may result in the FDA, the European Commission, or other regulatory agencies requesting additional studies to show that our product candidate is superior to the new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clinical trial results may also not support approval. In addition, our product candidates could be delayed in receiving approval or fail to receive regulatory approval for many reasons, including the following: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inability to resolve any future clinical hold;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FDA, EMA, or comparable foreign regulatory authorities may disagree with the design or implementation of our clinical trials or any changes thereto submitted in protocol amendments;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we may be unable to demonstrate to the satisfaction of the FDA, EMA, or comparable foreign regulatory authorities that our product candidates are safe and effective for any of their proposed indications;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results of clinical trials may not meet the level of statistical significance required by the FDA, EMA, or comparable foreign regulatory authorities for approval, including due to the heterogeneity of patient populations;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we may be unable to demonstrate that our product candidates’ clinical and other benefits outweigh their safety risks;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FDA, EMA, or comparable foreign regulatory authorities may disagree with our interpretation of data from preclinical studies or clinical trials;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EMA, or comparable foreign regulatory authorities to support the submission of a BLA or other comparable submission in foreign jurisdictions (e.g., MAA) or to obtain regulatory approval in the United States or elsewhere;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the FDA, EMA, or comparable foreign regulatory authorities will review extensive CMC data, our manufacturing process and inspect the relevant commercial manufacturing facilities and may not approve our manufacturing process or facilities;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approval policies or regulations of the FDA, EU, or comparable foreign regulatory authorities may significantly change in a manner rendering our clinical data insufficient for approval;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we may be unable to agree on any required pediatric investigation plan with regulatory authorities prior to any BLA or MAA filing.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or our collaborators, are required by the FDA, or comparable foreign regulatory authorities, to obtain approval, clearance or certification of a companion diagnostic device in connection with approval of one of our product candidates, and we, or our collaborators, do not obtain, or face delays in obtaining, such approval, clearance or certification, we may be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unable to obtain approval for or commercialize the product candidate on a timely basis or at all, and our ability to generate revenue may be materially impaired.*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concurrently with approval of the therapeutic product and before the product can be commercialized. In the EEA, companion diagnostics are deemed to be in vitro diagnostic medical devices (IVDs) and are governed by Regulation 2017/746 (IVDR). IVDs, including companion diagnostics, must conform with the general safety and performance requirements (GSPR) of the IVDR by December 2028.</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a comparable foreign regulatory authority, requires approval, clearance or certification of a companion diagnostic for any of our product candidates, whether before or after the product candidate obtains marketing approval, we or our third-party collaborators may encounter difficulties in developing and obtaining approval, clearance or certification for these companion diagnostics. Any delay or failure by us or our third-party collaborators to develop or obtain regulatory approval, clearance or certification of a companion diagnostic could delay or prevent approval or continued marketing of our related product candidates. We or our collaborators may also experience delays in developing a sustainable, reproducible and scalable manufacturing process for the companion diagnostic, transferring that process to commercial partners, or obtaining coverage and adequate reimbursement from third-party payors, any of which may prevent us from completing our clinical trials or commercializing our product candidates, if approved, on a timely or profitable basis, if at all. Even if the related therapeutic product receives coverage and reimbursement, lack of coverage or adequate reimbursement for a required companion diagnostic could reduce testing, limit the identification of eligible patients and materially reduce demand for and sales of the related product candidate,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ALPHA3 trial design requires the use of an MRD assay, and we are conducting the trial using the CLARITY™ Investigational Use Only (IUO) MRD test, powered by PhasED-Seq. Although this MRD test has received IDE approval from the FDA allowing it to be used as part of the ALPHA3 trial, there can be no assurance that Natera will be able to obtain the necessary regulatory approvals to support ALPHA3 clinical trial sites outside the United States, or that we will be able to manage logistical challenges associated with the timely international shipment of patient samples to Natera’s U.S. facility for testing, any of which could delay the expansion of ALPHA3 to clinical trial sites outside the United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indicated that it considers an MRD companion diagnostic necessary for the safe and effective use of cema-cel in the population being studied in ALPHA3. We may therefore be required to obtain approval of an MRD companion diagnostic concurrently with approval of cema-cel. Although currently, only the CLARITY MRD assay has been used for determining ALPHA3 patient eligibility, the FDA noted that, if the companion diagnostic differs from the assay(s) used to enroll ALPHA3, it may require assay-bridging studies which could require retesting of patient specimens, additional analytical or clinical validation, or other measures to establish that patients defined using different assays represent a sufficiently homogeneous population. We do not control the development or regulatory approval of the MRD assay used in ALPHA3. If an acceptable companion diagnostic is not developed and approved on a timely basis, and if bridging among assays is not feasible or acceptable to the FDA, or if assay-related differences impair the interpretability of ALPHA3, the submission or approval of cema-cel could be delayed or prevented.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managed the development of cema-cel in anticipation that an approved or otherwise lawfully available MRD companion diagnostic will be required to identify patients eligible to receive cema-cel. Changes may occur between the CLARITY™ assay being used for the enrollment of ALPHA3 and the eventual commercial companion diagnostic, and to support such changes bridging studies may be required. The success of any such bridging study may depend on our and our collaborators’ ability to collect, bank, retrieve and retest sufficient patient specimens. Differences between these assays could complicate the clinical validation of a companion diagnostic or the interpretation of clinical results, or require additional analyses, studies or regulatory interactions.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to commercialize cema-cel, if approved based on the outcome of ALPHA3, an approved or otherwise lawfully available MRD companion diagnostic will need to be commercially available on the timeline required by the FDA or other applicable regulatory authorities to identify patients eligible to receive cema-cel. There can be no assurance that the FDA or other applicable regulatory authorities will accept any proposed diagnostic-development or bridging approach or that the timing of diagnostic approval will align with a potential cema-cel BLA. A delay or failure by our MRD test partner to obtain regulatory approval or make an appropriate diagnostic available when required may delay or prevent approval or commercialization of cema-cel. If a satisfactory companion diagnostic is not commercially available, we may be required to create or obtain one that would be subject to regulatory approval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an approved CD70 immunohistochemistry assay may be required if we advance ALLO-316 into a pivotal trial and seek approval for a patient population selected based on CD70 expression. The development and regulatory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pathway for such an assay, including the applicable cutoff for CD70 expression and the evidence necessary to validate the assay, has not been established and may require additional clinical samples, analyses or studies.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Regenerative Medicine Advanced Therapy designation and fast track designation may not lead to a faster development or regulatory review or approval process and it does not increase the likelihood that our product candidates will receive marketing approval.*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Regenerative Medicine Advanced Therapy (RMAT) designation for cema-cel, ALLO-316, and ALLO-715 and fast track designation for cema-cel, ALLO-316 and ALLO-329. There is no assurance that we will be able to obtain RMAT designation or fast track designation for any of our additional product candidates. RMAT designation and fast track designation do not change the FDA’s standards for product approval, and there is no assurance that such designation will result in expedited review or approval or that the approved indication will not be narrower than the indication covered by the designation. Additionally, RMAT designation and fast track designation can be revoked if the criteria for eligibility cease to be met as clinical data emerges.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plan to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granted orphan drug designation to ALLO-715 for the treatment of multiple myeloma. We plan to seek orphan drug designation for additional product candidates in specific orphan indications in which there is a medically plausible basis for the use of these products, but may never receive such designations. Some of our product candidates target indications that are not orphan indications. In addition, even with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Negative public opinion and increased regulatory scrutiny of genetic research and therapies involving gene editing may damage public perception of our product candidates or adversely affect our ability to conduct our business or obtain regulatory approvals for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gene-editing technologies that we use are novel. Public perception may be influenced by claims that gene editing is unsafe, and products incorporating gene editing may not gain the acceptance of the public or the medical community. Given the previous clinical hold involved a chromosomal abnormality, our manufacturing or gene editing may be further scrutinized or may be viewed as unsafe, even though our investigation found that the abnormality was not related to our manufacturing or gene editing.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may result in fewer physicians prescribing our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treatments or may reduce the willingness of patients to utilize our treatments or participate in clinical trials for our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given the novel nature of gene-editing and cell therapy technologies, governments may place import, export or other restrictions in order to retain control or limit the use of the technologies. Increased negative public opinion or more restrictive government regulations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expect the product candidates we develop will be regulated as biological products, or biologics, and therefore they may be subject to competition sooner than anticipated.</w:t>
      </w:r>
    </w:p>
    <w:p>
      <w:pPr>
        <w:pStyle w:val="TextBody"/>
        <w:bidi w:val="0"/>
        <w:spacing w:lineRule="auto" w:line="288" w:before="120" w:after="283"/>
        <w:ind w:left="0" w:right="0" w:firstLine="720"/>
        <w:jc w:val="left"/>
      </w:pPr>
      <w:r>
        <w:rPr>
          <w:rFonts w:ascii="Times New Roman;serif" w:hAnsi="Times New Roman;serif"/>
          <w:b w:val="false"/>
          <w:color w:val="000000"/>
          <w:sz w:val="20"/>
        </w:rPr>
        <w:t>The Biologics Price Competition and Innovation Act of 2009 (BPCIA) was enacted as part of the Patient Protection and Affordable Care Act, as amended by the Health Care and Education Reconciliation Act of 2010 (collectively, the</w:t>
      </w:r>
      <w:r>
        <w:rPr>
          <w:color w:val="000000"/>
        </w:rPr>
        <w:t xml:space="preserve"> </w:t>
      </w:r>
      <w:r>
        <w:rPr>
          <w:rFonts w:ascii="Times New Roman;serif" w:hAnsi="Times New Roman;serif"/>
          <w:b w:val="false"/>
          <w:color w:val="000000"/>
          <w:sz w:val="20"/>
        </w:rPr>
        <w:t>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lineRule="auto" w:line="288" w:before="120" w:after="283"/>
        <w:ind w:left="0" w:right="0" w:firstLine="720"/>
        <w:jc w:val="left"/>
      </w:pPr>
      <w:r>
        <w:rPr>
          <w:rFonts w:ascii="Times New Roman;serif" w:hAnsi="Times New Roman;serif"/>
          <w:b w:val="false"/>
          <w:color w:val="000000"/>
          <w:sz w:val="20"/>
        </w:rPr>
        <w:t>The European Union provides opportunities for data and market exclusivity for innovative medicinal products in relation to which marketing authorization is granted. Upon grant of marketing authorization, innovative medicinal products are generally entitled to benefit from eight years of data exclusivity and 10 years of market exclusivity. Data exclusivity, if granted, prevents regulatory authorities in the European Union from referencing the innovator’s data to assess an application for marketing authorization for a generic or a biosimilar for eight years from the date of authorization of the innovative product, after which an application may be made</w:t>
      </w:r>
      <w:r>
        <w:rPr>
          <w:color w:val="000000"/>
        </w:rPr>
        <w:t xml:space="preserve"> </w:t>
      </w:r>
      <w:r>
        <w:rPr>
          <w:rFonts w:ascii="Times New Roman;serif" w:hAnsi="Times New Roman;serif"/>
          <w:b w:val="false"/>
          <w:color w:val="000000"/>
          <w:sz w:val="20"/>
        </w:rPr>
        <w:t>for authorization of a generic or biosimilar,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obtain regulatory approval of our product candidates, the products may not gain market acceptance among physicians, patients, hospitals, cancer treatment centers and others in the medical community.</w:t>
      </w:r>
    </w:p>
    <w:p>
      <w:pPr>
        <w:pStyle w:val="TextBody"/>
        <w:bidi w:val="0"/>
        <w:spacing w:lineRule="auto" w:line="288" w:before="120" w:after="283"/>
        <w:ind w:left="0" w:right="0" w:firstLine="720"/>
        <w:jc w:val="left"/>
      </w:pPr>
      <w:r>
        <w:rPr>
          <w:rFonts w:ascii="Times New Roman;serif" w:hAnsi="Times New Roman;serif"/>
          <w:b w:val="false"/>
          <w:color w:val="000000"/>
          <w:sz w:val="20"/>
        </w:rPr>
        <w:t>The use of engineered T cells as a potential cancer treatment is a recent development and may not become broadly accepted by physicians, patients, hospitals, cancer treatment centers and others in the medical community.</w:t>
      </w:r>
      <w:r>
        <w:rPr>
          <w:color w:val="000000"/>
        </w:rPr>
        <w:t xml:space="preserve"> </w:t>
      </w:r>
      <w:r>
        <w:rPr>
          <w:rFonts w:ascii="Times New Roman;serif" w:hAnsi="Times New Roman;serif"/>
          <w:b w:val="false"/>
          <w:color w:val="000000"/>
          <w:sz w:val="20"/>
        </w:rPr>
        <w:t>We expect physicians in the large bone marrow transplant centers and community cancer centers to be particularly important to the market acceptance of our products and we may not be able to educate them on the benefits of using our product candidates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 Additional factors will influence whether our product candidates are accepted in the market, including: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clinical indications for which our product candidates are approved;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physicians, hospitals, cancer treatment centers and patients considering our product candidates as a safe and effective treatment;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potential and perceived advantages of our product candidates over alternative treatments;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product labeling or product insert requirements of the FDA or other comparable foreign regulatory authorities;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limitations or warnings contained in the labeling approved by the FDA or other comparable foreign regulatory authorities;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timing of market introduction of our product candidates as well as competitive products;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cost of treatment in relation to alternative treatments;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availability of coverage and adequate reimbursement by third-party payors and government authorities;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willingness of patients to pay out-of-pocket in the absence of coverage and adequate reimbursement by third-party payors and government authorities;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relative convenience and ease of administration, including as compared to alternative treatments and competitive therapies;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effectiveness of our sales and marketing efforts.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product candidates, which could make it difficult for us to sell our product candidates, if approved,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 For any product candidate whose use depends on a companion diagnostic or other required test, commercial adoption will also depend on coverage and adequate reimbursement for that diagnostic or test. Coverage of the therapeutic product alone may be insufficient if patients or providers cannot obtain or afford the required testing.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For example, HHS imposes rebates on many Medicare Part B and Medicare Part D products to penalize price increases that outpace inflation. In addition, HHS has been empowered to negotiate the price of certain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advancement of healthcare reform may negatively impact our ability to sell our product candidates, if approved, profitably.*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product candidates that we may successfully develop and for which we may obtain regulatory approval and may affect our overall financial condition and ability to develop product candidates. Any reduction in reimbursement from Medicare or other government programs may result in a similar reduction in payments from private payors, which may adversely affect our future profitability.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policies to reduce regulations and expenditures across government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direct-to-consumer platform, U.S. patients and Medicaid programs prescription drug Most-Favored-Nation pricing equal to or lower than those paid in other developed nations, with additional mandates for direct-to-patient discounts and repatriation of foreign revenues. Other recent actions include, for example, directing agencies to reduce agency workforce and cut programs; directing HHS and other agencies to lower prescription drug costs through a variety of initiatives; imposing tariffs on certain imported pharmaceutical products; and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 administration is also pursuing other most-favored-nation drug pricing policies for certain prescription drugs. As part of these initiatives, the administration is implementing or considering various CMS Center for Medicare and Medicaid Innovation models, under which manufacturers may owe rebates for certain prescription drugs under Medicaid or Medicare if the price of a drug included in an applicable model exceeds an international benchmark calculated based on prices available in certain reference countries. These include the finalized Global Benchmark for Efficient Drug Pricing (GLOBE) Model for certain Medicare Part B drugs; and the proposed Guarding United States Medicare Against Rising Drug Costs (GUARD) Model for certain Medicare Part D drugs, among others. In addition, if implemented, a “Most-Favored-Nation” pricing policy that is determined to apply to us and any of our products that receives regulatory approval based on a reference to the lowest ex-U.S. list price for such products, could significantly reduce the U.S. list price for such products and likewise reduce our annual market opportunity in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could be negatively impacted by environmental, social and corporate governance (ESG) matters or our reporting of such matters.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an increasing focus from certain investors, employees, partners, and other stakeholders concerning ESG matters, and in many cases with conflicting views. While we have had internal efforts directed at ESG matters, we may be perceived by certain stakeholders as not acting responsibly in connection with these matters, which could negatively impact us. The SEC recently adopted rules designed to enhance and standardize climate-related disclosures, which were stayed pending judicial review, and the SEC subsequently voted to cease its defense of the climate-related disclosure rules, effectively halting their implementation. If other climate-related disclosure rules or other ESG rules become effective or become applicable to us, they may significantly increase our compliance and reporting costs and may also result in disclosures that certain investors or other stakeholders deem to negatively impact our reputation and/or that harm our stock price.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dependent on patents, know-how and proprietary technology, both our own and licensed from others. We depend substantially on our license agreements with Pfizer, Servier and Cellectis. These licenses may be terminated upon certain conditions. Any termination of these licenses could result in the loss of significant rights and could harm our ability to commercialize our product candidates. For example, we are dependent on our license with Cellectis for gene-editing technology that is necessary to produce certain of our engineered T cells. In addition, we are reliant on Servier in-licensing from Cellectis some of the intellectual property rights they are licensing to us, including certain intellectual property rights relating to ALLO-501 and cema-cel. To the extent these licensors fail to meet their obligations under their license agreements, which we are not in control of, we may lose the benefits of our license agreements with these licensors. For instance, Cellectis has challenged and may in the future challenge certain performance by Servier, such as its termination of development of products licensed under the Servier-Cellectis Agreement in ALL. There was an arbitration between Cellectis and Servier under which Cellectis sought to terminate the Servier-Cellectis Agreement, which would have automatically terminated our sublicense from Servier. In addition, in September 2026, Cellectis announced a strategic shift to focus its internal development activities on in vivo gene editing and to seek partners for its internally developed ex vivo CAR T product candidates. Although the outcome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arbitration was favorable as it relates to cema-cel and although Cellectis stated that its strategic shift to focus on in vivo gene editing does not change its existing collaboration with us, if our license agreement were terminated and we were unable to obtain a new license, or we lose access to the Cellectis TALEN technology as a result of the Factor Litigation or Cellectis’s strategic shift, we would be required to seek other gene editing technology or abandon our cema-cel or ALLO-316 programs, both of which could materially impact our business and financial position. Further, alternative gene editing technology may not be available to us on reasonable terms, or at all, and advancing other gene editing technology would require significant resources. In the future, we may also enter into additional license agreements that are material to the development of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Disputes may also arise between us and our licensors regarding intellectual property subject to a license agreement, including those related to:</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whether and the extent to which our technology and processes may infringe on intellectual property of the licensor that is not subject to the licensing agreement;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right to sublicense patent and other rights to third parties under collaborative development relationships;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ownership of inventions and know-how resulting from the joint creation or use of intellectual property by our licensors and us and our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previously we and Servier had different interpretations regarding the respective parties’ respective rights and obligations under the Original Servier Agreement. In May 2024, we entered into the Servier Amendment which clarified each party’s rights and obligations. Additionally, Cellectis and Servier previously had a dispute regarding Servier's withdrawal from UCART19 development, which could have negatively impacted our sublicense from Servier. In December 2025, an arbitration panel ruled substantially in Servier's favor, resulting in our retention of sublicense rights for cema-cel, but the termination of our sublicense rights for ALLO-501, which we had previously discontinued. There can be no assurance that further contract interpretation issues will not arise or that we would be able to amicably resolve such issues. If other issues arise over intellectual property that we have licensed, or license in the future, it could prevent or impair our ability to maintain our current licensing arrangements on acceptable terms, and we may be unable to successfully develop and commercialize the affected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efforts to protect the proprietary nature of the intellectual property related to our technologies are not adequate, we may not be able to compete effectively in our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Servier Agreement, we have an exclusive license to develop and commercialize certain anti-CD19 allogeneic CAR T cell product candidates, including cema-cel, and we hold the commercial rights to these product candidates in the United States, the European Union and the United Kingdom. We also have an exclusive worldwide license from Cellectis to its TALEN gene-editing technology for the development of allogeneic T cell product candidates directed against 15 different cancer antigens. The Servier Agreement gives us access to TALEN gene-editing technology for all product candidates under the agreement. Certain intellectual property which is covered by these agreements may have been developed with funding from the U.S. government. If so, our rights in this intellectual property may be subject to certain research and other rights of the government.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patent applications have been filed, and we anticipate additional patent applications will be filed, both in the United States and in other countries, as appropriate. However, we cannot predict: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if and when patents will issue;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degree and range of protection any issued patents will afford us against competitors including whether third parties will find ways to invalidate or otherwise circumvent our patents;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whether or not others will obtain patents claiming aspects similar to those covered by our patents and patent applications; or</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whether we will need to initiate litigation or administrative proceedings which may be costly whether we win or lose.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compositions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method of use patents, the practice is common and such infringement is difficult to prevent or prosecute.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at any time a claim not entitled to a priority date before March 16, 2013 are subject to the “first to file” system implemented by the America Invents Act (2011).</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first-to-file system will require us to be cognizant of the time from invention to filing of a patent application. 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Confidentiality agreements with employees and third parties, including any strategic partners, may not prevent unauthorized disclosure or use of trade secrets and other proprietary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inappropriately used,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For example, we have transferred technology to Overland Therapeutics or its affiliates in certain developing countries, and we cannot be certain that we or Overland Therapeutics or any of its affiliates will be able to protect or enforce any proprietary rights in these countries. As a result, we may encounter significant problems in protecting and defending our intellectual property both in the United States and abroad. If we are unable to prevent unauthorized material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disclosure of our intellectual property to third parties, we will not be able to establish or maintain a competitive advantage in our market, which could materially adversely affect our business,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may prevent or delay our product discovery and development efforts and our ability to commercialize our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 parties may assert that we or our collaboration partners infringe their patents or are otherwise employing their proprietary technology without authorization and may sue us and/or our collaboration partners. These risks are illustrated by two recent lawsuits. In July 2024 Roche Molecular Systems, Inc. and Roche Sequencing Solutions, Inc. (collectively, the Roche Parties) filed lawsuits in Federal District Courts in California and Delaware against Foresight Diagnostics Inc. (acquired by Natera), who is our collaboration partner, as well as Stanford University and three of Foresight’s founders, alleging misappropriation of trade secrets, unfair competition and breach of contract relating to Natera’s PhasED-Seq Circulating Tumor DNA Platform which is being used as part of our ALPHA3 clinical trial to identify MRD+ patients. Although Foresight announced on August 29, 2025 that it had entered into a limited licensing agreement with the Roche Parties related to Natera’s patented PhasED-Seq™ technology, and that the agreement closes the litigation between the parties, with all claims against Foresight, its founders, and Stanford University dismissed with prejudice, if such settlement had not been entered into we may have been required to seek alternative means for gaining access to the PhasED-Seq MRD assay or find an alternative MRD assay to use in the ALPHA3 trial, either of which may not have been available to us on commercially reasonable terms or at all, and/or could have significantly delayed or prevented the completion of the trial or our plans to commercialize cema-cel as part of a 1L consolidation strategy, if approved, which could have materially adversely affected our business, operating results and financial condition. Additionally, on September 26, 2025, Factor Bioscience Inc. (Factor) filed a complaint in the United States District Court for the District of Delaware against Cellectis S.A., and its affiliate Cellectis, Inc., alleging that Cellectis’s TALEN-based gene-editing technology infringed three of Factor’s U.S. patents relating to gene-editing techniques (Factor Litigation). Among other things, Factor alleges that Cellectis copied Factor’s patented mRNA TALEN technology, passed off as Cellectis’s own and entered into license agreements with several licensors, including us, to capitalize on such infringement. Factor’s complaint also names AstraZeneca PLC and certain of its affiliates (collectively, AstraZeneca) as defendants, and alleges direct infringement by AstraZeneca of certain of Factor’s patents by using Cellectis’s allegedly infringing TALEN technology. Cellectis notified us of the patent infringement action on October 6, 2025, and informed us that it disputes Factor’s claims and intends to vigorously defend against them. Although we are not a party to this litigation, we rely on the TALEN gene-editing technology licensed from Cellectis to engineer certain of our allogeneic CAR T cell product candidates, including cema-cel and ALLO-316. Factor may also choose to assert direct claims against us as a commercial user of the disputed technology. If Factor prevails on its claims against the Cellectis TALEN technology, we may be required to seek a license from Factor, which may not be available to us on commercially reasonable terms or at all, and/or could significantly delay or prevent our plans to commercialize our TALEN-based product candidates, including cema-cel and ALLO-316, if approved, which could materially adversely affect our business, operating results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aware of several U.S. patents held by third parties that may be considered by those third parties to be relevant to cell-based therapies. Generally, conducting clinical trials and other development activities in the United States is not considered an act of infringement. If and when any of our product candidates is approved by the FDA, third parties may then seek to enforce their patents by filing a patent infringement lawsuit against us or our collaboration partners. Patents issued in the United States by law enjoy a presumption of validity that can be rebutted only with evidence that is “clear and convincing,” a heightened standard of proof. We may not be able to prove in litigation that any patent enforced against us or one of our collaboration partners is invalid.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alleged to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2026, LTC asserted that, as a result of its purported termination of certain license agreements with Cellectis, we no longer have rights under certain patents licensed by LTC to Cellectis relating to TALEN technology. Cellectis disputes the purported termination and the claims asserted by LTC. For additional details regarding these matters, see “Risk Factors – We are heavily reliant on our partners, Cellectis and Servier, for access to TALEN gene editing technology for the manufacturing and development of our oncology product candidates.”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Parties, such as Factor, who may make claims against us or our collaboration partners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any of our alleged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product components and processes for our development pipeline through acquisitions and in-licenses.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Presently we have rights to the intellectual property through licenses from third parties and under patent applications that we own or will own, that we believe will facilitate the development of our product candidates. Because our programs may involve additional product technology that may require the use of proprietary rights held by third parties, the growth of our business will likely depend in part on our ability to acquire, in-license or use these proprietary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be unable to acquire or in-license any compositions, methods of use, processes or other third-party intellectual property rights from third parties that we identify, such as the intellectual property that is the subject of the Factor Litigation. We may fail to acquire such rights or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lives of our patents may not be sufficient to effectively protect our products and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licensors may be subject to claims challenging the inventorship of our patents and other 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or our licensors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or our licensors are successful in defending against such claims, litigation could result in substantial costs and be a distraction to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Issued patents covering our product candidates could be found unpatentable, invalid or unenforceable if challenged in court or the USPTO.</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120" w:after="283"/>
        <w:ind w:left="0" w:right="0" w:firstLine="720"/>
        <w:jc w:val="left"/>
      </w:pPr>
      <w:r>
        <w:rPr>
          <w:rFonts w:ascii="Times New Roman;serif" w:hAnsi="Times New Roman;serif"/>
          <w:b w:val="false"/>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serif" w:hAnsi="Times New Roman;serif"/>
          <w:b w:val="false"/>
          <w:i/>
          <w:color w:val="000000"/>
          <w:sz w:val="20"/>
        </w:rPr>
        <w:t>Assoc. for Molecular Pathology v. Myriad Genetics, Inc.</w:t>
      </w:r>
      <w:r>
        <w:rPr>
          <w:rFonts w:ascii="Times New Roman;serif" w:hAnsi="Times New Roman;serif"/>
          <w:b w:val="false"/>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price of our stock has been and may continue to be volatile, and you could lose all or part of your investment.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following our IPO in October 2018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commencement, enrollment or results of our clinical trials of our product candidates or any future clinical trials we may conduct, or changes in the development status of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adverse results or delays in clinical trials;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failure to commercialize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adverse regulatory decisions;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laws or regulations applicable to our products, including but not limited to clinical trial requirements for approvals;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adverse developments concerning the manufacture or supply of our product candidates;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inability to establish collaborations if needed;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unanticipated serious safety concerns related to immuno-oncology or related to the use of our product candidates or pre-conditioning regimen;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the status of one or more of our license or collaboration agreements, including any material disputes, amendments or terminations;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size and growth of our initial cancer or autoimmune diseases target markets;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ability to successfully treat additional types of cancers or at different stages, or to treat autoimmune diseases;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actual or anticipated variations in quarterly operating results;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cash position;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sales of our common stock by us or our stockholders in the future;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trading volume of our common stock;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accounting practices;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ineffectiveness of our disclosure controls or internal controls;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disagreements with our auditor or termination of an auditor engagement;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changes in the structure of healthcare payment systems;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significant business disruptions caused by health epidemics or pandemics, or natural or man-made disasters;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general political and economic conditions;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lineRule="auto" w:line="288" w:before="240" w:after="283"/>
        <w:jc w:val="left"/>
      </w:pPr>
      <w:r>
        <w:rPr>
          <w:rFonts w:ascii="Times New Roman;serif" w:hAnsi="Times New Roman;serif"/>
          <w:b/>
          <w:i/>
          <w:color w:val="000000"/>
          <w:sz w:val="20"/>
        </w:rPr>
        <w:t>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common stock to decline</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Maintaining effective disclosure controls and procedures and internal control over financial reporting are necessary for us to produce reliable financial statements. We are required, pursuant to Section 404 (Section 404) of the Sarbanes-Oxley Act of 2002 (Sarbanes-Oxley Act), to furnish a report by management on, among other things, the effectiveness of our internal control over financial reporting. Complying with Section 404 requires a rigorous compliance program as well as adequate time and resources. We may not be able to complete our internal control evaluation, testing and any required remediation in a timely fashion. Additionally, if we or our auditors identify one or more material weaknesses in our internal control over financial reporting, we will not be able to assert that our internal controls are effective.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2021, we implemented a new enterprise resource planning (ERP) system, which required the investment of significant financial and human resources. We plan to continue to implement new ERP modules, which we also expect will require significant resources. Any failure to maintain or implement new or improved internal controls related to our ERP system or otherwise could result in material weaknesses, result in material misstatements in our financial statements and cause us to fail to meet our reporting obligations. This could cause us to lose public confidence and could cause the trading price of our common stock to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 the past, we have identified a material weakness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we have identified material weaknesses in our internal control over financial reporting. All material weaknesses previously identified were fully remediated in the fourth quarter of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 the future,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anticipate that we will retain any future cash flow or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requirement that special meetings of stockholders be called only by the chair of the board of directors, the chief executive officer, or by a majority of the total number of authorized directors;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Unstable market, economic and geo-political conditions may have serious adverse consequences on our business, financial condition and stock price.</w:t>
      </w:r>
    </w:p>
    <w:p>
      <w:pPr>
        <w:pStyle w:val="TextBody"/>
        <w:bidi w:val="0"/>
        <w:spacing w:lineRule="auto" w:line="288" w:before="120" w:after="283"/>
        <w:ind w:left="0" w:right="0" w:firstLine="720"/>
        <w:jc w:val="left"/>
      </w:pPr>
      <w:r>
        <w:rPr>
          <w:rFonts w:ascii="Times New Roman;serif" w:hAnsi="Times New Roman;serif"/>
          <w:b w:val="false"/>
          <w:color w:val="000000"/>
          <w:sz w:val="20"/>
        </w:rPr>
        <w:t xml:space="preserve">The global credit and financial markets have experienced extreme volatility and disruptions in the past. These disruptions have resulted and may continue to result in severely diminished liquidity and credit availability, elevated inflationary pressures and interest-rate volatility, declines in consumer confidence, </w:t>
      </w:r>
      <w:r>
        <w:rPr>
          <w:rFonts w:ascii="Times New Roman;serif" w:hAnsi="Times New Roman;serif"/>
          <w:b w:val="false"/>
          <w:color w:val="000000"/>
          <w:sz w:val="20"/>
          <w:shd w:fill="FFFFFF" w:val="clear"/>
        </w:rPr>
        <w:t>disruptions in access to bank deposits or lending commitments due to bank failures and uncertainty about economic stability</w:t>
      </w:r>
      <w:r>
        <w:rPr>
          <w:rFonts w:ascii="Times New Roman;serif" w:hAnsi="Times New Roman;serif"/>
          <w:b w:val="false"/>
          <w:color w:val="000000"/>
          <w:sz w:val="20"/>
        </w:rPr>
        <w:t>, declines in economic growth,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 Moreover, persistent trade and policy uncertainty, ongoing geopolitical risks, and any deterioration in macroeconomic conditions or financial market volatility could adversely affect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international and geo-political events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in the public market could cause our stock price to fall.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or the perception that these sales might occur, including by any of our directors, officers or larger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securities or industry analysts issue an adverse or misleading opinion regarding our stock, our stock price and trading volume could decline.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could be influenced by the research and reports that industry or securities analysts publish about us or our business. If any of the analysts who cover us issue an adverse or misleading opinion regarding us, our business model, our intellectual property or our stock performance, or if the clinical trials and operating results fail to meet the expectations of analysts, our stock price would likely decline. If one or more analysts cease coverage of us or fail to publish reports on us regularly, we could lose visibility in the financial markets, which in turn could cause our stock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Principal Financial Officer Appointment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previously announced retirement of Geoffrey Parker from his position as Executive Vice President, Chief Financial Officer and principal financial officer, on November 3, 2026, our board of directors appointed Annie Yoshiyama, our current Senior Vice President, Corporate Controller and principal accounting officer, as principal financial officer of the Company, to be effective upon Mr. Parker’s retirement.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Ms. Yoshiyama, age 43, has served as our Senior Vice President, Finance and Corporate Controller since April 2024 and our principal accounting officer since June 2024. Prior to joining the Company in April 2024, Ms. Yoshiyama, served as Vice President, Finance &amp; Controller at AN2 Therapeutics, Inc. from September 2023 to March 2024; Senior Vice President ‒ Finance and Chief Accounting Officer, Vice President ‒ Finance and Chief Accounting Officer, Executive Director ‒ Finance, Senior Director ‒ Finance, Director ‒ SEC Reporting and Technical Accounting, and Associate Director ‒ SEC Reporting and Technical Accounting at Tricida, Inc. from June 2018 to March 2023; Senior Financial Reporting and Technical Accounting Manager at Dolby Laboratories from September 2008 to June 2018; and started her career in audit at PricewaterhouseCoopers LLP from September 2005 to August 2007. Ms. Yoshiyama earned her Bachelor of Science and Master of Accounting degrees from the University of Southern California and is a licensed certified public accountant.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none of our directors or officers (as defined in Rule 16a-1(f) under the Exchange Act) adopted or terminated any “Rule 10b5-1 trading arrangement” or “non-Rule 10b5-1 trading arrangement,” as those terms are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848"/>
        <w:gridCol w:w="2589"/>
        <w:gridCol w:w="3690"/>
      </w:tblGrid>
      <w:t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 No. 001-38693), filed with the SEC on October 15, 2018).</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 No. 001-38693), filed with the SEC on June 17, 2022).</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 No. 001-38693), filed with the SEC on June 22, 2026).</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 No. 001-38693), filed with the SEC on October 15, 2018).</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Reference is made to Exhibits </w:t>
            </w:r>
            <w:hyperlink r:id="rId6">
              <w:r>
                <w:rPr>
                  <w:rStyle w:val="InternetLink"/>
                  <w:rFonts w:ascii="Times New Roman;serif" w:hAnsi="Times New Roman;serif"/>
                  <w:b w:val="false"/>
                  <w:color w:val="0000FF"/>
                  <w:sz w:val="20"/>
                  <w:u w:val="single"/>
                </w:rPr>
                <w:t>3.1</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3.4</w:t>
              </w:r>
            </w:hyperlink>
            <w:r>
              <w:rPr>
                <w:rFonts w:ascii="Times New Roman;serif" w:hAnsi="Times New Roman;serif"/>
                <w:b w:val="false"/>
                <w:color w:val="000000"/>
                <w:sz w:val="20"/>
              </w:rPr>
              <w:t>.</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Times New Roman;serif" w:hAnsi="Times New Roman;serif"/>
                  <w:b w:val="false"/>
                  <w:color w:val="0000FF"/>
                  <w:sz w:val="20"/>
                  <w:u w:val="single"/>
                </w:rPr>
                <w:t>Form of Common Stock Certificate of the Registrant (incorporated by reference to Exhibit 4.1 to the Registrant’s Registration Statement on Form S-1, as amended (File No. 333-227333), filed with the SEC on October 2, 2018).</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llo-20260930xex311.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amended.</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llo-20260930xex312.htm">
              <w:r>
                <w:rPr>
                  <w:rStyle w:val="InternetLink"/>
                  <w:rFonts w:ascii="Times New Roman;serif" w:hAnsi="Times New Roman;serif"/>
                  <w:b w:val="false"/>
                  <w:color w:val="0000FF"/>
                  <w:sz w:val="20"/>
                  <w:u w:val="single"/>
                </w:rPr>
                <w:t>Certification of Principal Financial Officer pursuant to Rule 13a-14(a) or Rule 15d-14(a) of the Securities Exchange Act of 1934, as amended.</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llo-20260930xex321.htm">
              <w:r>
                <w:rPr>
                  <w:rStyle w:val="InternetLink"/>
                  <w:rFonts w:ascii="Times New Roman;serif" w:hAnsi="Times New Roman;serif"/>
                  <w:b w:val="false"/>
                  <w:color w:val="0000FF"/>
                  <w:sz w:val="20"/>
                  <w:u w:val="single"/>
                </w:rPr>
                <w:t>Certification of Principal Executive Officer and Principal Financial Officer pursuant to Rule 13a-14(b) of the Securities Exchange Act of 1934, as amended, and 18 U.S.C. Section 1350, as adopted pursuant to Section 906 of the Sarbanes-Oxley Act of 2002.</w:t>
              </w:r>
            </w:hyperlink>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has been formatted in Inline XBRL.</w:t>
            </w:r>
          </w:p>
        </w:tc>
      </w:tr>
      <w:t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pPr>
      <w:hyperlink w:anchor="ibea483b79a43496984969918082c4c5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713"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37"/>
        <w:gridCol w:w="937"/>
        <w:gridCol w:w="133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Zachary Roberts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ind w:left="0" w:right="0" w:firstLine="54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Zachary Roberts, M.D., Ph.D.,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Allogene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759"/>
        <w:gridCol w:w="668"/>
        <w:gridCol w:w="672"/>
        <w:gridCol w:w="937"/>
        <w:gridCol w:w="937"/>
        <w:gridCol w:w="133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Zachary Roberts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br/>
              <w:t>President and Chief Executive Officer</w:t>
              <w:br/>
              <w:t>(Principal Executive Officer)</w:t>
            </w:r>
          </w:p>
        </w:tc>
      </w:tr>
    </w:tbl>
    <w:p>
      <w:pPr>
        <w:pStyle w:val="TextBody"/>
        <w:bidi w:val="0"/>
        <w:spacing w:before="24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p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Geoffrey Parker,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Allogene Therapeutics,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3" w:type="dxa"/>
        <w:jc w:val="left"/>
        <w:tblInd w:w="0" w:type="dxa"/>
        <w:tblLayout w:type="fixed"/>
        <w:tblCellMar>
          <w:top w:w="28" w:type="dxa"/>
          <w:left w:w="28" w:type="dxa"/>
          <w:bottom w:w="28" w:type="dxa"/>
          <w:right w:w="28" w:type="dxa"/>
        </w:tblCellMar>
      </w:tblPr>
      <w:tblGrid>
        <w:gridCol w:w="759"/>
        <w:gridCol w:w="668"/>
        <w:gridCol w:w="672"/>
        <w:gridCol w:w="704"/>
        <w:gridCol w:w="704"/>
        <w:gridCol w:w="100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br/>
              <w:t>Chief Financial Officer</w:t>
              <w:b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w:t>
      </w:r>
    </w:p>
    <w:p>
      <w:pPr>
        <w:pStyle w:val="TextBody"/>
        <w:bidi w:val="0"/>
        <w:spacing w:lineRule="auto" w:line="288" w:before="240" w:after="283"/>
        <w:ind w:left="0" w:right="0" w:firstLine="94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Allogene Therapeutics, Inc. (the “Company”) on Form 10-Q for the quarter ended September 30, 2026 as filed with the Securities and Exchange Commission on the date hereof (the “Report”), I, Zachary Roberts, M.D., Ph.D., President and Chief Executive Officer of the Company, and I, Geoffrey Parker, Chief Financial Officer of the Company, certify, pursuant to 18 U.S.C. Section 1350, as adopted pursuant to Section 906 of the Sarbanes-Oxley Act of 2002, that, to my knowledge: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(the “Exchange Act”);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w:t>
      </w:r>
    </w:p>
    <w:tbl>
      <w:tblPr>
        <w:tblW w:w="5309" w:type="dxa"/>
        <w:jc w:val="left"/>
        <w:tblInd w:w="0" w:type="dxa"/>
        <w:tblLayout w:type="fixed"/>
        <w:tblCellMar>
          <w:top w:w="28" w:type="dxa"/>
          <w:left w:w="28" w:type="dxa"/>
          <w:bottom w:w="28" w:type="dxa"/>
          <w:right w:w="28" w:type="dxa"/>
        </w:tblCellMar>
      </w:tblPr>
      <w:tblGrid>
        <w:gridCol w:w="759"/>
        <w:gridCol w:w="668"/>
        <w:gridCol w:w="672"/>
        <w:gridCol w:w="937"/>
        <w:gridCol w:w="937"/>
        <w:gridCol w:w="133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Zachary Roberts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Geoffrey Parker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Parker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ind w:left="0" w:right="0" w:firstLine="945"/>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7287/000119312518299356/d622265dex31.htm" TargetMode="External"/><Relationship Id="rId3" Type="http://schemas.openxmlformats.org/officeDocument/2006/relationships/hyperlink" Target="https://www.sec.gov/Archives/edgar/data/1737287/000173728722000039/allo-20220617x8kxexhibit31.htm" TargetMode="External"/><Relationship Id="rId4" Type="http://schemas.openxmlformats.org/officeDocument/2006/relationships/hyperlink" Target="https://www.sec.gov/Archives/edgar/data/1737287/000162828026044618/exhibit31toform2026annualm.htm" TargetMode="External"/><Relationship Id="rId5" Type="http://schemas.openxmlformats.org/officeDocument/2006/relationships/hyperlink" Target="https://www.sec.gov/Archives/edgar/data/1737287/000119312518299356/d622265dex32.htm" TargetMode="External"/><Relationship Id="rId6" Type="http://schemas.openxmlformats.org/officeDocument/2006/relationships/hyperlink" Target="https://www.sec.gov/Archives/edgar/data/1737287/000119312518299356/d622265dex31.htm" TargetMode="External"/><Relationship Id="rId7" Type="http://schemas.openxmlformats.org/officeDocument/2006/relationships/hyperlink" Target="https://www.sec.gov/Archives/edgar/data/1737287/000119312518299356/d622265dex32.htm" TargetMode="External"/><Relationship Id="rId8" Type="http://schemas.openxmlformats.org/officeDocument/2006/relationships/hyperlink" Target="https://www.sec.gov/Archives/edgar/data/1737287/000119312518290441/d548088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68167</Words>
  <Characters>388247</Characters>
  <CharactersWithSpaces>454878</CharactersWithSpaces>
  <Paragraphs>2690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